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eastAsia="zh-CN"/>
        </w:rPr>
        <w:id w:val="166074328"/>
        <w:docPartObj>
          <w:docPartGallery w:val="Cover Pages"/>
          <w:docPartUnique/>
        </w:docPartObj>
      </w:sdtPr>
      <w:sdtEndPr/>
      <w:sdtContent>
        <w:p w:rsidR="002A5902" w:rsidRDefault="002A5902" w:rsidP="00357A2E">
          <w:pPr>
            <w:rPr>
              <w:rFonts w:eastAsiaTheme="majorEastAsia"/>
              <w:lang w:eastAsia="zh-CN"/>
            </w:rPr>
          </w:pPr>
          <w:r w:rsidRPr="002A5902">
            <w:rPr>
              <w:noProof/>
              <w:lang w:val="en-CA" w:eastAsia="en-CA"/>
            </w:rPr>
            <mc:AlternateContent>
              <mc:Choice Requires="wpg">
                <w:drawing>
                  <wp:anchor distT="0" distB="0" distL="114300" distR="114300" simplePos="0" relativeHeight="251659264" behindDoc="0" locked="0" layoutInCell="1" allowOverlap="1" wp14:anchorId="3091F845" wp14:editId="6AEE4E27">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ajorEastAsia" w:hAnsi="Times New Roman" w:cs="Times New Roman"/>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rsidR="00A808EA" w:rsidRDefault="00A808EA" w:rsidP="002A5902">
                                      <w:pPr>
                                        <w:pStyle w:val="NoSpacing"/>
                                        <w:spacing w:after="120"/>
                                        <w:jc w:val="center"/>
                                        <w:rPr>
                                          <w:rFonts w:asciiTheme="majorHAnsi" w:eastAsiaTheme="majorEastAsia" w:hAnsiTheme="majorHAnsi" w:cstheme="majorBidi"/>
                                          <w:color w:val="FFFFFF" w:themeColor="background1"/>
                                          <w:sz w:val="84"/>
                                          <w:szCs w:val="84"/>
                                        </w:rPr>
                                      </w:pPr>
                                      <w:r w:rsidRPr="00F9551C">
                                        <w:rPr>
                                          <w:rFonts w:ascii="Times New Roman" w:eastAsiaTheme="majorEastAsia" w:hAnsi="Times New Roman" w:cs="Times New Roman"/>
                                          <w:color w:val="FFFFFF" w:themeColor="background1"/>
                                          <w:sz w:val="84"/>
                                          <w:szCs w:val="84"/>
                                        </w:rPr>
                                        <w:t>Everything Comes at a Price:                             An Exploration of the Impact of Bylaw Enforcement Practices in the City of Calgary</w:t>
                                      </w:r>
                                    </w:p>
                                  </w:sdtContent>
                                </w:sdt>
                                <w:p w:rsidR="00A808EA" w:rsidRDefault="00A808EA" w:rsidP="002A5902">
                                  <w:pPr>
                                    <w:pStyle w:val="NoSpacing"/>
                                    <w:jc w:val="center"/>
                                    <w:rPr>
                                      <w:color w:val="FFFFFF" w:themeColor="background1"/>
                                      <w:sz w:val="28"/>
                                      <w:szCs w:val="28"/>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8EA" w:rsidRPr="00F9551C" w:rsidRDefault="00A808EA">
                                  <w:pPr>
                                    <w:pStyle w:val="NoSpacing"/>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 xml:space="preserve">Prepared by </w:t>
                                  </w:r>
                                  <w:r w:rsidRPr="00F9551C">
                                    <w:rPr>
                                      <w:rFonts w:ascii="Times New Roman" w:hAnsi="Times New Roman" w:cs="Times New Roman"/>
                                      <w:color w:val="FFFFFF" w:themeColor="background1"/>
                                      <w:sz w:val="32"/>
                                      <w:szCs w:val="32"/>
                                    </w:rPr>
                                    <w:t>Carolyn Greene</w:t>
                                  </w:r>
                                  <w:r>
                                    <w:rPr>
                                      <w:rFonts w:ascii="Times New Roman" w:hAnsi="Times New Roman" w:cs="Times New Roman"/>
                                      <w:color w:val="FFFFFF" w:themeColor="background1"/>
                                      <w:sz w:val="32"/>
                                      <w:szCs w:val="32"/>
                                    </w:rPr>
                                    <w:t xml:space="preserve"> (Athabasca University), Katelyn Lucas and</w:t>
                                  </w:r>
                                  <w:r w:rsidRPr="00F9551C">
                                    <w:rPr>
                                      <w:rFonts w:ascii="Times New Roman" w:hAnsi="Times New Roman" w:cs="Times New Roman"/>
                                      <w:color w:val="FFFFFF" w:themeColor="background1"/>
                                      <w:sz w:val="32"/>
                                      <w:szCs w:val="32"/>
                                    </w:rPr>
                                    <w:t xml:space="preserve"> </w:t>
                                  </w:r>
                                  <w:sdt>
                                    <w:sdtPr>
                                      <w:rPr>
                                        <w:rFonts w:ascii="Times New Roman" w:hAnsi="Times New Roman" w:cs="Times New Roman"/>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r w:rsidR="00153D14">
                                        <w:rPr>
                                          <w:rFonts w:ascii="Times New Roman" w:hAnsi="Times New Roman" w:cs="Times New Roman"/>
                                          <w:color w:val="FFFFFF" w:themeColor="background1"/>
                                          <w:sz w:val="32"/>
                                          <w:szCs w:val="32"/>
                                        </w:rPr>
                                        <w:t>Nicole Williams (Elizabeth Fry Society of Calgary) on behalf of the Justice Sector Constellation.   November 2017</w:t>
                                      </w:r>
                                    </w:sdtContent>
                                  </w:sdt>
                                </w:p>
                                <w:p w:rsidR="00A808EA" w:rsidRPr="00F9551C" w:rsidRDefault="00070E8D">
                                  <w:pPr>
                                    <w:pStyle w:val="NoSpacing"/>
                                    <w:rPr>
                                      <w:rFonts w:ascii="Times New Roman" w:hAnsi="Times New Roman" w:cs="Times New Roman"/>
                                      <w:color w:val="FFFFFF" w:themeColor="background1"/>
                                      <w:sz w:val="18"/>
                                      <w:szCs w:val="18"/>
                                    </w:rPr>
                                  </w:pPr>
                                  <w:sdt>
                                    <w:sdtPr>
                                      <w:rPr>
                                        <w:rFonts w:ascii="Times New Roman" w:hAnsi="Times New Roman" w:cs="Times New Roman"/>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A808EA" w:rsidRPr="00F9551C">
                                        <w:rPr>
                                          <w:rFonts w:ascii="Times New Roman" w:hAnsi="Times New Roman" w:cs="Times New Roman"/>
                                          <w:caps/>
                                          <w:color w:val="FFFFFF" w:themeColor="background1"/>
                                          <w:sz w:val="18"/>
                                          <w:szCs w:val="18"/>
                                        </w:rPr>
                                        <w:t xml:space="preserve">     </w:t>
                                      </w:r>
                                    </w:sdtContent>
                                  </w:sdt>
                                  <w:r w:rsidR="00A808EA" w:rsidRPr="00F9551C">
                                    <w:rPr>
                                      <w:rFonts w:ascii="Times New Roman" w:hAnsi="Times New Roman" w:cs="Times New Roman"/>
                                      <w:color w:val="FFFFFF" w:themeColor="background1"/>
                                      <w:sz w:val="18"/>
                                      <w:szCs w:val="18"/>
                                    </w:rPr>
                                    <w:t>  </w:t>
                                  </w:r>
                                  <w:sdt>
                                    <w:sdtPr>
                                      <w:rPr>
                                        <w:rFonts w:ascii="Times New Roman" w:hAnsi="Times New Roman" w:cs="Times New Roman"/>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A808EA" w:rsidRPr="00F9551C">
                                        <w:rPr>
                                          <w:rFonts w:ascii="Times New Roman" w:hAnsi="Times New Roman" w:cs="Times New Roman"/>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091F845"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">
                    <v:rect id="Rectangle 33" o:spid="_x0000_s1027" style="position:absolute;left:2286;width:66294;height:914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8hcMA&#10;AADbAAAADwAAAGRycy9kb3ducmV2LnhtbESPT4vCMBTE74LfITxhb5qqKKXbVEQRPCyIf/D8bN62&#10;3W1eShNr99tvBMHjMDO/YdJVb2rRUesqywqmkwgEcW51xYWCy3k3jkE4j6yxtkwK/sjBKhsOUky0&#10;ffCRupMvRICwS1BB6X2TSOnykgy6iW2Ig/dtW4M+yLaQusVHgJtazqJoKQ1WHBZKbGhTUv57uhsF&#10;fbztFtxd78f17cBmu/u6/eSxUh+jfv0JwlPv3+FXe68VzOfw/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h8hcMAAADbAAAADwAAAAAAAAAAAAAAAACYAgAAZHJzL2Rv&#10;d25yZXYueG1sUEsFBgAAAAAEAAQA9QAAAIgDAAAAAA==&#10;" fillcolor="black [3213]" stroked="f" strokeweight="1pt">
                      <v:textbox inset="36pt,1in,1in,208.8pt">
                        <w:txbxContent>
                          <w:sdt>
                            <w:sdtPr>
                              <w:rPr>
                                <w:rFonts w:ascii="Times New Roman" w:eastAsiaTheme="majorEastAsia" w:hAnsi="Times New Roman" w:cs="Times New Roman"/>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rsidR="00A808EA" w:rsidRDefault="00A808EA" w:rsidP="002A5902">
                                <w:pPr>
                                  <w:pStyle w:val="NoSpacing"/>
                                  <w:spacing w:after="120"/>
                                  <w:jc w:val="center"/>
                                  <w:rPr>
                                    <w:rFonts w:asciiTheme="majorHAnsi" w:eastAsiaTheme="majorEastAsia" w:hAnsiTheme="majorHAnsi" w:cstheme="majorBidi"/>
                                    <w:color w:val="FFFFFF" w:themeColor="background1"/>
                                    <w:sz w:val="84"/>
                                    <w:szCs w:val="84"/>
                                  </w:rPr>
                                </w:pPr>
                                <w:r w:rsidRPr="00F9551C">
                                  <w:rPr>
                                    <w:rFonts w:ascii="Times New Roman" w:eastAsiaTheme="majorEastAsia" w:hAnsi="Times New Roman" w:cs="Times New Roman"/>
                                    <w:color w:val="FFFFFF" w:themeColor="background1"/>
                                    <w:sz w:val="84"/>
                                    <w:szCs w:val="84"/>
                                  </w:rPr>
                                  <w:t>Everything Comes at a Price:                             An Exploration of the Impact of Bylaw Enforcement Practices in the City of Calgary</w:t>
                                </w:r>
                              </w:p>
                            </w:sdtContent>
                          </w:sdt>
                          <w:p w:rsidR="00A808EA" w:rsidRDefault="00A808EA" w:rsidP="002A5902">
                            <w:pPr>
                              <w:pStyle w:val="NoSpacing"/>
                              <w:jc w:val="center"/>
                              <w:rPr>
                                <w:color w:val="FFFFFF" w:themeColor="background1"/>
                                <w:sz w:val="28"/>
                                <w:szCs w:val="28"/>
                              </w:rPr>
                            </w:pPr>
                          </w:p>
                        </w:txbxContent>
                      </v:textbox>
                    </v:rect>
                    <v:rect id="Rectangle 34" o:spid="_x0000_s1028" style="position:absolute;width:2286;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VHsQA&#10;AADbAAAADwAAAGRycy9kb3ducmV2LnhtbESPQWvCQBSE74X+h+UVehHdWItI6ioaUAQpaBTp8ZF9&#10;JsHs25hdTfz33YLQ4zAz3zDTeWcqcafGlZYVDAcRCOLM6pJzBcfDqj8B4TyyxsoyKXiQg/ns9WWK&#10;sbYt7+me+lwECLsYFRTe17GULivIoBvYmjh4Z9sY9EE2udQNtgFuKvkRRWNpsOSwUGBNSUHZJb0Z&#10;Bb2f0zZZev19uSY1ne1u3S5To9T7W7f4AuGp8//hZ3ujFYw+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7lR7EAAAA2wAAAA8AAAAAAAAAAAAAAAAAmAIAAGRycy9k&#10;b3ducmV2LnhtbFBLBQYAAAAABAAEAPUAAACJAw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ysQA&#10;AADbAAAADwAAAGRycy9kb3ducmV2LnhtbESPT2vCQBTE74LfYXlCb7qx1aLRVdpCS6le/HPx9sg+&#10;k2D2bZp9Nem3d4VCj8PM/IZZrjtXqSs1ofRsYDxKQBFn3pacGzge3oczUEGQLVaeycAvBViv+r0l&#10;pta3vKPrXnIVIRxSNFCI1KnWISvIYRj5mjh6Z984lCibXNsG2wh3lX5MkmftsOS4UGBNbwVll/2P&#10;M3D63n6Fyaadu1ee4i6ZyMd2LMY8DLqXBSihTv7Df+1Pa+BpCvcv8Qf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x58rEAAAA2wAAAA8AAAAAAAAAAAAAAAAAmAIAAGRycy9k&#10;b3ducmV2LnhtbFBLBQYAAAAABAAEAPUAAACJAwAAAAA=&#10;" filled="f" stroked="f" strokeweight=".5pt">
                      <v:textbox inset="36pt,0,1in,0">
                        <w:txbxContent>
                          <w:p w:rsidR="00A808EA" w:rsidRPr="00F9551C" w:rsidRDefault="00A808EA">
                            <w:pPr>
                              <w:pStyle w:val="NoSpacing"/>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 xml:space="preserve">Prepared by </w:t>
                            </w:r>
                            <w:r w:rsidRPr="00F9551C">
                              <w:rPr>
                                <w:rFonts w:ascii="Times New Roman" w:hAnsi="Times New Roman" w:cs="Times New Roman"/>
                                <w:color w:val="FFFFFF" w:themeColor="background1"/>
                                <w:sz w:val="32"/>
                                <w:szCs w:val="32"/>
                              </w:rPr>
                              <w:t>Carolyn Greene</w:t>
                            </w:r>
                            <w:r>
                              <w:rPr>
                                <w:rFonts w:ascii="Times New Roman" w:hAnsi="Times New Roman" w:cs="Times New Roman"/>
                                <w:color w:val="FFFFFF" w:themeColor="background1"/>
                                <w:sz w:val="32"/>
                                <w:szCs w:val="32"/>
                              </w:rPr>
                              <w:t xml:space="preserve"> (Athabasca University), Katelyn Lucas and</w:t>
                            </w:r>
                            <w:r w:rsidRPr="00F9551C">
                              <w:rPr>
                                <w:rFonts w:ascii="Times New Roman" w:hAnsi="Times New Roman" w:cs="Times New Roman"/>
                                <w:color w:val="FFFFFF" w:themeColor="background1"/>
                                <w:sz w:val="32"/>
                                <w:szCs w:val="32"/>
                              </w:rPr>
                              <w:t xml:space="preserve"> </w:t>
                            </w:r>
                            <w:sdt>
                              <w:sdtPr>
                                <w:rPr>
                                  <w:rFonts w:ascii="Times New Roman" w:hAnsi="Times New Roman" w:cs="Times New Roman"/>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r w:rsidR="00153D14">
                                  <w:rPr>
                                    <w:rFonts w:ascii="Times New Roman" w:hAnsi="Times New Roman" w:cs="Times New Roman"/>
                                    <w:color w:val="FFFFFF" w:themeColor="background1"/>
                                    <w:sz w:val="32"/>
                                    <w:szCs w:val="32"/>
                                  </w:rPr>
                                  <w:t>Nicole Williams (Elizabeth Fry Society of Calgary) on behalf of the Justice Sector Constellation.   November 2017</w:t>
                                </w:r>
                              </w:sdtContent>
                            </w:sdt>
                          </w:p>
                          <w:p w:rsidR="00A808EA" w:rsidRPr="00F9551C" w:rsidRDefault="00D52F62">
                            <w:pPr>
                              <w:pStyle w:val="NoSpacing"/>
                              <w:rPr>
                                <w:rFonts w:ascii="Times New Roman" w:hAnsi="Times New Roman" w:cs="Times New Roman"/>
                                <w:color w:val="FFFFFF" w:themeColor="background1"/>
                                <w:sz w:val="18"/>
                                <w:szCs w:val="18"/>
                              </w:rPr>
                            </w:pPr>
                            <w:sdt>
                              <w:sdtPr>
                                <w:rPr>
                                  <w:rFonts w:ascii="Times New Roman" w:hAnsi="Times New Roman" w:cs="Times New Roman"/>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A808EA" w:rsidRPr="00F9551C">
                                  <w:rPr>
                                    <w:rFonts w:ascii="Times New Roman" w:hAnsi="Times New Roman" w:cs="Times New Roman"/>
                                    <w:caps/>
                                    <w:color w:val="FFFFFF" w:themeColor="background1"/>
                                    <w:sz w:val="18"/>
                                    <w:szCs w:val="18"/>
                                  </w:rPr>
                                  <w:t xml:space="preserve">     </w:t>
                                </w:r>
                              </w:sdtContent>
                            </w:sdt>
                            <w:r w:rsidR="00A808EA" w:rsidRPr="00F9551C">
                              <w:rPr>
                                <w:rFonts w:ascii="Times New Roman" w:hAnsi="Times New Roman" w:cs="Times New Roman"/>
                                <w:color w:val="FFFFFF" w:themeColor="background1"/>
                                <w:sz w:val="18"/>
                                <w:szCs w:val="18"/>
                              </w:rPr>
                              <w:t>  </w:t>
                            </w:r>
                            <w:sdt>
                              <w:sdtPr>
                                <w:rPr>
                                  <w:rFonts w:ascii="Times New Roman" w:hAnsi="Times New Roman" w:cs="Times New Roman"/>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A808EA" w:rsidRPr="00F9551C">
                                  <w:rPr>
                                    <w:rFonts w:ascii="Times New Roman" w:hAnsi="Times New Roman" w:cs="Times New Roman"/>
                                    <w:color w:val="FFFFFF" w:themeColor="background1"/>
                                    <w:sz w:val="18"/>
                                    <w:szCs w:val="18"/>
                                  </w:rPr>
                                  <w:t xml:space="preserve">     </w:t>
                                </w:r>
                              </w:sdtContent>
                            </w:sdt>
                          </w:p>
                        </w:txbxContent>
                      </v:textbox>
                    </v:shape>
                    <w10:wrap anchorx="page" anchory="page"/>
                  </v:group>
                </w:pict>
              </mc:Fallback>
            </mc:AlternateContent>
          </w:r>
          <w:r>
            <w:rPr>
              <w:lang w:eastAsia="zh-CN"/>
            </w:rPr>
            <w:br w:type="page"/>
          </w:r>
        </w:p>
      </w:sdtContent>
    </w:sdt>
    <w:p w:rsidR="00FC2D50" w:rsidRDefault="00FC2D50" w:rsidP="00FC2D50">
      <w:pPr>
        <w:pStyle w:val="Title"/>
        <w:jc w:val="center"/>
        <w:rPr>
          <w:rFonts w:ascii="Times New Roman" w:hAnsi="Times New Roman" w:cs="Times New Roman"/>
        </w:rPr>
      </w:pPr>
    </w:p>
    <w:p w:rsidR="00FC2D50" w:rsidRDefault="00FC2D50" w:rsidP="00FC2D50">
      <w:pPr>
        <w:pStyle w:val="Title"/>
        <w:jc w:val="center"/>
        <w:rPr>
          <w:rFonts w:ascii="Times New Roman" w:hAnsi="Times New Roman" w:cs="Times New Roman"/>
        </w:rPr>
      </w:pPr>
    </w:p>
    <w:p w:rsidR="00FC2D50" w:rsidRDefault="00D6038A" w:rsidP="00FC2D50">
      <w:pPr>
        <w:pStyle w:val="Title"/>
        <w:jc w:val="center"/>
        <w:rPr>
          <w:rFonts w:ascii="Times New Roman" w:hAnsi="Times New Roman" w:cs="Times New Roman"/>
          <w:sz w:val="60"/>
          <w:szCs w:val="60"/>
        </w:rPr>
      </w:pPr>
      <w:r w:rsidRPr="00FC2D50">
        <w:rPr>
          <w:rFonts w:ascii="Times New Roman" w:hAnsi="Times New Roman" w:cs="Times New Roman"/>
          <w:sz w:val="60"/>
          <w:szCs w:val="60"/>
        </w:rPr>
        <w:t xml:space="preserve">Everything Comes at a Price: </w:t>
      </w:r>
    </w:p>
    <w:p w:rsidR="00FC2D50" w:rsidRDefault="000319A8" w:rsidP="00FC2D50">
      <w:pPr>
        <w:pStyle w:val="Title"/>
        <w:jc w:val="center"/>
        <w:rPr>
          <w:rFonts w:ascii="Times New Roman" w:hAnsi="Times New Roman" w:cs="Times New Roman"/>
          <w:sz w:val="60"/>
          <w:szCs w:val="60"/>
        </w:rPr>
      </w:pPr>
      <w:r w:rsidRPr="00FC2D50">
        <w:rPr>
          <w:rFonts w:ascii="Times New Roman" w:hAnsi="Times New Roman" w:cs="Times New Roman"/>
          <w:sz w:val="60"/>
          <w:szCs w:val="60"/>
        </w:rPr>
        <w:lastRenderedPageBreak/>
        <w:t xml:space="preserve">An Exploration of the Impact of Bylaw Enforcement </w:t>
      </w:r>
      <w:r w:rsidRPr="00FC2D50">
        <w:rPr>
          <w:rFonts w:ascii="Times New Roman" w:hAnsi="Times New Roman" w:cs="Times New Roman"/>
          <w:sz w:val="60"/>
          <w:szCs w:val="60"/>
        </w:rPr>
        <w:lastRenderedPageBreak/>
        <w:t xml:space="preserve">Practices in the </w:t>
      </w:r>
    </w:p>
    <w:p w:rsidR="000319A8" w:rsidRPr="00FC2D50" w:rsidRDefault="000319A8" w:rsidP="00FC2D50">
      <w:pPr>
        <w:pStyle w:val="Title"/>
        <w:jc w:val="center"/>
        <w:rPr>
          <w:rFonts w:ascii="Times New Roman" w:hAnsi="Times New Roman" w:cs="Times New Roman"/>
          <w:sz w:val="60"/>
          <w:szCs w:val="60"/>
        </w:rPr>
      </w:pPr>
      <w:r w:rsidRPr="00FC2D50">
        <w:rPr>
          <w:rFonts w:ascii="Times New Roman" w:hAnsi="Times New Roman" w:cs="Times New Roman"/>
          <w:sz w:val="60"/>
          <w:szCs w:val="60"/>
        </w:rPr>
        <w:t>City of Calgary</w:t>
      </w:r>
    </w:p>
    <w:p w:rsidR="000319A8" w:rsidRPr="00C32252" w:rsidRDefault="000319A8" w:rsidP="00924A5F">
      <w:pPr>
        <w:rPr>
          <w:b/>
        </w:rPr>
      </w:pPr>
    </w:p>
    <w:p w:rsidR="00FC2D50" w:rsidRDefault="00FC2D50" w:rsidP="00FC2D50">
      <w:pPr>
        <w:jc w:val="center"/>
        <w:rPr>
          <w:b/>
          <w:sz w:val="32"/>
          <w:szCs w:val="32"/>
        </w:rPr>
      </w:pPr>
    </w:p>
    <w:p w:rsidR="00FC2D50" w:rsidRDefault="00FC2D50" w:rsidP="00FC2D50">
      <w:pPr>
        <w:jc w:val="center"/>
        <w:rPr>
          <w:b/>
          <w:sz w:val="32"/>
          <w:szCs w:val="32"/>
        </w:rPr>
      </w:pPr>
    </w:p>
    <w:p w:rsidR="00FC2D50" w:rsidRDefault="00FC2D50" w:rsidP="00FC2D50">
      <w:pPr>
        <w:jc w:val="center"/>
        <w:rPr>
          <w:b/>
          <w:sz w:val="32"/>
          <w:szCs w:val="32"/>
        </w:rPr>
      </w:pPr>
    </w:p>
    <w:p w:rsidR="00FC2D50" w:rsidRDefault="00FC2D50" w:rsidP="00FC2D50">
      <w:pPr>
        <w:jc w:val="center"/>
        <w:rPr>
          <w:b/>
          <w:sz w:val="32"/>
          <w:szCs w:val="32"/>
        </w:rPr>
      </w:pPr>
    </w:p>
    <w:p w:rsidR="00FC2D50" w:rsidRDefault="008B7633" w:rsidP="008B7633">
      <w:pPr>
        <w:tabs>
          <w:tab w:val="left" w:pos="3640"/>
        </w:tabs>
        <w:rPr>
          <w:b/>
          <w:sz w:val="32"/>
          <w:szCs w:val="32"/>
        </w:rPr>
      </w:pPr>
      <w:r>
        <w:rPr>
          <w:b/>
          <w:sz w:val="32"/>
          <w:szCs w:val="32"/>
        </w:rPr>
        <w:tab/>
      </w:r>
    </w:p>
    <w:p w:rsidR="00FC2D50" w:rsidRDefault="00FC2D50" w:rsidP="00FC2D50">
      <w:pPr>
        <w:jc w:val="center"/>
        <w:rPr>
          <w:b/>
          <w:sz w:val="32"/>
          <w:szCs w:val="32"/>
        </w:rPr>
      </w:pPr>
    </w:p>
    <w:p w:rsidR="00FC2D50" w:rsidRDefault="00FC2D50" w:rsidP="00FC2D50">
      <w:pPr>
        <w:jc w:val="center"/>
        <w:rPr>
          <w:b/>
          <w:sz w:val="32"/>
          <w:szCs w:val="32"/>
        </w:rPr>
      </w:pPr>
    </w:p>
    <w:p w:rsidR="007A4B50" w:rsidRDefault="00FC2D50" w:rsidP="00FC2D50">
      <w:pPr>
        <w:jc w:val="center"/>
        <w:rPr>
          <w:b/>
          <w:sz w:val="32"/>
          <w:szCs w:val="32"/>
        </w:rPr>
      </w:pPr>
      <w:r w:rsidRPr="00FC2D50">
        <w:rPr>
          <w:b/>
          <w:sz w:val="32"/>
          <w:szCs w:val="32"/>
        </w:rPr>
        <w:t xml:space="preserve">A Report prepared for </w:t>
      </w:r>
      <w:r w:rsidR="007A4B50">
        <w:rPr>
          <w:b/>
          <w:sz w:val="32"/>
          <w:szCs w:val="32"/>
        </w:rPr>
        <w:t>the</w:t>
      </w:r>
    </w:p>
    <w:p w:rsidR="008B7633" w:rsidRDefault="008B7633" w:rsidP="00FC2D50">
      <w:pPr>
        <w:jc w:val="center"/>
        <w:rPr>
          <w:b/>
          <w:sz w:val="32"/>
          <w:szCs w:val="32"/>
        </w:rPr>
      </w:pPr>
    </w:p>
    <w:p w:rsidR="007A4B50" w:rsidRDefault="008B7633" w:rsidP="00FC2D50">
      <w:pPr>
        <w:jc w:val="center"/>
        <w:rPr>
          <w:b/>
          <w:sz w:val="32"/>
          <w:szCs w:val="32"/>
        </w:rPr>
      </w:pPr>
      <w:r>
        <w:rPr>
          <w:b/>
          <w:noProof/>
          <w:sz w:val="32"/>
          <w:szCs w:val="32"/>
          <w:lang w:val="en-CA" w:eastAsia="en-CA"/>
        </w:rPr>
        <w:drawing>
          <wp:inline distT="0" distB="0" distL="0" distR="0" wp14:anchorId="2CF3A58F" wp14:editId="1A233472">
            <wp:extent cx="24765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emf_colour_72dpi.jpg"/>
                    <pic:cNvPicPr/>
                  </pic:nvPicPr>
                  <pic:blipFill>
                    <a:blip r:embed="rId8">
                      <a:extLst>
                        <a:ext uri="{28A0092B-C50C-407E-A947-70E740481C1C}">
                          <a14:useLocalDpi xmlns:a14="http://schemas.microsoft.com/office/drawing/2010/main" val="0"/>
                        </a:ext>
                      </a:extLst>
                    </a:blip>
                    <a:stretch>
                      <a:fillRect/>
                    </a:stretch>
                  </pic:blipFill>
                  <pic:spPr>
                    <a:xfrm>
                      <a:off x="0" y="0"/>
                      <a:ext cx="2476500" cy="1143000"/>
                    </a:xfrm>
                    <a:prstGeom prst="rect">
                      <a:avLst/>
                    </a:prstGeom>
                  </pic:spPr>
                </pic:pic>
              </a:graphicData>
            </a:graphic>
          </wp:inline>
        </w:drawing>
      </w:r>
    </w:p>
    <w:p w:rsidR="007A4B50" w:rsidRDefault="007A4B50" w:rsidP="00FC2D50">
      <w:pPr>
        <w:jc w:val="center"/>
        <w:rPr>
          <w:b/>
          <w:sz w:val="32"/>
          <w:szCs w:val="32"/>
        </w:rPr>
      </w:pPr>
    </w:p>
    <w:p w:rsidR="008B7633" w:rsidRDefault="008B7633" w:rsidP="00FC2D50">
      <w:pPr>
        <w:jc w:val="center"/>
        <w:rPr>
          <w:b/>
          <w:sz w:val="32"/>
          <w:szCs w:val="32"/>
        </w:rPr>
      </w:pPr>
    </w:p>
    <w:p w:rsidR="00FC2D50" w:rsidRPr="00FC2D50" w:rsidRDefault="00A851F9" w:rsidP="00FC2D50">
      <w:pPr>
        <w:jc w:val="center"/>
        <w:rPr>
          <w:b/>
          <w:sz w:val="32"/>
          <w:szCs w:val="32"/>
        </w:rPr>
      </w:pPr>
      <w:r>
        <w:rPr>
          <w:b/>
          <w:sz w:val="32"/>
          <w:szCs w:val="32"/>
        </w:rPr>
        <w:lastRenderedPageBreak/>
        <w:t>on behalf of the Justice Sector Constellation</w:t>
      </w:r>
    </w:p>
    <w:p w:rsidR="002A5902" w:rsidRDefault="002A5902" w:rsidP="00FC2D50">
      <w:pPr>
        <w:jc w:val="center"/>
        <w:rPr>
          <w:b/>
          <w:sz w:val="28"/>
          <w:szCs w:val="28"/>
        </w:rPr>
      </w:pPr>
    </w:p>
    <w:p w:rsidR="007A4B50" w:rsidRDefault="007A4B50" w:rsidP="00FC2D50">
      <w:pPr>
        <w:jc w:val="center"/>
        <w:rPr>
          <w:b/>
          <w:sz w:val="28"/>
          <w:szCs w:val="28"/>
        </w:rPr>
      </w:pPr>
    </w:p>
    <w:p w:rsidR="007A4B50" w:rsidRDefault="007A4B50" w:rsidP="00FC2D50">
      <w:pPr>
        <w:jc w:val="center"/>
        <w:rPr>
          <w:b/>
          <w:sz w:val="28"/>
          <w:szCs w:val="28"/>
        </w:rPr>
      </w:pPr>
    </w:p>
    <w:p w:rsidR="00FC2D50" w:rsidRDefault="002A5902" w:rsidP="00FC2D50">
      <w:pPr>
        <w:jc w:val="center"/>
        <w:rPr>
          <w:b/>
          <w:sz w:val="28"/>
          <w:szCs w:val="28"/>
        </w:rPr>
      </w:pPr>
      <w:r>
        <w:rPr>
          <w:b/>
          <w:sz w:val="28"/>
          <w:szCs w:val="28"/>
        </w:rPr>
        <w:t>Authors:</w:t>
      </w:r>
    </w:p>
    <w:p w:rsidR="002A5902" w:rsidRPr="002A5902" w:rsidRDefault="00FC2D50" w:rsidP="002A5902">
      <w:pPr>
        <w:jc w:val="center"/>
        <w:rPr>
          <w:sz w:val="28"/>
          <w:szCs w:val="28"/>
        </w:rPr>
      </w:pPr>
      <w:r w:rsidRPr="002A5902">
        <w:rPr>
          <w:sz w:val="28"/>
          <w:szCs w:val="28"/>
        </w:rPr>
        <w:t>Carolyn Greene</w:t>
      </w:r>
      <w:r w:rsidR="002A5902" w:rsidRPr="002A5902">
        <w:rPr>
          <w:sz w:val="28"/>
          <w:szCs w:val="28"/>
        </w:rPr>
        <w:t xml:space="preserve"> (Athabasca University)</w:t>
      </w:r>
    </w:p>
    <w:p w:rsidR="002A5902" w:rsidRPr="002A5902" w:rsidRDefault="002A5902" w:rsidP="002A5902">
      <w:pPr>
        <w:jc w:val="center"/>
        <w:rPr>
          <w:sz w:val="28"/>
          <w:szCs w:val="28"/>
        </w:rPr>
      </w:pPr>
      <w:r w:rsidRPr="002A5902">
        <w:rPr>
          <w:sz w:val="28"/>
          <w:szCs w:val="28"/>
        </w:rPr>
        <w:t>Katelyn Lucas (Elizabeth Fry Society of Calgary)</w:t>
      </w:r>
    </w:p>
    <w:p w:rsidR="00FC2D50" w:rsidRPr="002A5902" w:rsidRDefault="002A5902" w:rsidP="002A5902">
      <w:pPr>
        <w:jc w:val="center"/>
        <w:rPr>
          <w:sz w:val="28"/>
          <w:szCs w:val="28"/>
        </w:rPr>
      </w:pPr>
      <w:r w:rsidRPr="002A5902">
        <w:rPr>
          <w:sz w:val="28"/>
          <w:szCs w:val="28"/>
        </w:rPr>
        <w:lastRenderedPageBreak/>
        <w:t>Nicole Williams (Elizabeth Fry Society of Calgary)</w:t>
      </w:r>
    </w:p>
    <w:p w:rsidR="00FC2D50" w:rsidRDefault="00FC2D50" w:rsidP="00FC2D50">
      <w:pPr>
        <w:jc w:val="center"/>
        <w:rPr>
          <w:b/>
          <w:sz w:val="28"/>
          <w:szCs w:val="28"/>
        </w:rPr>
      </w:pPr>
    </w:p>
    <w:p w:rsidR="007A4B50" w:rsidRDefault="0008043F" w:rsidP="007A4B50">
      <w:pPr>
        <w:jc w:val="center"/>
        <w:rPr>
          <w:b/>
          <w:sz w:val="28"/>
          <w:szCs w:val="28"/>
        </w:rPr>
      </w:pPr>
      <w:r>
        <w:rPr>
          <w:b/>
          <w:sz w:val="28"/>
          <w:szCs w:val="28"/>
        </w:rPr>
        <w:t>November</w:t>
      </w:r>
      <w:r w:rsidR="00FC2D50">
        <w:rPr>
          <w:b/>
          <w:sz w:val="28"/>
          <w:szCs w:val="28"/>
        </w:rPr>
        <w:t xml:space="preserve"> 2017</w:t>
      </w:r>
    </w:p>
    <w:p w:rsidR="00AF244E" w:rsidRPr="007A4B50" w:rsidRDefault="00B86B88" w:rsidP="007A4B50">
      <w:pPr>
        <w:jc w:val="center"/>
        <w:rPr>
          <w:b/>
          <w:sz w:val="28"/>
          <w:szCs w:val="28"/>
        </w:rPr>
      </w:pPr>
      <w:r w:rsidRPr="00CF53DA">
        <w:rPr>
          <w:b/>
          <w:sz w:val="32"/>
          <w:szCs w:val="32"/>
          <w:u w:val="single"/>
        </w:rPr>
        <w:t>Acknowledgements</w:t>
      </w:r>
    </w:p>
    <w:p w:rsidR="008051F8" w:rsidRDefault="008051F8" w:rsidP="00924A5F"/>
    <w:p w:rsidR="00FC2D50" w:rsidRDefault="00FC2D50" w:rsidP="00393BD9">
      <w:pPr>
        <w:spacing w:line="360" w:lineRule="auto"/>
      </w:pPr>
    </w:p>
    <w:p w:rsidR="00B86B88" w:rsidRPr="00CF53DA" w:rsidRDefault="0040558D" w:rsidP="00DF4A5E">
      <w:pPr>
        <w:spacing w:line="360" w:lineRule="auto"/>
        <w:jc w:val="both"/>
        <w:rPr>
          <w:sz w:val="28"/>
          <w:szCs w:val="28"/>
        </w:rPr>
      </w:pPr>
      <w:r>
        <w:rPr>
          <w:sz w:val="28"/>
          <w:szCs w:val="28"/>
        </w:rPr>
        <w:t>This research project (Redressing Discrimination in Bylaws)</w:t>
      </w:r>
      <w:r w:rsidR="00357A2E">
        <w:rPr>
          <w:sz w:val="28"/>
          <w:szCs w:val="28"/>
        </w:rPr>
        <w:t xml:space="preserve"> </w:t>
      </w:r>
      <w:r w:rsidR="00B86B88" w:rsidRPr="00CF53DA">
        <w:rPr>
          <w:sz w:val="28"/>
          <w:szCs w:val="28"/>
        </w:rPr>
        <w:t xml:space="preserve">was </w:t>
      </w:r>
      <w:r w:rsidR="00393BD9" w:rsidRPr="00CF53DA">
        <w:rPr>
          <w:sz w:val="28"/>
          <w:szCs w:val="28"/>
        </w:rPr>
        <w:t xml:space="preserve">funded by </w:t>
      </w:r>
      <w:r w:rsidR="00393BD9" w:rsidRPr="00CF53DA">
        <w:rPr>
          <w:sz w:val="28"/>
          <w:szCs w:val="28"/>
        </w:rPr>
        <w:lastRenderedPageBreak/>
        <w:t xml:space="preserve">the </w:t>
      </w:r>
      <w:r w:rsidR="00393BD9" w:rsidRPr="008D58F4">
        <w:rPr>
          <w:sz w:val="28"/>
          <w:szCs w:val="28"/>
        </w:rPr>
        <w:t>Alberta Human Rights</w:t>
      </w:r>
      <w:r w:rsidR="00D54415" w:rsidRPr="008D58F4">
        <w:rPr>
          <w:sz w:val="28"/>
          <w:szCs w:val="28"/>
        </w:rPr>
        <w:t xml:space="preserve"> Education and Multiculturalism Fund</w:t>
      </w:r>
      <w:r w:rsidR="00B86B88" w:rsidRPr="00CF53DA">
        <w:rPr>
          <w:sz w:val="28"/>
          <w:szCs w:val="28"/>
        </w:rPr>
        <w:t>.</w:t>
      </w:r>
      <w:r w:rsidR="00AA5B12">
        <w:rPr>
          <w:sz w:val="28"/>
          <w:szCs w:val="28"/>
        </w:rPr>
        <w:t xml:space="preserve"> </w:t>
      </w:r>
      <w:r w:rsidR="00B86B88" w:rsidRPr="00CF53DA">
        <w:rPr>
          <w:sz w:val="28"/>
          <w:szCs w:val="28"/>
        </w:rPr>
        <w:t>We ar</w:t>
      </w:r>
      <w:r w:rsidR="008051F8" w:rsidRPr="00CF53DA">
        <w:rPr>
          <w:sz w:val="28"/>
          <w:szCs w:val="28"/>
        </w:rPr>
        <w:t>e incredibly</w:t>
      </w:r>
      <w:r w:rsidR="00B86B88" w:rsidRPr="00CF53DA">
        <w:rPr>
          <w:sz w:val="28"/>
          <w:szCs w:val="28"/>
        </w:rPr>
        <w:t xml:space="preserve"> g</w:t>
      </w:r>
      <w:r w:rsidR="008051F8" w:rsidRPr="00CF53DA">
        <w:rPr>
          <w:sz w:val="28"/>
          <w:szCs w:val="28"/>
        </w:rPr>
        <w:t>rateful for their support of this research</w:t>
      </w:r>
      <w:r w:rsidR="00B86B88" w:rsidRPr="00CF53DA">
        <w:rPr>
          <w:sz w:val="28"/>
          <w:szCs w:val="28"/>
        </w:rPr>
        <w:t>.</w:t>
      </w:r>
      <w:r w:rsidR="00AA5B12">
        <w:rPr>
          <w:sz w:val="28"/>
          <w:szCs w:val="28"/>
        </w:rPr>
        <w:t xml:space="preserve"> </w:t>
      </w:r>
      <w:r w:rsidR="00B86B88" w:rsidRPr="00CF53DA">
        <w:rPr>
          <w:sz w:val="28"/>
          <w:szCs w:val="28"/>
        </w:rPr>
        <w:t xml:space="preserve">We also wish to thank the many community </w:t>
      </w:r>
      <w:r w:rsidR="008051F8" w:rsidRPr="00CF53DA">
        <w:rPr>
          <w:sz w:val="28"/>
          <w:szCs w:val="28"/>
        </w:rPr>
        <w:t>group</w:t>
      </w:r>
      <w:r w:rsidR="00B86B88" w:rsidRPr="00CF53DA">
        <w:rPr>
          <w:sz w:val="28"/>
          <w:szCs w:val="28"/>
        </w:rPr>
        <w:t>s that participated in this research.</w:t>
      </w:r>
      <w:r w:rsidR="00AA5B12">
        <w:rPr>
          <w:sz w:val="28"/>
          <w:szCs w:val="28"/>
        </w:rPr>
        <w:t xml:space="preserve"> </w:t>
      </w:r>
      <w:r w:rsidR="00B86B88" w:rsidRPr="00CF53DA">
        <w:rPr>
          <w:sz w:val="28"/>
          <w:szCs w:val="28"/>
        </w:rPr>
        <w:lastRenderedPageBreak/>
        <w:t xml:space="preserve">Specifically, we wish to thank Alpha House, the </w:t>
      </w:r>
      <w:r w:rsidR="00AA5B12">
        <w:rPr>
          <w:sz w:val="28"/>
          <w:szCs w:val="28"/>
        </w:rPr>
        <w:t xml:space="preserve">Calgary </w:t>
      </w:r>
      <w:r w:rsidR="00B86B88" w:rsidRPr="00CF53DA">
        <w:rPr>
          <w:sz w:val="28"/>
          <w:szCs w:val="28"/>
        </w:rPr>
        <w:t>Drop-In and Rehab Centre</w:t>
      </w:r>
      <w:r w:rsidR="0014339D">
        <w:rPr>
          <w:sz w:val="28"/>
          <w:szCs w:val="28"/>
        </w:rPr>
        <w:t xml:space="preserve"> Society</w:t>
      </w:r>
      <w:r w:rsidR="00B86B88" w:rsidRPr="00CF53DA">
        <w:rPr>
          <w:sz w:val="28"/>
          <w:szCs w:val="28"/>
        </w:rPr>
        <w:t xml:space="preserve">, Inn from the Cold, Vibrant Communities Calgary, Law at Your Library workshops, Calgary John Howard Society, </w:t>
      </w:r>
      <w:r w:rsidR="00B86B88" w:rsidRPr="00CF53DA">
        <w:rPr>
          <w:sz w:val="28"/>
          <w:szCs w:val="28"/>
        </w:rPr>
        <w:lastRenderedPageBreak/>
        <w:t>Women’s Resource Centre, Elizabeth Fry Society of Calgary, Mustard Seed,</w:t>
      </w:r>
      <w:r w:rsidR="00AA5B12">
        <w:rPr>
          <w:sz w:val="28"/>
          <w:szCs w:val="28"/>
        </w:rPr>
        <w:t xml:space="preserve"> Calgary Food Bank</w:t>
      </w:r>
      <w:r w:rsidR="00B86B88" w:rsidRPr="00CF53DA">
        <w:rPr>
          <w:sz w:val="28"/>
          <w:szCs w:val="28"/>
        </w:rPr>
        <w:t xml:space="preserve"> and Calgary Legal Guidance</w:t>
      </w:r>
      <w:r w:rsidR="008051F8" w:rsidRPr="00CF53DA">
        <w:rPr>
          <w:sz w:val="28"/>
          <w:szCs w:val="28"/>
        </w:rPr>
        <w:t>.</w:t>
      </w:r>
      <w:r w:rsidR="00AA5B12">
        <w:rPr>
          <w:sz w:val="28"/>
          <w:szCs w:val="28"/>
        </w:rPr>
        <w:t xml:space="preserve"> </w:t>
      </w:r>
      <w:r w:rsidR="008051F8" w:rsidRPr="00CF53DA">
        <w:rPr>
          <w:sz w:val="28"/>
          <w:szCs w:val="28"/>
        </w:rPr>
        <w:t>The community based surveys would not have been possible without this support.</w:t>
      </w:r>
      <w:r w:rsidR="00AA5B12">
        <w:rPr>
          <w:sz w:val="28"/>
          <w:szCs w:val="28"/>
        </w:rPr>
        <w:t xml:space="preserve"> </w:t>
      </w:r>
      <w:r w:rsidR="00113CBF" w:rsidRPr="00CF53DA">
        <w:rPr>
          <w:sz w:val="28"/>
          <w:szCs w:val="28"/>
        </w:rPr>
        <w:t xml:space="preserve">We also wish to </w:t>
      </w:r>
      <w:r w:rsidR="00113CBF" w:rsidRPr="00CF53DA">
        <w:rPr>
          <w:sz w:val="28"/>
          <w:szCs w:val="28"/>
        </w:rPr>
        <w:lastRenderedPageBreak/>
        <w:t>thank the Justice Sector Constellation (JSC) and JSC sub-committee for their ongoing support and guidance during the research design and data collection</w:t>
      </w:r>
      <w:r w:rsidR="00FC1A42" w:rsidRPr="00CF53DA">
        <w:rPr>
          <w:sz w:val="28"/>
          <w:szCs w:val="28"/>
        </w:rPr>
        <w:t xml:space="preserve"> phases of this research</w:t>
      </w:r>
      <w:r w:rsidR="00113CBF" w:rsidRPr="00CF53DA">
        <w:rPr>
          <w:sz w:val="28"/>
          <w:szCs w:val="28"/>
        </w:rPr>
        <w:t>.</w:t>
      </w:r>
      <w:r w:rsidR="00AA5B12">
        <w:rPr>
          <w:sz w:val="28"/>
          <w:szCs w:val="28"/>
        </w:rPr>
        <w:t xml:space="preserve"> </w:t>
      </w:r>
      <w:r w:rsidR="008051F8" w:rsidRPr="00CF53DA">
        <w:rPr>
          <w:sz w:val="28"/>
          <w:szCs w:val="28"/>
        </w:rPr>
        <w:t xml:space="preserve">Finally, we would like to thank the </w:t>
      </w:r>
      <w:r w:rsidR="008051F8" w:rsidRPr="00CF53DA">
        <w:rPr>
          <w:sz w:val="28"/>
          <w:szCs w:val="28"/>
        </w:rPr>
        <w:lastRenderedPageBreak/>
        <w:t>many Elizabeth Fry Society of Calgary volunteers who helped with survey administration at the Calgary Courts Centre.</w:t>
      </w:r>
      <w:r w:rsidR="00AA5B12">
        <w:rPr>
          <w:sz w:val="28"/>
          <w:szCs w:val="28"/>
        </w:rPr>
        <w:t xml:space="preserve"> </w:t>
      </w:r>
    </w:p>
    <w:p w:rsidR="008051F8" w:rsidRDefault="008051F8" w:rsidP="00924A5F"/>
    <w:p w:rsidR="008051F8" w:rsidRPr="008051F8" w:rsidRDefault="008051F8" w:rsidP="00924A5F"/>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924A5F">
      <w:pPr>
        <w:rPr>
          <w:b/>
          <w:sz w:val="28"/>
          <w:szCs w:val="28"/>
          <w:u w:val="single"/>
        </w:rPr>
      </w:pPr>
    </w:p>
    <w:p w:rsidR="00FC2D50" w:rsidRDefault="00FC2D50" w:rsidP="00031DC2">
      <w:pPr>
        <w:spacing w:after="160" w:line="259" w:lineRule="auto"/>
        <w:rPr>
          <w:b/>
          <w:sz w:val="28"/>
          <w:szCs w:val="28"/>
          <w:u w:val="single"/>
        </w:rPr>
      </w:pPr>
    </w:p>
    <w:p w:rsidR="006A2429" w:rsidRDefault="006A2429" w:rsidP="00685AEB">
      <w:pPr>
        <w:spacing w:line="360" w:lineRule="auto"/>
        <w:rPr>
          <w:b/>
          <w:sz w:val="28"/>
          <w:szCs w:val="28"/>
          <w:u w:val="single"/>
        </w:rPr>
      </w:pPr>
    </w:p>
    <w:p w:rsidR="00AF244E" w:rsidRPr="00C32252" w:rsidRDefault="00F24D95" w:rsidP="00685AEB">
      <w:pPr>
        <w:spacing w:line="360" w:lineRule="auto"/>
        <w:rPr>
          <w:b/>
          <w:sz w:val="28"/>
          <w:szCs w:val="28"/>
          <w:u w:val="single"/>
        </w:rPr>
      </w:pPr>
      <w:r w:rsidRPr="00612B3E">
        <w:rPr>
          <w:b/>
          <w:sz w:val="28"/>
          <w:szCs w:val="28"/>
          <w:u w:val="single"/>
        </w:rPr>
        <w:lastRenderedPageBreak/>
        <w:t>Introduction</w:t>
      </w:r>
      <w:r>
        <w:rPr>
          <w:b/>
          <w:sz w:val="28"/>
          <w:szCs w:val="28"/>
          <w:u w:val="single"/>
        </w:rPr>
        <w:t>__________________</w:t>
      </w:r>
      <w:r w:rsidR="00DD0F9D">
        <w:rPr>
          <w:b/>
          <w:sz w:val="28"/>
          <w:szCs w:val="28"/>
          <w:u w:val="single"/>
        </w:rPr>
        <w:t>_____________________________________</w:t>
      </w:r>
    </w:p>
    <w:p w:rsidR="00685AEB" w:rsidRDefault="00685AEB" w:rsidP="00685AEB">
      <w:pPr>
        <w:spacing w:line="360" w:lineRule="auto"/>
      </w:pPr>
    </w:p>
    <w:p w:rsidR="00FC2D50" w:rsidRDefault="00793689" w:rsidP="00685AEB">
      <w:pPr>
        <w:spacing w:line="360" w:lineRule="auto"/>
        <w:rPr>
          <w:rFonts w:eastAsia="Times New Roman"/>
          <w:color w:val="000000" w:themeColor="text1"/>
          <w:shd w:val="clear" w:color="auto" w:fill="FFFFFF"/>
        </w:rPr>
      </w:pPr>
      <w:r>
        <w:t>Across the country, municipal governm</w:t>
      </w:r>
      <w:r w:rsidR="00ED4EEC">
        <w:t xml:space="preserve">ents utilize varying legal </w:t>
      </w:r>
      <w:r w:rsidR="00CB19E7">
        <w:t>tools</w:t>
      </w:r>
      <w:r w:rsidR="00370EE3">
        <w:t>, specifically bylaws,</w:t>
      </w:r>
      <w:r>
        <w:t xml:space="preserve"> to address </w:t>
      </w:r>
      <w:r w:rsidR="00CB19E7">
        <w:t xml:space="preserve">issues of </w:t>
      </w:r>
      <w:r w:rsidR="00CB19E7">
        <w:lastRenderedPageBreak/>
        <w:t xml:space="preserve">order and disorder </w:t>
      </w:r>
      <w:r>
        <w:t>within</w:t>
      </w:r>
      <w:r w:rsidR="00B51729">
        <w:t xml:space="preserve"> Canadian cities</w:t>
      </w:r>
      <w:r>
        <w:t>.</w:t>
      </w:r>
      <w:r w:rsidR="00AA5B12">
        <w:t xml:space="preserve"> </w:t>
      </w:r>
      <w:r w:rsidR="00370EE3">
        <w:t>Some e</w:t>
      </w:r>
      <w:r>
        <w:t xml:space="preserve">xamples </w:t>
      </w:r>
      <w:r w:rsidR="00644E15">
        <w:t xml:space="preserve">of </w:t>
      </w:r>
      <w:r w:rsidR="00370EE3">
        <w:t xml:space="preserve">areas targeted by bylaws </w:t>
      </w:r>
      <w:r>
        <w:t xml:space="preserve">include </w:t>
      </w:r>
      <w:r w:rsidR="00370EE3">
        <w:t xml:space="preserve">environmental protection, </w:t>
      </w:r>
      <w:r>
        <w:t xml:space="preserve">land use, property maintenance, parking, and </w:t>
      </w:r>
      <w:r w:rsidR="00DA0D4F">
        <w:t xml:space="preserve">numerous </w:t>
      </w:r>
      <w:r>
        <w:t>social disorder</w:t>
      </w:r>
      <w:r w:rsidR="000D08BF">
        <w:t xml:space="preserve"> restrictions (behaviours targeted by such laws</w:t>
      </w:r>
      <w:r w:rsidR="00DA0D4F">
        <w:t xml:space="preserve"> </w:t>
      </w:r>
      <w:r w:rsidR="00370EE3">
        <w:t xml:space="preserve">that </w:t>
      </w:r>
      <w:r w:rsidR="00DA0D4F">
        <w:t xml:space="preserve">include, but are not limited to, </w:t>
      </w:r>
      <w:r w:rsidR="00DA0D4F">
        <w:lastRenderedPageBreak/>
        <w:t xml:space="preserve">loitering, panhandling, </w:t>
      </w:r>
      <w:r w:rsidR="00E56693">
        <w:t>public urination, littering)</w:t>
      </w:r>
      <w:r>
        <w:t>.</w:t>
      </w:r>
      <w:r w:rsidR="00AA5B12">
        <w:t xml:space="preserve"> </w:t>
      </w:r>
      <w:r w:rsidR="005064AB">
        <w:t xml:space="preserve">These legal tools are used to prescribe what are deemed to be pro-social behaviours </w:t>
      </w:r>
      <w:r w:rsidR="005064AB" w:rsidRPr="00370EE3">
        <w:rPr>
          <w:color w:val="000000" w:themeColor="text1"/>
        </w:rPr>
        <w:t xml:space="preserve">that encourage </w:t>
      </w:r>
      <w:r w:rsidR="00EF1638" w:rsidRPr="00370EE3">
        <w:rPr>
          <w:color w:val="000000" w:themeColor="text1"/>
        </w:rPr>
        <w:t xml:space="preserve">environmental protection, safety and </w:t>
      </w:r>
      <w:r w:rsidR="00370EE3" w:rsidRPr="00370EE3">
        <w:rPr>
          <w:color w:val="000000" w:themeColor="text1"/>
        </w:rPr>
        <w:t xml:space="preserve">social order within these municipalities. </w:t>
      </w:r>
      <w:r w:rsidR="005064AB" w:rsidRPr="00370EE3">
        <w:rPr>
          <w:color w:val="000000" w:themeColor="text1"/>
        </w:rPr>
        <w:t>As the City of Calgary states, “</w:t>
      </w:r>
      <w:r w:rsidR="005064AB" w:rsidRPr="00370EE3">
        <w:rPr>
          <w:rFonts w:eastAsia="Times New Roman"/>
          <w:color w:val="000000" w:themeColor="text1"/>
          <w:shd w:val="clear" w:color="auto" w:fill="FFFFFF"/>
        </w:rPr>
        <w:t xml:space="preserve">Bylaws are created as a way </w:t>
      </w:r>
      <w:r w:rsidR="005064AB" w:rsidRPr="00370EE3">
        <w:rPr>
          <w:rFonts w:eastAsia="Times New Roman"/>
          <w:color w:val="000000" w:themeColor="text1"/>
          <w:shd w:val="clear" w:color="auto" w:fill="FFFFFF"/>
        </w:rPr>
        <w:lastRenderedPageBreak/>
        <w:t>to address issues and concerns of the local community. They are created to protect the environment, public health, public safety, or to maintain an orderly appearance in your community and city”</w:t>
      </w:r>
      <w:r w:rsidR="00A46D67">
        <w:rPr>
          <w:rFonts w:eastAsia="Times New Roman"/>
          <w:color w:val="000000" w:themeColor="text1"/>
          <w:shd w:val="clear" w:color="auto" w:fill="FFFFFF"/>
        </w:rPr>
        <w:t xml:space="preserve"> (City of Calgary)</w:t>
      </w:r>
      <w:r w:rsidR="005064AB" w:rsidRPr="00370EE3">
        <w:rPr>
          <w:rFonts w:eastAsia="Times New Roman"/>
          <w:color w:val="000000" w:themeColor="text1"/>
          <w:shd w:val="clear" w:color="auto" w:fill="FFFFFF"/>
        </w:rPr>
        <w:t>.</w:t>
      </w:r>
      <w:r w:rsidR="00AA5B12">
        <w:rPr>
          <w:rFonts w:eastAsia="Times New Roman"/>
          <w:color w:val="000000" w:themeColor="text1"/>
          <w:shd w:val="clear" w:color="auto" w:fill="FFFFFF"/>
        </w:rPr>
        <w:t xml:space="preserve"> </w:t>
      </w:r>
      <w:r w:rsidR="00C553B7" w:rsidRPr="00370EE3">
        <w:rPr>
          <w:rFonts w:eastAsia="Times New Roman"/>
          <w:color w:val="000000" w:themeColor="text1"/>
          <w:shd w:val="clear" w:color="auto" w:fill="FFFFFF"/>
        </w:rPr>
        <w:t xml:space="preserve">And while </w:t>
      </w:r>
      <w:r w:rsidR="005C074A" w:rsidRPr="00370EE3">
        <w:rPr>
          <w:rFonts w:eastAsia="Times New Roman"/>
          <w:color w:val="000000" w:themeColor="text1"/>
          <w:shd w:val="clear" w:color="auto" w:fill="FFFFFF"/>
        </w:rPr>
        <w:t xml:space="preserve">such statements </w:t>
      </w:r>
      <w:r w:rsidR="00370EE3" w:rsidRPr="00370EE3">
        <w:rPr>
          <w:rFonts w:eastAsia="Times New Roman"/>
          <w:color w:val="000000" w:themeColor="text1"/>
          <w:shd w:val="clear" w:color="auto" w:fill="FFFFFF"/>
        </w:rPr>
        <w:t xml:space="preserve">may </w:t>
      </w:r>
      <w:r w:rsidR="005C074A" w:rsidRPr="00370EE3">
        <w:rPr>
          <w:rFonts w:eastAsia="Times New Roman"/>
          <w:color w:val="000000" w:themeColor="text1"/>
          <w:shd w:val="clear" w:color="auto" w:fill="FFFFFF"/>
        </w:rPr>
        <w:t xml:space="preserve">appear impartial as written, </w:t>
      </w:r>
      <w:r w:rsidR="00EF1638" w:rsidRPr="00370EE3">
        <w:rPr>
          <w:rFonts w:eastAsia="Times New Roman"/>
          <w:color w:val="000000" w:themeColor="text1"/>
          <w:shd w:val="clear" w:color="auto" w:fill="FFFFFF"/>
        </w:rPr>
        <w:lastRenderedPageBreak/>
        <w:t xml:space="preserve">we know that </w:t>
      </w:r>
      <w:r w:rsidR="00723CFB" w:rsidRPr="00370EE3">
        <w:rPr>
          <w:rFonts w:eastAsia="Times New Roman"/>
          <w:color w:val="000000" w:themeColor="text1"/>
          <w:shd w:val="clear" w:color="auto" w:fill="FFFFFF"/>
        </w:rPr>
        <w:t>these laws are not without prejudice in their operation.</w:t>
      </w:r>
      <w:r w:rsidR="00AA5B12">
        <w:rPr>
          <w:rFonts w:eastAsia="Times New Roman"/>
          <w:color w:val="000000" w:themeColor="text1"/>
          <w:shd w:val="clear" w:color="auto" w:fill="FFFFFF"/>
        </w:rPr>
        <w:t xml:space="preserve"> </w:t>
      </w:r>
      <w:r w:rsidR="00370EE3" w:rsidRPr="00370EE3">
        <w:rPr>
          <w:rFonts w:eastAsia="Times New Roman"/>
          <w:color w:val="000000" w:themeColor="text1"/>
          <w:shd w:val="clear" w:color="auto" w:fill="FFFFFF"/>
        </w:rPr>
        <w:t>That is, bylaws, in particular those targeting social disorder, often have a disproportionately negative impact on the most vul</w:t>
      </w:r>
      <w:r w:rsidR="00FC2D50">
        <w:rPr>
          <w:rFonts w:eastAsia="Times New Roman"/>
          <w:color w:val="000000" w:themeColor="text1"/>
          <w:shd w:val="clear" w:color="auto" w:fill="FFFFFF"/>
        </w:rPr>
        <w:t xml:space="preserve">nerable members of a community. </w:t>
      </w:r>
    </w:p>
    <w:p w:rsidR="00FC2D50" w:rsidRDefault="00FC2D50" w:rsidP="00685AEB">
      <w:pPr>
        <w:spacing w:line="360" w:lineRule="auto"/>
        <w:rPr>
          <w:color w:val="000000" w:themeColor="text1"/>
        </w:rPr>
      </w:pPr>
    </w:p>
    <w:p w:rsidR="00C82A5D" w:rsidRPr="00FC2D50" w:rsidRDefault="00B51729" w:rsidP="00685AEB">
      <w:pPr>
        <w:spacing w:line="360" w:lineRule="auto"/>
        <w:rPr>
          <w:rFonts w:eastAsia="Times New Roman"/>
          <w:color w:val="000000" w:themeColor="text1"/>
          <w:shd w:val="clear" w:color="auto" w:fill="FFFFFF"/>
        </w:rPr>
      </w:pPr>
      <w:r w:rsidRPr="00370EE3">
        <w:rPr>
          <w:color w:val="000000" w:themeColor="text1"/>
        </w:rPr>
        <w:lastRenderedPageBreak/>
        <w:t>A significant b</w:t>
      </w:r>
      <w:r w:rsidR="00B86B88" w:rsidRPr="00370EE3">
        <w:rPr>
          <w:color w:val="000000" w:themeColor="text1"/>
        </w:rPr>
        <w:t>ody of research has explored the, often unequal, imp</w:t>
      </w:r>
      <w:r w:rsidR="00B86B88" w:rsidRPr="00370EE3">
        <w:t>act</w:t>
      </w:r>
      <w:r w:rsidR="00A53A47">
        <w:t xml:space="preserve"> social disorder infractions</w:t>
      </w:r>
      <w:r w:rsidRPr="00370EE3">
        <w:t xml:space="preserve"> </w:t>
      </w:r>
      <w:r w:rsidR="00B86B88" w:rsidRPr="00370EE3">
        <w:t xml:space="preserve">can have on marginalized populations </w:t>
      </w:r>
      <w:r w:rsidR="00B86B88" w:rsidRPr="00526D4F">
        <w:rPr>
          <w:color w:val="000000" w:themeColor="text1"/>
        </w:rPr>
        <w:t>(</w:t>
      </w:r>
      <w:r w:rsidR="00222C74">
        <w:rPr>
          <w:color w:val="000000" w:themeColor="text1"/>
        </w:rPr>
        <w:t xml:space="preserve">Amster, 2003; </w:t>
      </w:r>
      <w:r w:rsidR="00C3548C">
        <w:rPr>
          <w:color w:val="000000" w:themeColor="text1"/>
        </w:rPr>
        <w:t xml:space="preserve">Berti and Sommers, 2010; </w:t>
      </w:r>
      <w:r w:rsidR="00222C74">
        <w:rPr>
          <w:color w:val="000000" w:themeColor="text1"/>
        </w:rPr>
        <w:t xml:space="preserve">Culhane, 2010; </w:t>
      </w:r>
      <w:hyperlink r:id="rId9" w:tgtFrame="_blank" w:history="1">
        <w:r w:rsidR="00276B8B" w:rsidRPr="00D956FE">
          <w:rPr>
            <w:rStyle w:val="Hyperlink"/>
            <w:rFonts w:ascii="MyriadProRegular" w:eastAsia="Times New Roman" w:hAnsi="MyriadProRegular"/>
            <w:color w:val="000000" w:themeColor="text1"/>
            <w:u w:val="none"/>
            <w:bdr w:val="none" w:sz="0" w:space="0" w:color="auto" w:frame="1"/>
          </w:rPr>
          <w:t>Ruddick, 1996</w:t>
        </w:r>
      </w:hyperlink>
      <w:r w:rsidR="00276B8B" w:rsidRPr="00D956FE">
        <w:rPr>
          <w:rFonts w:ascii="MyriadProRegular" w:eastAsia="Times New Roman" w:hAnsi="MyriadProRegular"/>
          <w:color w:val="000000" w:themeColor="text1"/>
          <w:shd w:val="clear" w:color="auto" w:fill="FFFFFF"/>
        </w:rPr>
        <w:t>; NLCHP,</w:t>
      </w:r>
      <w:r w:rsidR="00276B8B" w:rsidRPr="00D956FE">
        <w:rPr>
          <w:rStyle w:val="apple-converted-space"/>
          <w:rFonts w:ascii="MyriadProRegular" w:eastAsia="Times New Roman" w:hAnsi="MyriadProRegular"/>
          <w:color w:val="000000" w:themeColor="text1"/>
          <w:shd w:val="clear" w:color="auto" w:fill="FFFFFF"/>
        </w:rPr>
        <w:t> </w:t>
      </w:r>
      <w:r w:rsidR="00E90856" w:rsidRPr="00D956FE">
        <w:rPr>
          <w:rFonts w:ascii="MyriadProRegular" w:eastAsia="Times New Roman" w:hAnsi="MyriadProRegular"/>
          <w:color w:val="000000" w:themeColor="text1"/>
          <w:bdr w:val="none" w:sz="0" w:space="0" w:color="auto" w:frame="1"/>
        </w:rPr>
        <w:t>20</w:t>
      </w:r>
      <w:r w:rsidR="00F02DED">
        <w:rPr>
          <w:rFonts w:ascii="MyriadProRegular" w:eastAsia="Times New Roman" w:hAnsi="MyriadProRegular"/>
          <w:color w:val="000000" w:themeColor="text1"/>
          <w:bdr w:val="none" w:sz="0" w:space="0" w:color="auto" w:frame="1"/>
        </w:rPr>
        <w:t>06, 2009</w:t>
      </w:r>
      <w:r w:rsidR="00422DE1" w:rsidRPr="00D956FE">
        <w:rPr>
          <w:rFonts w:ascii="MyriadProRegular" w:eastAsia="Times New Roman" w:hAnsi="MyriadProRegular"/>
          <w:color w:val="000000" w:themeColor="text1"/>
          <w:shd w:val="clear" w:color="auto" w:fill="FFFFFF"/>
        </w:rPr>
        <w:t xml:space="preserve">; </w:t>
      </w:r>
      <w:hyperlink r:id="rId10" w:tgtFrame="_blank" w:history="1">
        <w:r w:rsidR="00422DE1" w:rsidRPr="00D956FE">
          <w:rPr>
            <w:rStyle w:val="Hyperlink"/>
            <w:rFonts w:ascii="MyriadProRegular" w:eastAsia="Times New Roman" w:hAnsi="MyriadProRegular"/>
            <w:color w:val="000000" w:themeColor="text1"/>
            <w:u w:val="none"/>
            <w:bdr w:val="none" w:sz="0" w:space="0" w:color="auto" w:frame="1"/>
          </w:rPr>
          <w:t>Hermer &amp; Mosher, 2002</w:t>
        </w:r>
      </w:hyperlink>
      <w:r w:rsidR="00422DE1" w:rsidRPr="00D956FE">
        <w:rPr>
          <w:rFonts w:ascii="MyriadProRegular" w:eastAsia="Times New Roman" w:hAnsi="MyriadProRegular"/>
          <w:color w:val="000000" w:themeColor="text1"/>
          <w:shd w:val="clear" w:color="auto" w:fill="FFFFFF"/>
        </w:rPr>
        <w:t>;</w:t>
      </w:r>
      <w:r w:rsidR="00422DE1" w:rsidRPr="00D956FE">
        <w:rPr>
          <w:rStyle w:val="apple-converted-space"/>
          <w:rFonts w:ascii="MyriadProRegular" w:eastAsia="Times New Roman" w:hAnsi="MyriadProRegular"/>
          <w:color w:val="000000" w:themeColor="text1"/>
          <w:shd w:val="clear" w:color="auto" w:fill="FFFFFF"/>
        </w:rPr>
        <w:t> </w:t>
      </w:r>
      <w:hyperlink r:id="rId11" w:tgtFrame="_blank" w:history="1">
        <w:r w:rsidR="00422DE1" w:rsidRPr="00D956FE">
          <w:rPr>
            <w:rStyle w:val="Hyperlink"/>
            <w:rFonts w:ascii="MyriadProRegular" w:eastAsia="Times New Roman" w:hAnsi="MyriadProRegular"/>
            <w:color w:val="000000" w:themeColor="text1"/>
            <w:u w:val="none"/>
            <w:bdr w:val="none" w:sz="0" w:space="0" w:color="auto" w:frame="1"/>
          </w:rPr>
          <w:t xml:space="preserve">Sommers, </w:t>
        </w:r>
        <w:r w:rsidR="00422DE1" w:rsidRPr="00D956FE">
          <w:rPr>
            <w:rStyle w:val="Hyperlink"/>
            <w:rFonts w:ascii="MyriadProRegular" w:eastAsia="Times New Roman" w:hAnsi="MyriadProRegular"/>
            <w:color w:val="000000" w:themeColor="text1"/>
            <w:u w:val="none"/>
            <w:bdr w:val="none" w:sz="0" w:space="0" w:color="auto" w:frame="1"/>
          </w:rPr>
          <w:lastRenderedPageBreak/>
          <w:t>2005</w:t>
        </w:r>
      </w:hyperlink>
      <w:r w:rsidR="00422DE1" w:rsidRPr="00D956FE">
        <w:rPr>
          <w:rFonts w:ascii="MyriadProRegular" w:eastAsia="Times New Roman" w:hAnsi="MyriadProRegular"/>
          <w:color w:val="000000" w:themeColor="text1"/>
          <w:shd w:val="clear" w:color="auto" w:fill="FFFFFF"/>
        </w:rPr>
        <w:t>;</w:t>
      </w:r>
      <w:r w:rsidR="00422DE1" w:rsidRPr="00D956FE">
        <w:rPr>
          <w:rStyle w:val="apple-converted-space"/>
          <w:rFonts w:ascii="MyriadProRegular" w:eastAsia="Times New Roman" w:hAnsi="MyriadProRegular"/>
          <w:color w:val="000000" w:themeColor="text1"/>
          <w:shd w:val="clear" w:color="auto" w:fill="FFFFFF"/>
        </w:rPr>
        <w:t> </w:t>
      </w:r>
      <w:hyperlink r:id="rId12" w:tgtFrame="_blank" w:history="1">
        <w:r w:rsidR="00422DE1" w:rsidRPr="00D956FE">
          <w:rPr>
            <w:rStyle w:val="Hyperlink"/>
            <w:rFonts w:ascii="MyriadProRegular" w:eastAsia="Times New Roman" w:hAnsi="MyriadProRegular"/>
            <w:color w:val="000000" w:themeColor="text1"/>
            <w:u w:val="none"/>
            <w:bdr w:val="none" w:sz="0" w:space="0" w:color="auto" w:frame="1"/>
          </w:rPr>
          <w:t>Sylvestre, 2010</w:t>
        </w:r>
      </w:hyperlink>
      <w:r w:rsidR="003E3A64" w:rsidRPr="00D956FE">
        <w:rPr>
          <w:rStyle w:val="Hyperlink"/>
          <w:rFonts w:ascii="MyriadProRegular" w:eastAsia="Times New Roman" w:hAnsi="MyriadProRegular"/>
          <w:color w:val="000000" w:themeColor="text1"/>
          <w:u w:val="none"/>
          <w:bdr w:val="none" w:sz="0" w:space="0" w:color="auto" w:frame="1"/>
        </w:rPr>
        <w:t>; USCCR, 2017</w:t>
      </w:r>
      <w:r w:rsidR="00B86B88" w:rsidRPr="00370EE3">
        <w:t xml:space="preserve">). The vast majority of this work focuses </w:t>
      </w:r>
      <w:r w:rsidR="00370EE3" w:rsidRPr="00370EE3">
        <w:t xml:space="preserve">on </w:t>
      </w:r>
      <w:r w:rsidR="00B86B88" w:rsidRPr="00370EE3">
        <w:t>adult and youth homeless populations (</w:t>
      </w:r>
      <w:r w:rsidR="00CF4EF4">
        <w:t xml:space="preserve">Amster, 2003; </w:t>
      </w:r>
      <w:r w:rsidR="003F615E">
        <w:t xml:space="preserve">Gaetz, 2002ab; </w:t>
      </w:r>
      <w:r w:rsidR="008935DC" w:rsidRPr="00370EE3">
        <w:t xml:space="preserve">Savoie &amp; Cornez, 2014; </w:t>
      </w:r>
      <w:r w:rsidR="009E6AA1">
        <w:t xml:space="preserve">O’Grady and Greene, 2003; </w:t>
      </w:r>
      <w:r w:rsidR="008B7798">
        <w:t xml:space="preserve">O’Grady et. </w:t>
      </w:r>
      <w:r w:rsidR="001A0816">
        <w:t>a</w:t>
      </w:r>
      <w:r w:rsidR="008B7798">
        <w:t xml:space="preserve">l, 2011; </w:t>
      </w:r>
      <w:r w:rsidR="008C7B48">
        <w:t>Sommers et. al., 2005</w:t>
      </w:r>
      <w:r w:rsidR="00B86B88" w:rsidRPr="00370EE3">
        <w:t xml:space="preserve">), </w:t>
      </w:r>
      <w:r w:rsidR="00B86B88" w:rsidRPr="00370EE3">
        <w:lastRenderedPageBreak/>
        <w:t>as well as the disproportionate impact such fines can have on visible minority communities (</w:t>
      </w:r>
      <w:r w:rsidR="0053516F">
        <w:t xml:space="preserve">Ruddick, 1996; </w:t>
      </w:r>
      <w:r w:rsidR="00854BF4" w:rsidRPr="00370EE3">
        <w:t>Savoie &amp; Cornez, 2014</w:t>
      </w:r>
      <w:r w:rsidR="00854BF4">
        <w:t xml:space="preserve">; </w:t>
      </w:r>
      <w:r w:rsidR="00554866">
        <w:t>USCCR, 2017</w:t>
      </w:r>
      <w:r w:rsidR="008C7B48">
        <w:t>)</w:t>
      </w:r>
      <w:r w:rsidR="00B86B88" w:rsidRPr="00370EE3">
        <w:t>.</w:t>
      </w:r>
      <w:r w:rsidR="00AA5B12">
        <w:t xml:space="preserve"> </w:t>
      </w:r>
      <w:r w:rsidR="00370EE3">
        <w:t>For example, t</w:t>
      </w:r>
      <w:r w:rsidR="00C82A5D" w:rsidRPr="00C82A5D">
        <w:t xml:space="preserve">he Commission des droits de la personne et des droits de la jeunesse (2009) has suggested that bylaw enforcement is a </w:t>
      </w:r>
      <w:r w:rsidR="00C82A5D" w:rsidRPr="00C82A5D">
        <w:lastRenderedPageBreak/>
        <w:t xml:space="preserve">tool to legitimize the fight against “public disorder” and uncivil behaviour. This is echoed by Gordon (2004), whose research has suggested that bylaw practices are a way to “aid in the forceful removal of ‘undesirables’ from certain neighbourhoods” (p. 35). While bylaw practices </w:t>
      </w:r>
      <w:r w:rsidR="00C82A5D" w:rsidRPr="00C82A5D">
        <w:lastRenderedPageBreak/>
        <w:t>may be “broad in scope,” the groups being targeted are much more purposeful (Gordon, 2004, p. 49).</w:t>
      </w:r>
      <w:r w:rsidR="00AA5B12">
        <w:t xml:space="preserve"> </w:t>
      </w:r>
      <w:r w:rsidR="00642562">
        <w:t xml:space="preserve">Broadly speaking then, while these laws may be written to address community concerns generally, they do have the unintended consequence of targeting our most vulnerable </w:t>
      </w:r>
      <w:r w:rsidR="00642562">
        <w:lastRenderedPageBreak/>
        <w:t>citizens.</w:t>
      </w:r>
      <w:r w:rsidR="00AA5B12">
        <w:t xml:space="preserve"> </w:t>
      </w:r>
      <w:r w:rsidR="00C82A5D" w:rsidRPr="00C82A5D">
        <w:t xml:space="preserve">It has been suggested that individuals experiencing homelessness, panhandlers, sex workers, and the visibly poor are all disproportionately affected by bylaw enforcement (Commission des droits de la personne et des droits de la jeunesse, 2009; Gordon, 2004). </w:t>
      </w:r>
      <w:r w:rsidR="00642562">
        <w:t xml:space="preserve">This </w:t>
      </w:r>
      <w:r w:rsidR="00642562">
        <w:lastRenderedPageBreak/>
        <w:t xml:space="preserve">disproportionate impact occurs because bylaws typically </w:t>
      </w:r>
      <w:r w:rsidR="00C82A5D" w:rsidRPr="00C82A5D">
        <w:t>regulate the strategies that these</w:t>
      </w:r>
      <w:r w:rsidR="00642562">
        <w:t xml:space="preserve"> vulnerable</w:t>
      </w:r>
      <w:r w:rsidR="00C82A5D" w:rsidRPr="00C82A5D">
        <w:t xml:space="preserve"> individuals rely on to survive (Chesnay, Bellot, &amp; Sylvestre, 2013), thus affecting their well-being and livelihood.</w:t>
      </w:r>
      <w:r w:rsidR="00AA5B12">
        <w:t xml:space="preserve"> </w:t>
      </w:r>
      <w:r w:rsidR="00642562">
        <w:t xml:space="preserve">Examples of such unintended consequences are easy to imagine </w:t>
      </w:r>
      <w:r w:rsidR="00642562">
        <w:lastRenderedPageBreak/>
        <w:t>when one considers the context of homelessness where access to restrooms is severely restricted and remaining in pubic locations for too long may be considered loitering.</w:t>
      </w:r>
      <w:r w:rsidR="00AA5B12">
        <w:t xml:space="preserve"> </w:t>
      </w:r>
      <w:r w:rsidR="00642562">
        <w:t>Basic needs and actions</w:t>
      </w:r>
      <w:r w:rsidR="00436375">
        <w:t>,</w:t>
      </w:r>
      <w:r w:rsidR="00642562">
        <w:t xml:space="preserve"> taken for granted by many</w:t>
      </w:r>
      <w:r w:rsidR="00612B3E">
        <w:t>, may be</w:t>
      </w:r>
      <w:r w:rsidR="00436375">
        <w:t xml:space="preserve"> </w:t>
      </w:r>
      <w:r w:rsidR="004E029F">
        <w:t xml:space="preserve">effectively </w:t>
      </w:r>
      <w:r w:rsidR="004E029F">
        <w:lastRenderedPageBreak/>
        <w:t>criminalized for our</w:t>
      </w:r>
      <w:r w:rsidR="00436375">
        <w:t xml:space="preserve"> most vulnerable</w:t>
      </w:r>
      <w:r w:rsidR="004E029F">
        <w:t xml:space="preserve"> citizens</w:t>
      </w:r>
      <w:r w:rsidR="00436375">
        <w:t>.</w:t>
      </w:r>
      <w:r w:rsidR="00AA5B12">
        <w:t xml:space="preserve"> </w:t>
      </w:r>
    </w:p>
    <w:p w:rsidR="00104C57" w:rsidRPr="00C82A5D" w:rsidRDefault="00104C57" w:rsidP="00EE71B0">
      <w:pPr>
        <w:spacing w:line="360" w:lineRule="auto"/>
      </w:pPr>
    </w:p>
    <w:p w:rsidR="00402179" w:rsidRDefault="004E029F" w:rsidP="00C82A5D">
      <w:pPr>
        <w:spacing w:line="360" w:lineRule="auto"/>
      </w:pPr>
      <w:r>
        <w:t>The broad scope of municipal bylaws also masks th</w:t>
      </w:r>
      <w:r w:rsidR="000F16C3">
        <w:t>e differences in how such</w:t>
      </w:r>
      <w:r>
        <w:t xml:space="preserve"> laws are enforced within neighborhoods.</w:t>
      </w:r>
      <w:r w:rsidR="00AA5B12">
        <w:t xml:space="preserve"> </w:t>
      </w:r>
      <w:r>
        <w:t xml:space="preserve">We know that certain laws are enforced at greater </w:t>
      </w:r>
      <w:r>
        <w:lastRenderedPageBreak/>
        <w:t>rates in certain neighborhoods</w:t>
      </w:r>
      <w:r w:rsidR="000F16C3">
        <w:t>.</w:t>
      </w:r>
      <w:r w:rsidR="00AA5B12">
        <w:t xml:space="preserve"> </w:t>
      </w:r>
      <w:r w:rsidR="000F16C3">
        <w:t xml:space="preserve"> </w:t>
      </w:r>
      <w:r w:rsidR="00DC7863">
        <w:t>This is not surprising as many cities typically have specific areas that experience concentrated (or higher levels) of poverty.</w:t>
      </w:r>
      <w:r w:rsidR="00AA5B12">
        <w:t xml:space="preserve"> </w:t>
      </w:r>
      <w:r w:rsidR="000F16C3">
        <w:t xml:space="preserve">Enforcement </w:t>
      </w:r>
      <w:r>
        <w:t>may also vary</w:t>
      </w:r>
      <w:r w:rsidR="000F16C3">
        <w:t xml:space="preserve"> as a result of</w:t>
      </w:r>
      <w:r>
        <w:t xml:space="preserve"> </w:t>
      </w:r>
      <w:r w:rsidR="000F16C3">
        <w:t>neighborhood revitalization (</w:t>
      </w:r>
      <w:r>
        <w:t>gentrification</w:t>
      </w:r>
      <w:r w:rsidR="000F16C3">
        <w:t>)</w:t>
      </w:r>
      <w:r>
        <w:t xml:space="preserve"> as well as high profile city events that </w:t>
      </w:r>
      <w:r>
        <w:lastRenderedPageBreak/>
        <w:t>bring visitors and outside media attention to a City.</w:t>
      </w:r>
      <w:r w:rsidR="00AA5B12">
        <w:t xml:space="preserve"> </w:t>
      </w:r>
      <w:r w:rsidR="00710880">
        <w:t>R</w:t>
      </w:r>
      <w:r w:rsidR="00C82A5D" w:rsidRPr="00C82A5D">
        <w:t>esearch conducted by PIVOT &amp; Vancouver Area Network of Drug Users (n.d.) acknowledged that</w:t>
      </w:r>
      <w:r w:rsidR="00710880">
        <w:t xml:space="preserve"> specific neighborhoods in Vancouver, specifically the areas of </w:t>
      </w:r>
      <w:r w:rsidR="00C82A5D" w:rsidRPr="00C82A5D">
        <w:t>Downtown Eastside and Strathcona</w:t>
      </w:r>
      <w:r w:rsidR="00710880">
        <w:t>,</w:t>
      </w:r>
      <w:r w:rsidR="00C82A5D" w:rsidRPr="00C82A5D">
        <w:t xml:space="preserve"> are ticketed at much higher rates </w:t>
      </w:r>
      <w:r w:rsidR="00C82A5D" w:rsidRPr="00C82A5D">
        <w:lastRenderedPageBreak/>
        <w:t xml:space="preserve">than other areas in Vancouver. The Downtown Eastside has predominantly low-income residents, alongside high levels of addiction, homelessness, and poverty (City of Vancouver Community Services &amp; City of Vancouver Planning and Development Services, 2013). </w:t>
      </w:r>
      <w:r w:rsidR="00DC7863">
        <w:t xml:space="preserve">The </w:t>
      </w:r>
      <w:r w:rsidR="00DC7863">
        <w:lastRenderedPageBreak/>
        <w:t xml:space="preserve">area of </w:t>
      </w:r>
      <w:r w:rsidR="00DC1D36">
        <w:t xml:space="preserve">Strathcona also has </w:t>
      </w:r>
      <w:r w:rsidR="00C82A5D" w:rsidRPr="00C82A5D">
        <w:t>high level</w:t>
      </w:r>
      <w:r w:rsidR="00DC7863">
        <w:t xml:space="preserve">s of low income residents with 47.8% of Strathcona residents living </w:t>
      </w:r>
      <w:r w:rsidR="00C82A5D" w:rsidRPr="00C82A5D">
        <w:t>in low income households in 2011 (City of Vancouver, 2011). The</w:t>
      </w:r>
      <w:r w:rsidR="00DC7863">
        <w:t>se neighborhood</w:t>
      </w:r>
      <w:r w:rsidR="00C82A5D" w:rsidRPr="00C82A5D">
        <w:t xml:space="preserve"> demographics </w:t>
      </w:r>
      <w:r w:rsidR="00DC7863">
        <w:t xml:space="preserve">are consistent with existing research that suggests </w:t>
      </w:r>
      <w:r w:rsidR="00C82A5D" w:rsidRPr="00C82A5D">
        <w:t>the impoverished are</w:t>
      </w:r>
      <w:r w:rsidR="00DC7863">
        <w:t xml:space="preserve"> </w:t>
      </w:r>
      <w:r w:rsidR="00DC7863">
        <w:lastRenderedPageBreak/>
        <w:t>disproportionately</w:t>
      </w:r>
      <w:r w:rsidR="00C82A5D" w:rsidRPr="00C82A5D">
        <w:t xml:space="preserve"> subject </w:t>
      </w:r>
      <w:r w:rsidR="00DC7863">
        <w:t xml:space="preserve">to </w:t>
      </w:r>
      <w:r w:rsidR="00C82A5D" w:rsidRPr="00C82A5D">
        <w:t xml:space="preserve">bylaw </w:t>
      </w:r>
      <w:r w:rsidR="00DC7863">
        <w:t xml:space="preserve">monitoring and </w:t>
      </w:r>
      <w:r w:rsidR="00C82A5D" w:rsidRPr="00C82A5D">
        <w:t>enforcement.</w:t>
      </w:r>
      <w:r w:rsidR="00AA5B12">
        <w:t xml:space="preserve"> </w:t>
      </w:r>
    </w:p>
    <w:p w:rsidR="00104C57" w:rsidRDefault="00104C57" w:rsidP="00C82A5D">
      <w:pPr>
        <w:spacing w:line="360" w:lineRule="auto"/>
      </w:pPr>
    </w:p>
    <w:p w:rsidR="00F67262" w:rsidRDefault="00C72C81" w:rsidP="00C82A5D">
      <w:pPr>
        <w:spacing w:line="360" w:lineRule="auto"/>
      </w:pPr>
      <w:r>
        <w:t xml:space="preserve">What this suggests is that vulnerable citizens are more likely to experience bylaw enforcement and that these citizens are likely to make up a considerable proportion of </w:t>
      </w:r>
      <w:r>
        <w:lastRenderedPageBreak/>
        <w:t>those ticketed for bylaw infractions.</w:t>
      </w:r>
      <w:r w:rsidR="00AA5B12">
        <w:t xml:space="preserve"> </w:t>
      </w:r>
      <w:r>
        <w:t xml:space="preserve">Indeed, </w:t>
      </w:r>
      <w:r w:rsidR="00C82A5D" w:rsidRPr="00C82A5D">
        <w:t xml:space="preserve">the Commission des droits de la personne et des droits de la jeunesse (2009) highlighted that “22,685 bylaw tickets were issued to 4,036 people” between January of 2005 and March of 2006 in the City of </w:t>
      </w:r>
      <w:r w:rsidR="00C82A5D" w:rsidRPr="00C82A5D">
        <w:lastRenderedPageBreak/>
        <w:t>Montreal (p. 53)</w:t>
      </w:r>
      <w:r>
        <w:t>.</w:t>
      </w:r>
      <w:r w:rsidR="00AA5B12">
        <w:t xml:space="preserve"> </w:t>
      </w:r>
      <w:r w:rsidR="00AA4831">
        <w:t>Additionally, this r</w:t>
      </w:r>
      <w:r w:rsidR="00C82A5D" w:rsidRPr="00C82A5D">
        <w:t xml:space="preserve">eport identified that 20% of </w:t>
      </w:r>
      <w:r w:rsidR="00297FBF">
        <w:t xml:space="preserve">the </w:t>
      </w:r>
      <w:r w:rsidR="00C82A5D" w:rsidRPr="00C82A5D">
        <w:t xml:space="preserve">tickets </w:t>
      </w:r>
      <w:r w:rsidR="00297FBF">
        <w:t xml:space="preserve">that </w:t>
      </w:r>
      <w:r w:rsidR="00C82A5D" w:rsidRPr="00C82A5D">
        <w:t xml:space="preserve">were issued </w:t>
      </w:r>
      <w:r w:rsidR="00297FBF">
        <w:t xml:space="preserve">were </w:t>
      </w:r>
      <w:r w:rsidR="00C82A5D" w:rsidRPr="00C82A5D">
        <w:t xml:space="preserve">for sleeping on </w:t>
      </w:r>
      <w:r w:rsidR="00297FBF">
        <w:t>public transit property</w:t>
      </w:r>
      <w:r w:rsidR="00C82A5D" w:rsidRPr="00C82A5D">
        <w:t>, thus regulating the use of public space primarily by individuals experiencing homelessness</w:t>
      </w:r>
      <w:r>
        <w:t xml:space="preserve"> (</w:t>
      </w:r>
      <w:r w:rsidRPr="00C82A5D">
        <w:t>Commission des droits de la person</w:t>
      </w:r>
      <w:r>
        <w:t xml:space="preserve">ne et des droits </w:t>
      </w:r>
      <w:r>
        <w:lastRenderedPageBreak/>
        <w:t>de la jeunesse, 2009)</w:t>
      </w:r>
      <w:r w:rsidR="00C82A5D" w:rsidRPr="00C82A5D">
        <w:t>.</w:t>
      </w:r>
      <w:r w:rsidR="00AA5B12">
        <w:t xml:space="preserve">  </w:t>
      </w:r>
      <w:r w:rsidR="00402179">
        <w:t>What this research appears to suggest is that a small number of, typically marginalized, individuals is receiving a disproportion</w:t>
      </w:r>
      <w:r w:rsidR="00DC1D36">
        <w:t>ate number of tickets in these c</w:t>
      </w:r>
      <w:r w:rsidR="00402179">
        <w:t>ities.</w:t>
      </w:r>
      <w:r w:rsidR="00AA5B12">
        <w:t xml:space="preserve"> </w:t>
      </w:r>
      <w:r w:rsidR="00402179">
        <w:t>In Calgary specifically, r</w:t>
      </w:r>
      <w:r w:rsidR="00C82A5D" w:rsidRPr="00C82A5D">
        <w:t>esearch conducted by Srivastava, Ander</w:t>
      </w:r>
      <w:r w:rsidR="00C82A5D" w:rsidRPr="00C82A5D">
        <w:lastRenderedPageBreak/>
        <w:t xml:space="preserve">son, &amp; Atanase (2017) identifies </w:t>
      </w:r>
      <w:r w:rsidR="00402179">
        <w:t xml:space="preserve">types of </w:t>
      </w:r>
      <w:r w:rsidR="00C82A5D" w:rsidRPr="00C82A5D">
        <w:t>bylaw tickets that disproportionately affect marginalized populations in Calgary. These include sleeping in public parks, bottle picking, and urinating in public. B</w:t>
      </w:r>
      <w:r w:rsidR="00683E8E">
        <w:t>y</w:t>
      </w:r>
      <w:r w:rsidR="00AB367F">
        <w:t xml:space="preserve"> ticketing these practices, the</w:t>
      </w:r>
      <w:r w:rsidR="00C82A5D" w:rsidRPr="00C82A5D">
        <w:t xml:space="preserve"> study suggests that existing bylaw practices are </w:t>
      </w:r>
      <w:r w:rsidR="00C82A5D" w:rsidRPr="00C82A5D">
        <w:lastRenderedPageBreak/>
        <w:t>criminalizing those who have few oth</w:t>
      </w:r>
      <w:r w:rsidR="00AB367F">
        <w:t>er options available to them.  Because</w:t>
      </w:r>
      <w:r w:rsidR="00C82A5D" w:rsidRPr="00C82A5D">
        <w:t xml:space="preserve"> particular groups in society are disproportionately receiving the majority of bylaw tickets, it has been suggested that rather than increasing enforcement, “prevention and diversion ac</w:t>
      </w:r>
      <w:r w:rsidR="00C82A5D" w:rsidRPr="00C82A5D">
        <w:lastRenderedPageBreak/>
        <w:t>tivities may be more appropriate” (Patricia Evans &amp; Associates Inc., 2017, p. 43).</w:t>
      </w:r>
      <w:r w:rsidR="00AA5B12">
        <w:t xml:space="preserve"> </w:t>
      </w:r>
      <w:r w:rsidR="000B71AC">
        <w:t>Varying e</w:t>
      </w:r>
      <w:r w:rsidR="00B45E96" w:rsidRPr="00C82A5D">
        <w:t xml:space="preserve">nforcement practices </w:t>
      </w:r>
      <w:r w:rsidR="00B45E96">
        <w:t>across major Canadian cities (specifically, Montreal, Toronto, Vancouver, Calgary)</w:t>
      </w:r>
      <w:r w:rsidR="000B71AC">
        <w:t>,</w:t>
      </w:r>
      <w:r w:rsidR="00B45E96">
        <w:t xml:space="preserve"> as outlined by the research discussed above</w:t>
      </w:r>
      <w:r w:rsidR="000B71AC">
        <w:t>,</w:t>
      </w:r>
      <w:r w:rsidR="00B45E96">
        <w:t xml:space="preserve"> </w:t>
      </w:r>
      <w:r w:rsidR="00B45E96" w:rsidRPr="00C82A5D">
        <w:t>are indicative of th</w:t>
      </w:r>
      <w:r w:rsidR="000B71AC">
        <w:t xml:space="preserve">e ways in </w:t>
      </w:r>
      <w:r w:rsidR="000B71AC">
        <w:lastRenderedPageBreak/>
        <w:t xml:space="preserve">which bylaws are used </w:t>
      </w:r>
      <w:r w:rsidR="00B45E96" w:rsidRPr="00C82A5D">
        <w:t>to regulate the behaviour</w:t>
      </w:r>
      <w:r w:rsidR="000B71AC">
        <w:t xml:space="preserve"> of the most vulnerable</w:t>
      </w:r>
      <w:r w:rsidR="00B45E96" w:rsidRPr="00C82A5D">
        <w:t xml:space="preserve">. </w:t>
      </w:r>
      <w:r w:rsidR="00C82A5D" w:rsidRPr="00C82A5D">
        <w:t xml:space="preserve">As research across multiple Canadian </w:t>
      </w:r>
      <w:r w:rsidR="000B71AC">
        <w:t>jurisdictions has suggested,</w:t>
      </w:r>
      <w:r w:rsidR="00C82A5D" w:rsidRPr="00C82A5D">
        <w:t xml:space="preserve"> </w:t>
      </w:r>
      <w:r w:rsidR="000B71AC">
        <w:t>certain citizens</w:t>
      </w:r>
      <w:r w:rsidR="00C82A5D" w:rsidRPr="00C82A5D">
        <w:t xml:space="preserve"> are being </w:t>
      </w:r>
      <w:r w:rsidR="000B71AC">
        <w:t>fined/</w:t>
      </w:r>
      <w:r w:rsidR="00C82A5D" w:rsidRPr="00C82A5D">
        <w:t xml:space="preserve">ticketed for circumstances </w:t>
      </w:r>
      <w:r w:rsidR="000B71AC">
        <w:t>that they have little control over.</w:t>
      </w:r>
      <w:r w:rsidR="00AA5B12">
        <w:t xml:space="preserve"> </w:t>
      </w:r>
      <w:r w:rsidR="000B71AC">
        <w:t xml:space="preserve">Recall the example of access to restroom </w:t>
      </w:r>
      <w:r w:rsidR="000B71AC">
        <w:lastRenderedPageBreak/>
        <w:t>facilities.</w:t>
      </w:r>
      <w:r w:rsidR="00AA5B12">
        <w:t xml:space="preserve"> </w:t>
      </w:r>
      <w:r w:rsidR="000B71AC">
        <w:t>When access to restroom facilities are severely restricted (typically to those who are paying customers, etc.) one has little choice but to use public spaces to relieve themselves and risk being ticketed.</w:t>
      </w:r>
      <w:r w:rsidR="00AA5B12">
        <w:t xml:space="preserve"> </w:t>
      </w:r>
      <w:r w:rsidR="000B71AC">
        <w:t xml:space="preserve"> Given the critical role that circumstance plays in bylaw infraction risk, i</w:t>
      </w:r>
      <w:r w:rsidR="00C82A5D" w:rsidRPr="00C82A5D">
        <w:t xml:space="preserve">t </w:t>
      </w:r>
      <w:r w:rsidR="00C82A5D" w:rsidRPr="00C82A5D">
        <w:lastRenderedPageBreak/>
        <w:t>would</w:t>
      </w:r>
      <w:r w:rsidR="000B71AC">
        <w:t xml:space="preserve"> likely</w:t>
      </w:r>
      <w:r w:rsidR="00C82A5D" w:rsidRPr="00C82A5D">
        <w:t xml:space="preserve"> be more effective to provide the necessary supports</w:t>
      </w:r>
      <w:r w:rsidR="00440F91">
        <w:t>, such as free access to restroom facilities as the above example requires,</w:t>
      </w:r>
      <w:r w:rsidR="00C82A5D" w:rsidRPr="00C82A5D">
        <w:t xml:space="preserve"> to prevent individuals from having to engage in “disruptive” behaviour to begin with.</w:t>
      </w:r>
      <w:r w:rsidR="00AA5B12">
        <w:t xml:space="preserve"> </w:t>
      </w:r>
      <w:r w:rsidR="003F7D39">
        <w:t xml:space="preserve">Indeed, the heavy costs associated with the criminalization </w:t>
      </w:r>
      <w:r w:rsidR="003F7D39">
        <w:lastRenderedPageBreak/>
        <w:t>of homelessness (as a result of fines going unpaid which may lead to arrest and incarceration) must be weighed against the perceived benefits of such laws.</w:t>
      </w:r>
    </w:p>
    <w:p w:rsidR="00250986" w:rsidRDefault="00250986" w:rsidP="000D34B0">
      <w:pPr>
        <w:pStyle w:val="NormalWeb"/>
        <w:spacing w:before="0" w:beforeAutospacing="0" w:after="0" w:afterAutospacing="0"/>
        <w:textAlignment w:val="baseline"/>
        <w:rPr>
          <w:szCs w:val="22"/>
          <w:lang w:val="en-CA"/>
        </w:rPr>
      </w:pPr>
    </w:p>
    <w:p w:rsidR="000D34B0" w:rsidRPr="000D34B0" w:rsidRDefault="000D34B0" w:rsidP="000D34B0">
      <w:pPr>
        <w:pStyle w:val="NormalWeb"/>
        <w:spacing w:before="0" w:beforeAutospacing="0" w:after="0" w:afterAutospacing="0"/>
        <w:textAlignment w:val="baseline"/>
        <w:rPr>
          <w:rFonts w:ascii="MyriadProRegular" w:hAnsi="MyriadProRegular"/>
          <w:color w:val="000000"/>
          <w:sz w:val="21"/>
          <w:szCs w:val="21"/>
        </w:rPr>
      </w:pPr>
    </w:p>
    <w:p w:rsidR="00370EE3" w:rsidRDefault="00370EE3" w:rsidP="00516736">
      <w:pPr>
        <w:spacing w:line="360" w:lineRule="auto"/>
      </w:pPr>
      <w:r w:rsidRPr="00370EE3">
        <w:t xml:space="preserve">While strong evidence has shown the disproportionate impact that fines can have on </w:t>
      </w:r>
      <w:r w:rsidRPr="00370EE3">
        <w:lastRenderedPageBreak/>
        <w:t xml:space="preserve">marginalized populations, often the purpose and value of </w:t>
      </w:r>
      <w:r w:rsidR="00E111F5">
        <w:t>such fines maintain some level of</w:t>
      </w:r>
      <w:r w:rsidRPr="00370EE3">
        <w:t xml:space="preserve"> support</w:t>
      </w:r>
      <w:r w:rsidR="00B217F8">
        <w:t xml:space="preserve"> from Governmental officials and citizens</w:t>
      </w:r>
      <w:r w:rsidRPr="00370EE3">
        <w:t>.</w:t>
      </w:r>
      <w:r w:rsidR="00AA5B12">
        <w:t xml:space="preserve"> </w:t>
      </w:r>
      <w:r w:rsidRPr="00370EE3">
        <w:t>This is particular</w:t>
      </w:r>
      <w:r w:rsidR="00940512">
        <w:t xml:space="preserve">ly </w:t>
      </w:r>
      <w:r>
        <w:t xml:space="preserve">true for social disorder </w:t>
      </w:r>
      <w:r w:rsidR="00940512">
        <w:t>laws</w:t>
      </w:r>
      <w:r>
        <w:t xml:space="preserve"> as they are seen, despite </w:t>
      </w:r>
      <w:r w:rsidR="00E111F5">
        <w:t xml:space="preserve">their </w:t>
      </w:r>
      <w:r>
        <w:t xml:space="preserve">negative consequences, as providing an overall benefit, in the </w:t>
      </w:r>
      <w:r>
        <w:lastRenderedPageBreak/>
        <w:t>form of increased social order, to the municipality.</w:t>
      </w:r>
      <w:r w:rsidR="00AA5B12">
        <w:t xml:space="preserve"> </w:t>
      </w:r>
      <w:r w:rsidR="00424131">
        <w:t>One</w:t>
      </w:r>
      <w:r w:rsidR="00E111F5">
        <w:t xml:space="preserve"> justificati</w:t>
      </w:r>
      <w:r w:rsidR="00424131">
        <w:t xml:space="preserve">on for </w:t>
      </w:r>
      <w:r w:rsidR="00E111F5">
        <w:t xml:space="preserve">social disorder bylaws originates from </w:t>
      </w:r>
      <w:r>
        <w:t>broken windows theory</w:t>
      </w:r>
      <w:r w:rsidR="00E111F5">
        <w:t>.</w:t>
      </w:r>
      <w:r w:rsidR="00424131">
        <w:t xml:space="preserve"> </w:t>
      </w:r>
      <w:r w:rsidR="00130870">
        <w:t>For example, t</w:t>
      </w:r>
      <w:r w:rsidR="00130870" w:rsidRPr="00C82A5D">
        <w:t xml:space="preserve">he United States Commission on Civil Rights (2017) suggests that fines were introduced as a way to deal </w:t>
      </w:r>
      <w:r w:rsidR="00130870">
        <w:t xml:space="preserve">with minor offences </w:t>
      </w:r>
      <w:r w:rsidR="00130870">
        <w:lastRenderedPageBreak/>
        <w:t>through the structured implementation of broken windows</w:t>
      </w:r>
      <w:r w:rsidR="00130870" w:rsidRPr="00C82A5D">
        <w:t xml:space="preserve"> theory. </w:t>
      </w:r>
      <w:r w:rsidR="00424131">
        <w:t xml:space="preserve">In general, this theory </w:t>
      </w:r>
      <w:r w:rsidR="00B217F8">
        <w:t>posits</w:t>
      </w:r>
      <w:r w:rsidR="00424131">
        <w:t xml:space="preserve"> that serious crime within neighborhoods is the result of more minor physic</w:t>
      </w:r>
      <w:r w:rsidR="00AB367F">
        <w:t>al and social disorder that has</w:t>
      </w:r>
      <w:r w:rsidR="00424131">
        <w:t xml:space="preserve"> gone unchecked.</w:t>
      </w:r>
      <w:r w:rsidR="00AA5B12">
        <w:t xml:space="preserve"> </w:t>
      </w:r>
      <w:r w:rsidR="00130870">
        <w:t xml:space="preserve">As the theory’s founders state, </w:t>
      </w:r>
      <w:r w:rsidR="00130870" w:rsidRPr="00C82A5D">
        <w:t xml:space="preserve">“if a </w:t>
      </w:r>
      <w:r w:rsidR="00130870" w:rsidRPr="00C82A5D">
        <w:lastRenderedPageBreak/>
        <w:t>window in a building is broken and is left unrepaired, all the rest of the windows will soon be broken” (Wils</w:t>
      </w:r>
      <w:r w:rsidR="00130870">
        <w:t xml:space="preserve">on &amp; Kelling, 1982, p. 30). </w:t>
      </w:r>
      <w:r w:rsidR="00424131">
        <w:t>The idea here is that if we can reduce</w:t>
      </w:r>
      <w:r w:rsidR="00130870">
        <w:t>,</w:t>
      </w:r>
      <w:r w:rsidR="00424131">
        <w:t xml:space="preserve"> or eliminate</w:t>
      </w:r>
      <w:r w:rsidR="00130870">
        <w:t>,</w:t>
      </w:r>
      <w:r w:rsidR="00424131">
        <w:t xml:space="preserve"> both the physical manifestations of disorder (for example, abandoned buildings</w:t>
      </w:r>
      <w:r w:rsidR="00B217F8">
        <w:t xml:space="preserve">, buildings in </w:t>
      </w:r>
      <w:r w:rsidR="00B217F8">
        <w:lastRenderedPageBreak/>
        <w:t>disrepair</w:t>
      </w:r>
      <w:r w:rsidR="00424131">
        <w:t>) as well as social disorder (for example, loitering</w:t>
      </w:r>
      <w:r w:rsidR="00B217F8">
        <w:t>, littering</w:t>
      </w:r>
      <w:r w:rsidR="00424131">
        <w:t xml:space="preserve">) this will have a positive impact on reducing crime </w:t>
      </w:r>
      <w:r w:rsidR="00130870">
        <w:t xml:space="preserve">more generally </w:t>
      </w:r>
      <w:r w:rsidR="00516736">
        <w:t>within a</w:t>
      </w:r>
      <w:r w:rsidR="00130870">
        <w:t xml:space="preserve"> target</w:t>
      </w:r>
      <w:r w:rsidR="00424131">
        <w:t xml:space="preserve"> neighborhood. </w:t>
      </w:r>
      <w:r>
        <w:t xml:space="preserve">From this perspective then, fines that result from bylaw infractions help to limit disarray within the municipality or </w:t>
      </w:r>
      <w:r>
        <w:lastRenderedPageBreak/>
        <w:t>within specific neighborhoods within that municipality.</w:t>
      </w:r>
      <w:r w:rsidR="00AA5B12">
        <w:t xml:space="preserve"> </w:t>
      </w:r>
      <w:r w:rsidR="00516736">
        <w:t>This theory has found longstanding as well as widespread acceptance in law enforcement policies and practices.</w:t>
      </w:r>
      <w:r w:rsidR="00AA5B12">
        <w:t xml:space="preserve"> </w:t>
      </w:r>
      <w:r>
        <w:t xml:space="preserve"> </w:t>
      </w:r>
      <w:r w:rsidR="00516736">
        <w:t>It is wort</w:t>
      </w:r>
      <w:r w:rsidR="00996D80">
        <w:t>h noting that despite this wide</w:t>
      </w:r>
      <w:r w:rsidR="00516736">
        <w:t>spread acceptance, evidence docu</w:t>
      </w:r>
      <w:r w:rsidR="00516736">
        <w:lastRenderedPageBreak/>
        <w:t>menting the success of initiatives guided by the theory have been contentious.</w:t>
      </w:r>
      <w:r w:rsidR="00AA5B12">
        <w:t xml:space="preserve"> </w:t>
      </w:r>
      <w:r w:rsidR="00516736">
        <w:t>Although results assessing the effectiveness of such ap</w:t>
      </w:r>
      <w:r w:rsidR="00D90B8D">
        <w:t>proaches have been mixed</w:t>
      </w:r>
      <w:r w:rsidR="00516736">
        <w:t>, the theory continues to resonate in how many view the utility of social disorder bylaws</w:t>
      </w:r>
      <w:r w:rsidR="002503AF">
        <w:t xml:space="preserve"> (Berk and McDonald, </w:t>
      </w:r>
      <w:r w:rsidR="002503AF">
        <w:lastRenderedPageBreak/>
        <w:t xml:space="preserve">2010; </w:t>
      </w:r>
      <w:r w:rsidR="00725E7E">
        <w:t>Piquero,</w:t>
      </w:r>
      <w:r w:rsidR="00AA5B12">
        <w:t xml:space="preserve"> 2010; Rowe and O’Connell, 2010</w:t>
      </w:r>
      <w:r w:rsidR="00C3548C">
        <w:t>)</w:t>
      </w:r>
      <w:r w:rsidR="00516736">
        <w:t>. Indeed, w</w:t>
      </w:r>
      <w:r>
        <w:t>e do not need to look far to find support for this understanding of the effectiveness of bylaw fines in reducing social disorder.</w:t>
      </w:r>
      <w:r w:rsidR="00AA5B12">
        <w:t xml:space="preserve"> </w:t>
      </w:r>
      <w:r w:rsidRPr="00C82A5D">
        <w:t>Contrary to the literature that identifies the negative impacts that by</w:t>
      </w:r>
      <w:r w:rsidRPr="00C82A5D">
        <w:lastRenderedPageBreak/>
        <w:t>law practices have on marginalized populations, the Vancouver Police Department (2013) (VPD) su</w:t>
      </w:r>
      <w:r>
        <w:t>ggests that bylaw practices have a greater overall benefit to citizens because</w:t>
      </w:r>
      <w:r w:rsidRPr="00C82A5D">
        <w:t xml:space="preserve"> they act as a tool to “change behaviour that puts people at risk or contributes negatively to the </w:t>
      </w:r>
      <w:r w:rsidRPr="00C82A5D">
        <w:lastRenderedPageBreak/>
        <w:t>community” (p. 1). This statement from the VPD was in response to PIVOT and Vancouver Area Network of Drug Users’ critique of bylaw e</w:t>
      </w:r>
      <w:r>
        <w:t>nforcement in Vancouver. This response by the VPD is</w:t>
      </w:r>
      <w:r w:rsidRPr="00C82A5D">
        <w:t xml:space="preserve"> indicative of the two starkly different understandings of bylaws and the context in </w:t>
      </w:r>
      <w:r w:rsidRPr="00C82A5D">
        <w:lastRenderedPageBreak/>
        <w:t xml:space="preserve">which they are </w:t>
      </w:r>
      <w:r w:rsidR="00516736">
        <w:t>operationalized within neighborhoods</w:t>
      </w:r>
      <w:r w:rsidRPr="00C82A5D">
        <w:t xml:space="preserve">. </w:t>
      </w:r>
    </w:p>
    <w:p w:rsidR="00516736" w:rsidRDefault="00516736" w:rsidP="00065B96">
      <w:pPr>
        <w:spacing w:line="360" w:lineRule="auto"/>
      </w:pPr>
    </w:p>
    <w:p w:rsidR="00065B96" w:rsidRPr="00B86B88" w:rsidRDefault="00065B96" w:rsidP="00065B96">
      <w:pPr>
        <w:spacing w:line="360" w:lineRule="auto"/>
      </w:pPr>
      <w:r>
        <w:t xml:space="preserve">It </w:t>
      </w:r>
      <w:r w:rsidR="00EE6770">
        <w:t xml:space="preserve">is within this context, </w:t>
      </w:r>
      <w:r>
        <w:t>we set out to explore the impact of Calgary’s municipal bylaw enforcement practices.</w:t>
      </w:r>
      <w:r w:rsidR="00AA5B12">
        <w:t xml:space="preserve"> </w:t>
      </w:r>
      <w:r w:rsidRPr="00C32252">
        <w:t xml:space="preserve">This study is based on survey research conducted in the City </w:t>
      </w:r>
      <w:r w:rsidRPr="00C32252">
        <w:lastRenderedPageBreak/>
        <w:t>of Calgary</w:t>
      </w:r>
      <w:r>
        <w:t xml:space="preserve"> between September 2016 and June 2017. The goal of this research </w:t>
      </w:r>
      <w:r w:rsidRPr="00C32252">
        <w:t xml:space="preserve">was to </w:t>
      </w:r>
      <w:r>
        <w:t xml:space="preserve">better </w:t>
      </w:r>
      <w:r w:rsidRPr="00C32252">
        <w:t>understand the potential social and economic impact</w:t>
      </w:r>
      <w:r>
        <w:t>s</w:t>
      </w:r>
      <w:r w:rsidRPr="00C32252">
        <w:t xml:space="preserve"> of bylaw fines on citizens in the City of Calgary.</w:t>
      </w:r>
      <w:r>
        <w:t xml:space="preserve"> T</w:t>
      </w:r>
      <w:r w:rsidRPr="00C32252">
        <w:t>he researchers surveyed 417 people</w:t>
      </w:r>
      <w:r>
        <w:t xml:space="preserve"> at the Court</w:t>
      </w:r>
      <w:r w:rsidR="00AA5B12">
        <w:t>s and within community agencies</w:t>
      </w:r>
      <w:r w:rsidRPr="00C32252">
        <w:t xml:space="preserve"> </w:t>
      </w:r>
      <w:r w:rsidRPr="00C32252">
        <w:lastRenderedPageBreak/>
        <w:t>that had received bylaw fine</w:t>
      </w:r>
      <w:r>
        <w:t xml:space="preserve">s in </w:t>
      </w:r>
      <w:r w:rsidRPr="00C32252">
        <w:t>Calgary.</w:t>
      </w:r>
      <w:r w:rsidR="00AA5B12">
        <w:t xml:space="preserve"> </w:t>
      </w:r>
      <w:r w:rsidR="00EE6770">
        <w:t xml:space="preserve"> </w:t>
      </w:r>
    </w:p>
    <w:p w:rsidR="00A07D1A" w:rsidRDefault="00A07D1A" w:rsidP="00685AEB">
      <w:pPr>
        <w:spacing w:line="360" w:lineRule="auto"/>
      </w:pPr>
    </w:p>
    <w:p w:rsidR="00AF244E" w:rsidRPr="00B2390F" w:rsidRDefault="00B2390F" w:rsidP="00685AEB">
      <w:pPr>
        <w:spacing w:line="360" w:lineRule="auto"/>
        <w:rPr>
          <w:sz w:val="28"/>
          <w:szCs w:val="28"/>
          <w:u w:val="single"/>
        </w:rPr>
      </w:pPr>
      <w:r>
        <w:rPr>
          <w:b/>
          <w:sz w:val="28"/>
          <w:szCs w:val="28"/>
          <w:u w:val="single"/>
        </w:rPr>
        <w:t>Methodology</w:t>
      </w:r>
      <w:r>
        <w:rPr>
          <w:sz w:val="28"/>
          <w:szCs w:val="28"/>
          <w:u w:val="single"/>
        </w:rPr>
        <w:t>_______________________________________________________</w:t>
      </w:r>
    </w:p>
    <w:p w:rsidR="0058283F" w:rsidRPr="00685AEB" w:rsidRDefault="0058283F" w:rsidP="00685AEB">
      <w:pPr>
        <w:spacing w:line="360" w:lineRule="auto"/>
        <w:rPr>
          <w:b/>
          <w:i/>
          <w:szCs w:val="28"/>
        </w:rPr>
      </w:pPr>
    </w:p>
    <w:p w:rsidR="0081407D" w:rsidRPr="00C32252" w:rsidRDefault="00AF244E" w:rsidP="00685AEB">
      <w:pPr>
        <w:spacing w:line="360" w:lineRule="auto"/>
        <w:rPr>
          <w:b/>
          <w:i/>
          <w:sz w:val="28"/>
          <w:szCs w:val="28"/>
        </w:rPr>
      </w:pPr>
      <w:r w:rsidRPr="00C32252">
        <w:rPr>
          <w:b/>
          <w:i/>
          <w:sz w:val="28"/>
          <w:szCs w:val="28"/>
        </w:rPr>
        <w:t>Data collection</w:t>
      </w:r>
    </w:p>
    <w:p w:rsidR="00EF0654" w:rsidRPr="00685AEB" w:rsidRDefault="00EF0654" w:rsidP="00685AEB">
      <w:pPr>
        <w:spacing w:line="360" w:lineRule="auto"/>
      </w:pPr>
    </w:p>
    <w:p w:rsidR="00EF0654" w:rsidRPr="00C32252" w:rsidRDefault="00EF0654" w:rsidP="00685AEB">
      <w:pPr>
        <w:widowControl w:val="0"/>
        <w:autoSpaceDE w:val="0"/>
        <w:autoSpaceDN w:val="0"/>
        <w:adjustRightInd w:val="0"/>
        <w:spacing w:line="360" w:lineRule="auto"/>
      </w:pPr>
      <w:r w:rsidRPr="00C32252">
        <w:t xml:space="preserve">This study is based on </w:t>
      </w:r>
      <w:r w:rsidR="00276838" w:rsidRPr="00C32252">
        <w:t>survey research conducted in the City of Calgary. T</w:t>
      </w:r>
      <w:r w:rsidRPr="00C32252">
        <w:t xml:space="preserve">here were two components of the data collection: </w:t>
      </w:r>
      <w:r w:rsidR="00347806" w:rsidRPr="00C32252">
        <w:t>surveys of court attendees as well as community based survey administration.</w:t>
      </w:r>
      <w:r w:rsidR="00AA5B12">
        <w:t xml:space="preserve"> </w:t>
      </w:r>
      <w:r w:rsidR="00695A05" w:rsidRPr="00C32252">
        <w:t xml:space="preserve">The goal of the survey </w:t>
      </w:r>
      <w:r w:rsidR="00695A05" w:rsidRPr="00C32252">
        <w:lastRenderedPageBreak/>
        <w:t>was to understand the potential social and economic impact of bylaw fines on citizens in the City of Calgary.</w:t>
      </w:r>
    </w:p>
    <w:p w:rsidR="00F65A1C" w:rsidRDefault="00F65A1C" w:rsidP="00685AEB">
      <w:pPr>
        <w:widowControl w:val="0"/>
        <w:autoSpaceDE w:val="0"/>
        <w:autoSpaceDN w:val="0"/>
        <w:adjustRightInd w:val="0"/>
        <w:spacing w:line="360" w:lineRule="auto"/>
      </w:pPr>
    </w:p>
    <w:p w:rsidR="00EF0654" w:rsidRDefault="00347806" w:rsidP="00685AEB">
      <w:pPr>
        <w:widowControl w:val="0"/>
        <w:autoSpaceDE w:val="0"/>
        <w:autoSpaceDN w:val="0"/>
        <w:adjustRightInd w:val="0"/>
        <w:spacing w:line="360" w:lineRule="auto"/>
      </w:pPr>
      <w:r w:rsidRPr="00C32252">
        <w:t>Between September 2016 and June 2017</w:t>
      </w:r>
      <w:r w:rsidR="00EF0654" w:rsidRPr="00C32252">
        <w:t xml:space="preserve">, the researchers </w:t>
      </w:r>
      <w:r w:rsidRPr="00C32252">
        <w:t>surve</w:t>
      </w:r>
      <w:r w:rsidR="00881952" w:rsidRPr="00C32252">
        <w:t>yed 417</w:t>
      </w:r>
      <w:r w:rsidRPr="00C32252">
        <w:t xml:space="preserve"> people that had received a</w:t>
      </w:r>
      <w:r w:rsidR="006B2CF3" w:rsidRPr="00C32252">
        <w:t>t least one</w:t>
      </w:r>
      <w:r w:rsidRPr="00C32252">
        <w:t xml:space="preserve"> bylaw </w:t>
      </w:r>
      <w:r w:rsidRPr="00C32252">
        <w:lastRenderedPageBreak/>
        <w:t xml:space="preserve">fine within the City of Calgary. The number of people surveyed at the courts and </w:t>
      </w:r>
      <w:r w:rsidR="00695A05" w:rsidRPr="00C32252">
        <w:t>in a community setting</w:t>
      </w:r>
      <w:r w:rsidRPr="00C32252">
        <w:t xml:space="preserve"> varied each day and ranged from 1 to 9.</w:t>
      </w:r>
      <w:r w:rsidR="00EF0654" w:rsidRPr="00C32252">
        <w:t xml:space="preserve"> </w:t>
      </w:r>
      <w:r w:rsidRPr="00C32252">
        <w:t>Court parti</w:t>
      </w:r>
      <w:r w:rsidR="006B2CF3" w:rsidRPr="00C32252">
        <w:t>ci</w:t>
      </w:r>
      <w:r w:rsidRPr="00C32252">
        <w:t xml:space="preserve">pants </w:t>
      </w:r>
      <w:r w:rsidR="00EF0654" w:rsidRPr="00C32252">
        <w:t xml:space="preserve">were approached </w:t>
      </w:r>
      <w:r w:rsidRPr="00C32252">
        <w:t xml:space="preserve">by the researchers while waiting for their court appearance or while in line waiting to make fine </w:t>
      </w:r>
      <w:r w:rsidRPr="00C32252">
        <w:lastRenderedPageBreak/>
        <w:t>payment(s)</w:t>
      </w:r>
      <w:r w:rsidR="00EF0654" w:rsidRPr="00C32252">
        <w:t xml:space="preserve"> and were asked by one of the researchers if they </w:t>
      </w:r>
      <w:r w:rsidR="006B2CF3" w:rsidRPr="00C32252">
        <w:t xml:space="preserve">would be willing to </w:t>
      </w:r>
      <w:r w:rsidR="00EF0654" w:rsidRPr="00C32252">
        <w:t xml:space="preserve">participate in the study. The </w:t>
      </w:r>
      <w:r w:rsidRPr="00C32252">
        <w:t>court surveys</w:t>
      </w:r>
      <w:r w:rsidR="00EF0654" w:rsidRPr="00C32252">
        <w:t xml:space="preserve">, which lasted approximately 20 minutes, were conducted in </w:t>
      </w:r>
      <w:r w:rsidRPr="00C32252">
        <w:t>the common areas of the Calgary Courts Centre.</w:t>
      </w:r>
      <w:r w:rsidR="00AA5B12">
        <w:t xml:space="preserve"> </w:t>
      </w:r>
      <w:r w:rsidRPr="00C32252">
        <w:t xml:space="preserve">The community surveys, which also </w:t>
      </w:r>
      <w:r w:rsidRPr="00C32252">
        <w:lastRenderedPageBreak/>
        <w:t>lasted approximately 20 minutes, were conducted within the common areas of various community organization facilities in Calgary.</w:t>
      </w:r>
      <w:r w:rsidR="00AA5B12">
        <w:t xml:space="preserve"> </w:t>
      </w:r>
      <w:r w:rsidRPr="00C32252">
        <w:t xml:space="preserve">The community organizations </w:t>
      </w:r>
      <w:r w:rsidR="006B2CF3" w:rsidRPr="00C32252">
        <w:t xml:space="preserve">that participated in this research and permitted access to their clients </w:t>
      </w:r>
      <w:r w:rsidRPr="00C32252">
        <w:t xml:space="preserve">included </w:t>
      </w:r>
      <w:r w:rsidR="0067193A" w:rsidRPr="00C32252">
        <w:t xml:space="preserve">Alpha </w:t>
      </w:r>
      <w:r w:rsidR="0067193A" w:rsidRPr="00C32252">
        <w:lastRenderedPageBreak/>
        <w:t xml:space="preserve">House, the Drop-In and Rehab Centre, Inn from the Cold, Vibrant Communities Calgary, Law at Your Library workshops, Calgary John Howard Society, Women’s Resource Centre, </w:t>
      </w:r>
      <w:r w:rsidR="002241C5" w:rsidRPr="00C32252">
        <w:t>Elizabeth Fry Society of Calgary, Mustard Seed, and Calgary Legal Guidance</w:t>
      </w:r>
      <w:r w:rsidRPr="00C32252">
        <w:t>.</w:t>
      </w:r>
    </w:p>
    <w:p w:rsidR="00685AEB" w:rsidRPr="00C32252" w:rsidRDefault="00685AEB" w:rsidP="00685AEB">
      <w:pPr>
        <w:widowControl w:val="0"/>
        <w:autoSpaceDE w:val="0"/>
        <w:autoSpaceDN w:val="0"/>
        <w:adjustRightInd w:val="0"/>
        <w:spacing w:line="360" w:lineRule="auto"/>
      </w:pPr>
    </w:p>
    <w:p w:rsidR="008A0589" w:rsidRPr="00C32252" w:rsidRDefault="008A0589" w:rsidP="00685AEB">
      <w:pPr>
        <w:widowControl w:val="0"/>
        <w:autoSpaceDE w:val="0"/>
        <w:autoSpaceDN w:val="0"/>
        <w:adjustRightInd w:val="0"/>
        <w:spacing w:line="360" w:lineRule="auto"/>
        <w:rPr>
          <w:b/>
          <w:i/>
          <w:sz w:val="28"/>
          <w:szCs w:val="28"/>
        </w:rPr>
      </w:pPr>
      <w:r w:rsidRPr="00C32252">
        <w:rPr>
          <w:b/>
          <w:i/>
          <w:sz w:val="28"/>
          <w:szCs w:val="28"/>
        </w:rPr>
        <w:t>Data Analysis</w:t>
      </w:r>
    </w:p>
    <w:p w:rsidR="00924A5F" w:rsidRDefault="00924A5F" w:rsidP="00685AEB">
      <w:pPr>
        <w:widowControl w:val="0"/>
        <w:autoSpaceDE w:val="0"/>
        <w:autoSpaceDN w:val="0"/>
        <w:adjustRightInd w:val="0"/>
        <w:spacing w:line="360" w:lineRule="auto"/>
      </w:pPr>
    </w:p>
    <w:p w:rsidR="008A0589" w:rsidRPr="00C32252" w:rsidRDefault="008A0589" w:rsidP="00685AEB">
      <w:pPr>
        <w:widowControl w:val="0"/>
        <w:autoSpaceDE w:val="0"/>
        <w:autoSpaceDN w:val="0"/>
        <w:adjustRightInd w:val="0"/>
        <w:spacing w:line="360" w:lineRule="auto"/>
      </w:pPr>
      <w:r w:rsidRPr="00C32252">
        <w:t xml:space="preserve">The data collected in this research is presented through a variety of descriptive statistics that describe who the participants are within the context of their experiences </w:t>
      </w:r>
      <w:r w:rsidRPr="00C32252">
        <w:lastRenderedPageBreak/>
        <w:t>with municipal fines in Calgary.</w:t>
      </w:r>
      <w:r w:rsidR="00AA5B12">
        <w:t xml:space="preserve"> </w:t>
      </w:r>
      <w:r w:rsidRPr="00C32252">
        <w:t xml:space="preserve">Demographic information on respondents is presented and discussed in the next section and involved presentation of frequencies on gender, age, education level, amounts and sources </w:t>
      </w:r>
      <w:r w:rsidR="00E32F92">
        <w:t xml:space="preserve">of </w:t>
      </w:r>
      <w:r w:rsidRPr="00C32252">
        <w:t>household income.</w:t>
      </w:r>
      <w:r w:rsidR="00AA5B12">
        <w:t xml:space="preserve"> </w:t>
      </w:r>
      <w:r w:rsidR="002241C5" w:rsidRPr="00C32252">
        <w:t xml:space="preserve">We had a </w:t>
      </w:r>
      <w:r w:rsidR="002241C5" w:rsidRPr="00C32252">
        <w:lastRenderedPageBreak/>
        <w:t>total of 435</w:t>
      </w:r>
      <w:r w:rsidR="006D7C3C" w:rsidRPr="00C32252">
        <w:t xml:space="preserve"> respondents complete the survey.</w:t>
      </w:r>
      <w:r w:rsidR="00AA5B12">
        <w:t xml:space="preserve"> </w:t>
      </w:r>
      <w:r w:rsidR="002241C5" w:rsidRPr="00C32252">
        <w:t>Some of these respondents (N=18</w:t>
      </w:r>
      <w:r w:rsidR="00E51E42">
        <w:t>) reported only having provincial infraction</w:t>
      </w:r>
      <w:r w:rsidR="006D7C3C" w:rsidRPr="00C32252">
        <w:t>s and were excluded from sample.</w:t>
      </w:r>
      <w:r w:rsidR="00AA5B12">
        <w:t xml:space="preserve"> </w:t>
      </w:r>
      <w:r w:rsidR="006D7C3C" w:rsidRPr="00C32252">
        <w:t xml:space="preserve">This left a </w:t>
      </w:r>
      <w:r w:rsidR="00E51E42">
        <w:t xml:space="preserve">total </w:t>
      </w:r>
      <w:r w:rsidR="006D7C3C" w:rsidRPr="00C32252">
        <w:t>sample of</w:t>
      </w:r>
      <w:r w:rsidR="003129BB" w:rsidRPr="00C32252">
        <w:t xml:space="preserve"> 417</w:t>
      </w:r>
      <w:r w:rsidR="006D7C3C" w:rsidRPr="00C32252">
        <w:t xml:space="preserve"> respondents who had reported having rec</w:t>
      </w:r>
      <w:r w:rsidR="00A46D67">
        <w:t>eived at least one municipal by</w:t>
      </w:r>
      <w:r w:rsidR="006D7C3C" w:rsidRPr="00C32252">
        <w:t>law fine over the past year</w:t>
      </w:r>
      <w:r w:rsidR="00E51E42">
        <w:t xml:space="preserve"> </w:t>
      </w:r>
      <w:r w:rsidR="00E51E42">
        <w:lastRenderedPageBreak/>
        <w:t>in the City of Calgary</w:t>
      </w:r>
      <w:r w:rsidR="006D7C3C" w:rsidRPr="00C32252">
        <w:t>.</w:t>
      </w:r>
      <w:r w:rsidR="00AA5B12">
        <w:t xml:space="preserve"> </w:t>
      </w:r>
      <w:r w:rsidR="00E60B74" w:rsidRPr="00C32252">
        <w:t xml:space="preserve">Of these respondents, </w:t>
      </w:r>
      <w:r w:rsidR="002241C5" w:rsidRPr="00C32252">
        <w:t>297</w:t>
      </w:r>
      <w:r w:rsidR="00E60B74" w:rsidRPr="00C32252">
        <w:t xml:space="preserve"> were completed at court and </w:t>
      </w:r>
      <w:r w:rsidR="002241C5" w:rsidRPr="00C32252">
        <w:t>120</w:t>
      </w:r>
      <w:r w:rsidR="00E60B74" w:rsidRPr="00C32252">
        <w:t xml:space="preserve"> were completed in the community.</w:t>
      </w:r>
      <w:r w:rsidR="00AA5B12">
        <w:t xml:space="preserve"> </w:t>
      </w:r>
      <w:r w:rsidR="00B722CB" w:rsidRPr="00C32252">
        <w:t xml:space="preserve">We begin the analysis by examining the experiences of </w:t>
      </w:r>
      <w:r w:rsidR="00DD4D55" w:rsidRPr="00C32252">
        <w:t xml:space="preserve">receiving </w:t>
      </w:r>
      <w:r w:rsidR="000A1DB6">
        <w:t>bylaw</w:t>
      </w:r>
      <w:r w:rsidR="00B722CB" w:rsidRPr="00C32252">
        <w:t xml:space="preserve"> </w:t>
      </w:r>
      <w:r w:rsidR="00DD4D55" w:rsidRPr="00C32252">
        <w:t>fines for the entire sample (N=417).</w:t>
      </w:r>
      <w:r w:rsidR="00AA5B12">
        <w:t xml:space="preserve"> </w:t>
      </w:r>
      <w:r w:rsidR="00DD4D55" w:rsidRPr="00C32252">
        <w:t>Data analysis tech</w:t>
      </w:r>
      <w:r w:rsidR="00DD4D55" w:rsidRPr="00C32252">
        <w:lastRenderedPageBreak/>
        <w:t>niques include the use of frequencies and cross tabulations.</w:t>
      </w:r>
      <w:r w:rsidR="00AA5B12">
        <w:t xml:space="preserve"> </w:t>
      </w:r>
      <w:r w:rsidR="00FB44C5" w:rsidRPr="00C32252">
        <w:t xml:space="preserve">We follow this by comparing the experiences of </w:t>
      </w:r>
      <w:r w:rsidR="00496BF2" w:rsidRPr="00C32252">
        <w:t>the court and community samples.</w:t>
      </w:r>
      <w:r w:rsidR="00AA5B12">
        <w:t xml:space="preserve"> </w:t>
      </w:r>
      <w:r w:rsidR="006A7929" w:rsidRPr="00C32252">
        <w:t>Data analysis in this section involved frequencies and cross tabulations.</w:t>
      </w:r>
    </w:p>
    <w:p w:rsidR="00924A5F" w:rsidRDefault="00924A5F" w:rsidP="00685AEB">
      <w:pPr>
        <w:autoSpaceDE w:val="0"/>
        <w:autoSpaceDN w:val="0"/>
        <w:adjustRightInd w:val="0"/>
        <w:spacing w:line="360" w:lineRule="auto"/>
        <w:rPr>
          <w:b/>
          <w:i/>
          <w:sz w:val="28"/>
          <w:szCs w:val="28"/>
        </w:rPr>
      </w:pPr>
    </w:p>
    <w:p w:rsidR="00C0687D" w:rsidRPr="00C32252" w:rsidRDefault="00302BDF" w:rsidP="00685AEB">
      <w:pPr>
        <w:autoSpaceDE w:val="0"/>
        <w:autoSpaceDN w:val="0"/>
        <w:adjustRightInd w:val="0"/>
        <w:spacing w:line="360" w:lineRule="auto"/>
        <w:rPr>
          <w:b/>
          <w:i/>
          <w:sz w:val="28"/>
          <w:szCs w:val="28"/>
        </w:rPr>
      </w:pPr>
      <w:r w:rsidRPr="00C32252">
        <w:rPr>
          <w:b/>
          <w:i/>
          <w:sz w:val="28"/>
          <w:szCs w:val="28"/>
        </w:rPr>
        <w:t xml:space="preserve">Sample </w:t>
      </w:r>
      <w:r w:rsidR="005B658D" w:rsidRPr="00C32252">
        <w:rPr>
          <w:b/>
          <w:i/>
          <w:sz w:val="28"/>
          <w:szCs w:val="28"/>
        </w:rPr>
        <w:t xml:space="preserve">Demographics </w:t>
      </w:r>
    </w:p>
    <w:p w:rsidR="00302BDF" w:rsidRPr="00C32252" w:rsidRDefault="00302BDF" w:rsidP="00685AEB">
      <w:pPr>
        <w:widowControl w:val="0"/>
        <w:autoSpaceDE w:val="0"/>
        <w:autoSpaceDN w:val="0"/>
        <w:adjustRightInd w:val="0"/>
        <w:spacing w:line="360" w:lineRule="auto"/>
        <w:rPr>
          <w:sz w:val="26"/>
          <w:szCs w:val="26"/>
        </w:rPr>
      </w:pPr>
    </w:p>
    <w:p w:rsidR="00924A5F" w:rsidRDefault="00302BDF" w:rsidP="00685AEB">
      <w:pPr>
        <w:widowControl w:val="0"/>
        <w:autoSpaceDE w:val="0"/>
        <w:autoSpaceDN w:val="0"/>
        <w:adjustRightInd w:val="0"/>
        <w:spacing w:line="360" w:lineRule="auto"/>
      </w:pPr>
      <w:r w:rsidRPr="00C32252">
        <w:t>Respondents were slightly more likely to be male, with females representing 40.6% of the sample and males accounting for 59.1% (see Table 1.1).</w:t>
      </w:r>
      <w:r w:rsidR="00AA5B12">
        <w:t xml:space="preserve"> </w:t>
      </w:r>
      <w:r w:rsidRPr="00C32252">
        <w:t>Respondents ranged in age from under 18 to over 51 (see Table 1.2</w:t>
      </w:r>
      <w:r w:rsidR="00152929">
        <w:t>, page 9</w:t>
      </w:r>
      <w:r w:rsidRPr="00C32252">
        <w:t>).</w:t>
      </w:r>
      <w:r w:rsidR="00AA5B12">
        <w:t xml:space="preserve"> </w:t>
      </w:r>
      <w:r w:rsidRPr="00C32252">
        <w:t xml:space="preserve">As we might expect, respondents </w:t>
      </w:r>
      <w:r w:rsidRPr="00C32252">
        <w:lastRenderedPageBreak/>
        <w:t>reported a range of education levels with 22.9% having some high school, 22.4% have a high school diploma, 20.0% reported some college/or university, and 33.6% reported a college diploma or university degree (see Table 1.3</w:t>
      </w:r>
      <w:r w:rsidR="00152929">
        <w:t>, page 9</w:t>
      </w:r>
      <w:r w:rsidRPr="00C32252">
        <w:t xml:space="preserve">). </w:t>
      </w:r>
    </w:p>
    <w:p w:rsidR="00685AEB" w:rsidRPr="00C32252" w:rsidRDefault="00685AEB" w:rsidP="00685AEB">
      <w:pPr>
        <w:widowControl w:val="0"/>
        <w:autoSpaceDE w:val="0"/>
        <w:autoSpaceDN w:val="0"/>
        <w:adjustRightInd w:val="0"/>
        <w:spacing w:line="360" w:lineRule="auto"/>
      </w:pPr>
    </w:p>
    <w:tbl>
      <w:tblPr>
        <w:tblW w:w="7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48"/>
        <w:gridCol w:w="1163"/>
        <w:gridCol w:w="1024"/>
        <w:gridCol w:w="1553"/>
        <w:gridCol w:w="2140"/>
      </w:tblGrid>
      <w:tr w:rsidR="00C32252" w:rsidRPr="00C32252" w:rsidTr="00685AEB">
        <w:trPr>
          <w:cantSplit/>
          <w:trHeight w:val="333"/>
        </w:trPr>
        <w:tc>
          <w:tcPr>
            <w:tcW w:w="7776" w:type="dxa"/>
            <w:gridSpan w:val="6"/>
            <w:tcBorders>
              <w:top w:val="nil"/>
              <w:left w:val="nil"/>
              <w:bottom w:val="single" w:sz="4" w:space="0" w:color="auto"/>
              <w:right w:val="nil"/>
            </w:tcBorders>
            <w:shd w:val="clear" w:color="auto" w:fill="FFFFFF"/>
            <w:vAlign w:val="center"/>
          </w:tcPr>
          <w:p w:rsidR="00C0687D" w:rsidRPr="00C32252" w:rsidRDefault="00A10464" w:rsidP="00924A5F">
            <w:pPr>
              <w:autoSpaceDE w:val="0"/>
              <w:autoSpaceDN w:val="0"/>
              <w:adjustRightInd w:val="0"/>
              <w:ind w:right="60"/>
              <w:rPr>
                <w:sz w:val="28"/>
                <w:szCs w:val="28"/>
              </w:rPr>
            </w:pPr>
            <w:r w:rsidRPr="00C32252">
              <w:rPr>
                <w:b/>
                <w:bCs/>
                <w:sz w:val="28"/>
                <w:szCs w:val="28"/>
              </w:rPr>
              <w:lastRenderedPageBreak/>
              <w:t>Table 1.1</w:t>
            </w:r>
            <w:r w:rsidR="00CF4804" w:rsidRPr="00C32252">
              <w:rPr>
                <w:b/>
                <w:bCs/>
                <w:sz w:val="28"/>
                <w:szCs w:val="28"/>
              </w:rPr>
              <w:t>:</w:t>
            </w:r>
            <w:r w:rsidRPr="00C32252">
              <w:rPr>
                <w:b/>
                <w:bCs/>
                <w:sz w:val="28"/>
                <w:szCs w:val="28"/>
              </w:rPr>
              <w:t xml:space="preserve"> </w:t>
            </w:r>
            <w:r w:rsidR="00C0687D" w:rsidRPr="00C32252">
              <w:rPr>
                <w:b/>
                <w:bCs/>
                <w:sz w:val="28"/>
                <w:szCs w:val="28"/>
              </w:rPr>
              <w:t>Gender</w:t>
            </w:r>
          </w:p>
        </w:tc>
      </w:tr>
      <w:tr w:rsidR="00C32252" w:rsidRPr="00C32252" w:rsidTr="00C32252">
        <w:trPr>
          <w:cantSplit/>
        </w:trPr>
        <w:tc>
          <w:tcPr>
            <w:tcW w:w="1896" w:type="dxa"/>
            <w:gridSpan w:val="2"/>
            <w:tcBorders>
              <w:top w:val="single" w:sz="4" w:space="0" w:color="auto"/>
              <w:left w:val="single" w:sz="4" w:space="0" w:color="auto"/>
              <w:bottom w:val="single" w:sz="4" w:space="0" w:color="auto"/>
              <w:right w:val="nil"/>
            </w:tcBorders>
            <w:shd w:val="clear" w:color="auto" w:fill="FFFFFF"/>
            <w:vAlign w:val="bottom"/>
          </w:tcPr>
          <w:p w:rsidR="00C0687D" w:rsidRPr="00C32252" w:rsidRDefault="00C0687D" w:rsidP="00924A5F">
            <w:pPr>
              <w:autoSpaceDE w:val="0"/>
              <w:autoSpaceDN w:val="0"/>
              <w:adjustRightInd w:val="0"/>
            </w:pPr>
          </w:p>
        </w:tc>
        <w:tc>
          <w:tcPr>
            <w:tcW w:w="1163" w:type="dxa"/>
            <w:tcBorders>
              <w:top w:val="single" w:sz="4" w:space="0" w:color="auto"/>
              <w:left w:val="nil"/>
              <w:bottom w:val="single" w:sz="4" w:space="0" w:color="auto"/>
              <w:right w:val="single" w:sz="8" w:space="0" w:color="E0E0E0"/>
            </w:tcBorders>
            <w:shd w:val="clear" w:color="auto" w:fill="FFFFFF"/>
            <w:vAlign w:val="bottom"/>
          </w:tcPr>
          <w:p w:rsidR="00C0687D" w:rsidRPr="00C32252" w:rsidRDefault="00C0687D" w:rsidP="00924A5F">
            <w:pPr>
              <w:autoSpaceDE w:val="0"/>
              <w:autoSpaceDN w:val="0"/>
              <w:adjustRightInd w:val="0"/>
              <w:ind w:left="60" w:right="60"/>
              <w:jc w:val="center"/>
            </w:pPr>
            <w:r w:rsidRPr="00C32252">
              <w:t>Frequency</w:t>
            </w:r>
          </w:p>
        </w:tc>
        <w:tc>
          <w:tcPr>
            <w:tcW w:w="1024" w:type="dxa"/>
            <w:tcBorders>
              <w:top w:val="single" w:sz="4" w:space="0" w:color="auto"/>
              <w:left w:val="single" w:sz="8" w:space="0" w:color="E0E0E0"/>
              <w:bottom w:val="single" w:sz="4" w:space="0" w:color="auto"/>
              <w:right w:val="single" w:sz="8" w:space="0" w:color="E0E0E0"/>
            </w:tcBorders>
            <w:shd w:val="clear" w:color="auto" w:fill="FFFFFF"/>
            <w:vAlign w:val="bottom"/>
          </w:tcPr>
          <w:p w:rsidR="00C0687D" w:rsidRPr="00C32252" w:rsidRDefault="00C0687D" w:rsidP="00924A5F">
            <w:pPr>
              <w:autoSpaceDE w:val="0"/>
              <w:autoSpaceDN w:val="0"/>
              <w:adjustRightInd w:val="0"/>
              <w:ind w:left="60" w:right="60"/>
              <w:jc w:val="center"/>
            </w:pPr>
            <w:r w:rsidRPr="00C32252">
              <w:t>Percent</w:t>
            </w:r>
          </w:p>
        </w:tc>
        <w:tc>
          <w:tcPr>
            <w:tcW w:w="1553" w:type="dxa"/>
            <w:tcBorders>
              <w:top w:val="single" w:sz="4" w:space="0" w:color="auto"/>
              <w:left w:val="single" w:sz="8" w:space="0" w:color="E0E0E0"/>
              <w:bottom w:val="single" w:sz="4" w:space="0" w:color="auto"/>
              <w:right w:val="single" w:sz="8" w:space="0" w:color="E0E0E0"/>
            </w:tcBorders>
            <w:shd w:val="clear" w:color="auto" w:fill="FFFFFF"/>
            <w:vAlign w:val="bottom"/>
          </w:tcPr>
          <w:p w:rsidR="00C0687D" w:rsidRPr="00C32252" w:rsidRDefault="00C0687D" w:rsidP="00924A5F">
            <w:pPr>
              <w:autoSpaceDE w:val="0"/>
              <w:autoSpaceDN w:val="0"/>
              <w:adjustRightInd w:val="0"/>
              <w:ind w:left="60" w:right="60"/>
              <w:jc w:val="center"/>
            </w:pPr>
            <w:r w:rsidRPr="00C32252">
              <w:t>Valid Percent</w:t>
            </w:r>
          </w:p>
        </w:tc>
        <w:tc>
          <w:tcPr>
            <w:tcW w:w="2140" w:type="dxa"/>
            <w:tcBorders>
              <w:top w:val="single" w:sz="4" w:space="0" w:color="auto"/>
              <w:left w:val="single" w:sz="8" w:space="0" w:color="E0E0E0"/>
              <w:bottom w:val="single" w:sz="4" w:space="0" w:color="auto"/>
              <w:right w:val="single" w:sz="4" w:space="0" w:color="auto"/>
            </w:tcBorders>
            <w:shd w:val="clear" w:color="auto" w:fill="FFFFFF"/>
            <w:vAlign w:val="bottom"/>
          </w:tcPr>
          <w:p w:rsidR="00C0687D" w:rsidRPr="00C32252" w:rsidRDefault="00C0687D" w:rsidP="00924A5F">
            <w:pPr>
              <w:autoSpaceDE w:val="0"/>
              <w:autoSpaceDN w:val="0"/>
              <w:adjustRightInd w:val="0"/>
              <w:ind w:left="60" w:right="60"/>
              <w:jc w:val="center"/>
            </w:pPr>
            <w:r w:rsidRPr="00C32252">
              <w:t>Cumulative Percent</w:t>
            </w:r>
          </w:p>
        </w:tc>
      </w:tr>
      <w:tr w:rsidR="00C32252" w:rsidRPr="00C32252" w:rsidTr="00C32252">
        <w:trPr>
          <w:cantSplit/>
        </w:trPr>
        <w:tc>
          <w:tcPr>
            <w:tcW w:w="948" w:type="dxa"/>
            <w:vMerge w:val="restart"/>
            <w:tcBorders>
              <w:top w:val="single" w:sz="4" w:space="0" w:color="auto"/>
              <w:left w:val="single" w:sz="4" w:space="0" w:color="auto"/>
              <w:bottom w:val="single" w:sz="8" w:space="0" w:color="AEAEAE"/>
              <w:right w:val="nil"/>
            </w:tcBorders>
            <w:shd w:val="clear" w:color="auto" w:fill="E0E0E0"/>
          </w:tcPr>
          <w:p w:rsidR="00C0687D" w:rsidRPr="00C32252" w:rsidRDefault="00C0687D" w:rsidP="00924A5F">
            <w:pPr>
              <w:autoSpaceDE w:val="0"/>
              <w:autoSpaceDN w:val="0"/>
              <w:adjustRightInd w:val="0"/>
              <w:ind w:left="60" w:right="60"/>
            </w:pPr>
          </w:p>
        </w:tc>
        <w:tc>
          <w:tcPr>
            <w:tcW w:w="948" w:type="dxa"/>
            <w:tcBorders>
              <w:top w:val="single" w:sz="4" w:space="0" w:color="auto"/>
              <w:left w:val="nil"/>
              <w:bottom w:val="single" w:sz="8" w:space="0" w:color="AEAEAE"/>
              <w:right w:val="single" w:sz="4" w:space="0" w:color="auto"/>
            </w:tcBorders>
            <w:shd w:val="clear" w:color="auto" w:fill="E0E0E0"/>
          </w:tcPr>
          <w:p w:rsidR="00C0687D" w:rsidRPr="00C32252" w:rsidRDefault="00C0687D" w:rsidP="00924A5F">
            <w:pPr>
              <w:autoSpaceDE w:val="0"/>
              <w:autoSpaceDN w:val="0"/>
              <w:adjustRightInd w:val="0"/>
              <w:ind w:left="60" w:right="60"/>
              <w:rPr>
                <w:b/>
              </w:rPr>
            </w:pPr>
            <w:r w:rsidRPr="00C32252">
              <w:rPr>
                <w:b/>
              </w:rPr>
              <w:t>Female</w:t>
            </w:r>
          </w:p>
        </w:tc>
        <w:tc>
          <w:tcPr>
            <w:tcW w:w="1163" w:type="dxa"/>
            <w:tcBorders>
              <w:top w:val="single" w:sz="4" w:space="0" w:color="auto"/>
              <w:left w:val="single" w:sz="4" w:space="0" w:color="auto"/>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160</w:t>
            </w:r>
          </w:p>
        </w:tc>
        <w:tc>
          <w:tcPr>
            <w:tcW w:w="1024" w:type="dxa"/>
            <w:tcBorders>
              <w:top w:val="single" w:sz="4" w:space="0" w:color="auto"/>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38.4</w:t>
            </w:r>
          </w:p>
        </w:tc>
        <w:tc>
          <w:tcPr>
            <w:tcW w:w="1553" w:type="dxa"/>
            <w:tcBorders>
              <w:top w:val="single" w:sz="4" w:space="0" w:color="auto"/>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40.6</w:t>
            </w:r>
          </w:p>
        </w:tc>
        <w:tc>
          <w:tcPr>
            <w:tcW w:w="2140" w:type="dxa"/>
            <w:tcBorders>
              <w:top w:val="single" w:sz="4" w:space="0" w:color="auto"/>
              <w:left w:val="single" w:sz="8" w:space="0" w:color="E0E0E0"/>
              <w:bottom w:val="single" w:sz="8" w:space="0" w:color="AEAEAE"/>
              <w:right w:val="single" w:sz="4" w:space="0" w:color="auto"/>
            </w:tcBorders>
            <w:shd w:val="clear" w:color="auto" w:fill="FFFFFF"/>
          </w:tcPr>
          <w:p w:rsidR="00C0687D" w:rsidRPr="00C32252" w:rsidRDefault="00C0687D" w:rsidP="00924A5F">
            <w:pPr>
              <w:autoSpaceDE w:val="0"/>
              <w:autoSpaceDN w:val="0"/>
              <w:adjustRightInd w:val="0"/>
              <w:ind w:left="60" w:right="60"/>
              <w:jc w:val="right"/>
            </w:pPr>
            <w:r w:rsidRPr="00C32252">
              <w:t>40.6</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C0687D" w:rsidRPr="00C32252" w:rsidRDefault="00C0687D" w:rsidP="00924A5F">
            <w:pPr>
              <w:autoSpaceDE w:val="0"/>
              <w:autoSpaceDN w:val="0"/>
              <w:adjustRightInd w:val="0"/>
            </w:pPr>
          </w:p>
        </w:tc>
        <w:tc>
          <w:tcPr>
            <w:tcW w:w="948" w:type="dxa"/>
            <w:tcBorders>
              <w:top w:val="single" w:sz="8" w:space="0" w:color="AEAEAE"/>
              <w:left w:val="nil"/>
              <w:bottom w:val="single" w:sz="8" w:space="0" w:color="AEAEAE"/>
              <w:right w:val="single" w:sz="4" w:space="0" w:color="auto"/>
            </w:tcBorders>
            <w:shd w:val="clear" w:color="auto" w:fill="E0E0E0"/>
          </w:tcPr>
          <w:p w:rsidR="00C0687D" w:rsidRPr="00C32252" w:rsidRDefault="00C0687D" w:rsidP="00924A5F">
            <w:pPr>
              <w:autoSpaceDE w:val="0"/>
              <w:autoSpaceDN w:val="0"/>
              <w:adjustRightInd w:val="0"/>
              <w:ind w:left="60" w:right="60"/>
              <w:rPr>
                <w:b/>
              </w:rPr>
            </w:pPr>
            <w:r w:rsidRPr="00C32252">
              <w:rPr>
                <w:b/>
              </w:rPr>
              <w:t>Male</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233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55.9</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59.1</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C0687D" w:rsidRPr="00C32252" w:rsidRDefault="00C0687D" w:rsidP="00924A5F">
            <w:pPr>
              <w:autoSpaceDE w:val="0"/>
              <w:autoSpaceDN w:val="0"/>
              <w:adjustRightInd w:val="0"/>
              <w:ind w:left="60" w:right="60"/>
              <w:jc w:val="right"/>
            </w:pPr>
            <w:r w:rsidRPr="00C32252">
              <w:t>99.7</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C0687D" w:rsidRPr="00C32252" w:rsidRDefault="00C0687D" w:rsidP="00924A5F">
            <w:pPr>
              <w:autoSpaceDE w:val="0"/>
              <w:autoSpaceDN w:val="0"/>
              <w:adjustRightInd w:val="0"/>
            </w:pPr>
          </w:p>
        </w:tc>
        <w:tc>
          <w:tcPr>
            <w:tcW w:w="948" w:type="dxa"/>
            <w:tcBorders>
              <w:top w:val="single" w:sz="8" w:space="0" w:color="AEAEAE"/>
              <w:left w:val="nil"/>
              <w:bottom w:val="single" w:sz="8" w:space="0" w:color="AEAEAE"/>
              <w:right w:val="single" w:sz="4" w:space="0" w:color="auto"/>
            </w:tcBorders>
            <w:shd w:val="clear" w:color="auto" w:fill="E0E0E0"/>
          </w:tcPr>
          <w:p w:rsidR="00C0687D" w:rsidRPr="00C32252" w:rsidRDefault="00C0687D" w:rsidP="00924A5F">
            <w:pPr>
              <w:autoSpaceDE w:val="0"/>
              <w:autoSpaceDN w:val="0"/>
              <w:adjustRightInd w:val="0"/>
              <w:ind w:left="60" w:right="60"/>
            </w:pPr>
            <w:r w:rsidRPr="00C32252">
              <w:t>Other</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.3</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C0687D" w:rsidRPr="00C32252" w:rsidRDefault="00C0687D" w:rsidP="00924A5F">
            <w:pPr>
              <w:autoSpaceDE w:val="0"/>
              <w:autoSpaceDN w:val="0"/>
              <w:adjustRightInd w:val="0"/>
              <w:ind w:left="60" w:right="60"/>
              <w:jc w:val="right"/>
            </w:pPr>
            <w:r w:rsidRPr="00C32252">
              <w:t>100.0</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C0687D" w:rsidRPr="00C32252" w:rsidRDefault="00C0687D" w:rsidP="00924A5F">
            <w:pPr>
              <w:autoSpaceDE w:val="0"/>
              <w:autoSpaceDN w:val="0"/>
              <w:adjustRightInd w:val="0"/>
            </w:pPr>
          </w:p>
        </w:tc>
        <w:tc>
          <w:tcPr>
            <w:tcW w:w="948" w:type="dxa"/>
            <w:tcBorders>
              <w:top w:val="single" w:sz="8" w:space="0" w:color="AEAEAE"/>
              <w:left w:val="nil"/>
              <w:bottom w:val="single" w:sz="8" w:space="0" w:color="AEAEAE"/>
              <w:right w:val="single" w:sz="4" w:space="0" w:color="auto"/>
            </w:tcBorders>
            <w:shd w:val="clear" w:color="auto" w:fill="E0E0E0"/>
          </w:tcPr>
          <w:p w:rsidR="00C0687D" w:rsidRPr="00C32252" w:rsidRDefault="00C0687D" w:rsidP="00924A5F">
            <w:pPr>
              <w:autoSpaceDE w:val="0"/>
              <w:autoSpaceDN w:val="0"/>
              <w:adjustRightInd w:val="0"/>
              <w:ind w:left="60" w:right="60"/>
            </w:pPr>
            <w:r w:rsidRPr="00C32252">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394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94.5</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C0687D" w:rsidRPr="00C32252" w:rsidRDefault="00C0687D" w:rsidP="00924A5F">
            <w:pPr>
              <w:autoSpaceDE w:val="0"/>
              <w:autoSpaceDN w:val="0"/>
              <w:adjustRightInd w:val="0"/>
            </w:pPr>
          </w:p>
        </w:tc>
      </w:tr>
      <w:tr w:rsidR="00C32252" w:rsidRPr="00C32252" w:rsidTr="00C32252">
        <w:trPr>
          <w:cantSplit/>
        </w:trPr>
        <w:tc>
          <w:tcPr>
            <w:tcW w:w="948" w:type="dxa"/>
            <w:tcBorders>
              <w:top w:val="single" w:sz="8" w:space="0" w:color="AEAEAE"/>
              <w:left w:val="single" w:sz="4" w:space="0" w:color="auto"/>
              <w:bottom w:val="single" w:sz="8" w:space="0" w:color="AEAEAE"/>
              <w:right w:val="nil"/>
            </w:tcBorders>
            <w:shd w:val="clear" w:color="auto" w:fill="E0E0E0"/>
          </w:tcPr>
          <w:p w:rsidR="00C0687D" w:rsidRPr="00C32252" w:rsidRDefault="00C0687D" w:rsidP="00924A5F">
            <w:pPr>
              <w:autoSpaceDE w:val="0"/>
              <w:autoSpaceDN w:val="0"/>
              <w:adjustRightInd w:val="0"/>
              <w:ind w:left="60" w:right="60"/>
            </w:pPr>
            <w:r w:rsidRPr="00C32252">
              <w:t>Missing</w:t>
            </w:r>
          </w:p>
        </w:tc>
        <w:tc>
          <w:tcPr>
            <w:tcW w:w="948" w:type="dxa"/>
            <w:tcBorders>
              <w:top w:val="single" w:sz="8" w:space="0" w:color="AEAEAE"/>
              <w:left w:val="nil"/>
              <w:bottom w:val="single" w:sz="8" w:space="0" w:color="AEAEAE"/>
              <w:right w:val="single" w:sz="4" w:space="0" w:color="auto"/>
            </w:tcBorders>
            <w:shd w:val="clear" w:color="auto" w:fill="E0E0E0"/>
          </w:tcPr>
          <w:p w:rsidR="00C0687D" w:rsidRPr="00C32252" w:rsidRDefault="00C0687D" w:rsidP="00924A5F">
            <w:pPr>
              <w:autoSpaceDE w:val="0"/>
              <w:autoSpaceDN w:val="0"/>
              <w:adjustRightInd w:val="0"/>
              <w:ind w:left="60" w:right="60"/>
            </w:pPr>
            <w:r w:rsidRPr="00C32252">
              <w:t>Missing</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23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5.5</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C0687D" w:rsidRPr="00C32252" w:rsidRDefault="00C0687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C0687D" w:rsidRPr="00C32252" w:rsidRDefault="00C0687D" w:rsidP="00924A5F">
            <w:pPr>
              <w:autoSpaceDE w:val="0"/>
              <w:autoSpaceDN w:val="0"/>
              <w:adjustRightInd w:val="0"/>
            </w:pPr>
          </w:p>
        </w:tc>
      </w:tr>
      <w:tr w:rsidR="00C32252" w:rsidRPr="00C32252" w:rsidTr="00C32252">
        <w:trPr>
          <w:cantSplit/>
        </w:trPr>
        <w:tc>
          <w:tcPr>
            <w:tcW w:w="1896" w:type="dxa"/>
            <w:gridSpan w:val="2"/>
            <w:tcBorders>
              <w:top w:val="single" w:sz="8" w:space="0" w:color="AEAEAE"/>
              <w:left w:val="single" w:sz="4" w:space="0" w:color="auto"/>
              <w:bottom w:val="single" w:sz="4" w:space="0" w:color="auto"/>
              <w:right w:val="single" w:sz="4" w:space="0" w:color="auto"/>
            </w:tcBorders>
            <w:shd w:val="clear" w:color="auto" w:fill="E0E0E0"/>
          </w:tcPr>
          <w:p w:rsidR="00C0687D" w:rsidRPr="00C32252" w:rsidRDefault="00C0687D" w:rsidP="00924A5F">
            <w:pPr>
              <w:autoSpaceDE w:val="0"/>
              <w:autoSpaceDN w:val="0"/>
              <w:adjustRightInd w:val="0"/>
              <w:ind w:left="60" w:right="60"/>
            </w:pPr>
            <w:r w:rsidRPr="00C32252">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C0687D" w:rsidRPr="00C32252" w:rsidRDefault="00C0687D" w:rsidP="00924A5F">
            <w:pPr>
              <w:autoSpaceDE w:val="0"/>
              <w:autoSpaceDN w:val="0"/>
              <w:adjustRightInd w:val="0"/>
              <w:ind w:left="60" w:right="60"/>
              <w:jc w:val="right"/>
            </w:pPr>
            <w:r w:rsidRPr="00C32252">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C0687D" w:rsidRPr="00C32252" w:rsidRDefault="00C0687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C0687D" w:rsidRPr="00C32252" w:rsidRDefault="00C0687D" w:rsidP="00924A5F">
            <w:pPr>
              <w:autoSpaceDE w:val="0"/>
              <w:autoSpaceDN w:val="0"/>
              <w:adjustRightInd w:val="0"/>
            </w:pPr>
          </w:p>
        </w:tc>
      </w:tr>
    </w:tbl>
    <w:p w:rsidR="00C0687D" w:rsidRPr="00C32252" w:rsidRDefault="00C0687D" w:rsidP="00924A5F">
      <w:pPr>
        <w:autoSpaceDE w:val="0"/>
        <w:autoSpaceDN w:val="0"/>
        <w:adjustRightInd w:val="0"/>
      </w:pPr>
    </w:p>
    <w:p w:rsidR="0014339D" w:rsidRDefault="0014339D">
      <w:r>
        <w:br w:type="page"/>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111"/>
        <w:gridCol w:w="1162"/>
        <w:gridCol w:w="1024"/>
        <w:gridCol w:w="1553"/>
        <w:gridCol w:w="2140"/>
      </w:tblGrid>
      <w:tr w:rsidR="00C32252" w:rsidRPr="00C32252" w:rsidTr="00C32252">
        <w:trPr>
          <w:cantSplit/>
        </w:trPr>
        <w:tc>
          <w:tcPr>
            <w:tcW w:w="7938" w:type="dxa"/>
            <w:gridSpan w:val="6"/>
            <w:tcBorders>
              <w:top w:val="nil"/>
              <w:left w:val="nil"/>
              <w:bottom w:val="single" w:sz="4" w:space="0" w:color="auto"/>
              <w:right w:val="nil"/>
            </w:tcBorders>
            <w:shd w:val="clear" w:color="auto" w:fill="FFFFFF"/>
            <w:vAlign w:val="center"/>
          </w:tcPr>
          <w:p w:rsidR="005B658D" w:rsidRPr="00C32252" w:rsidRDefault="00A10464" w:rsidP="00924A5F">
            <w:pPr>
              <w:autoSpaceDE w:val="0"/>
              <w:autoSpaceDN w:val="0"/>
              <w:adjustRightInd w:val="0"/>
              <w:ind w:left="60" w:right="60"/>
              <w:rPr>
                <w:sz w:val="28"/>
                <w:szCs w:val="28"/>
              </w:rPr>
            </w:pPr>
            <w:r w:rsidRPr="00C32252">
              <w:rPr>
                <w:b/>
                <w:bCs/>
                <w:sz w:val="28"/>
                <w:szCs w:val="28"/>
              </w:rPr>
              <w:lastRenderedPageBreak/>
              <w:t>Table 1.2</w:t>
            </w:r>
            <w:r w:rsidR="00CF4804" w:rsidRPr="00C32252">
              <w:rPr>
                <w:b/>
                <w:bCs/>
                <w:sz w:val="28"/>
                <w:szCs w:val="28"/>
              </w:rPr>
              <w:t>:</w:t>
            </w:r>
            <w:r w:rsidRPr="00C32252">
              <w:rPr>
                <w:b/>
                <w:bCs/>
                <w:sz w:val="28"/>
                <w:szCs w:val="28"/>
              </w:rPr>
              <w:t xml:space="preserve"> </w:t>
            </w:r>
            <w:r w:rsidR="005B658D" w:rsidRPr="00C32252">
              <w:rPr>
                <w:b/>
                <w:bCs/>
                <w:sz w:val="28"/>
                <w:szCs w:val="28"/>
              </w:rPr>
              <w:t>Age</w:t>
            </w:r>
          </w:p>
        </w:tc>
      </w:tr>
      <w:tr w:rsidR="00C32252" w:rsidRPr="00C32252" w:rsidTr="00C32252">
        <w:trPr>
          <w:cantSplit/>
        </w:trPr>
        <w:tc>
          <w:tcPr>
            <w:tcW w:w="205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pPr>
            <w:r w:rsidRPr="00C32252">
              <w:t>Cumulative Percent</w:t>
            </w:r>
          </w:p>
        </w:tc>
      </w:tr>
      <w:tr w:rsidR="00C32252" w:rsidRPr="00C32252" w:rsidTr="00C32252">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1111" w:type="dxa"/>
            <w:tcBorders>
              <w:top w:val="single" w:sz="8" w:space="0" w:color="152935"/>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 xml:space="preserve"> </w:t>
            </w:r>
            <w:r w:rsidR="00766149" w:rsidRPr="00C32252">
              <w:rPr>
                <w:b/>
              </w:rPr>
              <w:t>Under 18</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1.4</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1.4</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1.4</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1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 xml:space="preserve">18-30 </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174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41.8</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43.3</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1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 xml:space="preserve">31-50 </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169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40.5</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40.6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83.9</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1111" w:type="dxa"/>
            <w:tcBorders>
              <w:top w:val="single" w:sz="8" w:space="0" w:color="AEAEAE"/>
              <w:left w:val="nil"/>
              <w:bottom w:val="single" w:sz="8" w:space="0" w:color="AEAEAE"/>
              <w:right w:val="single" w:sz="4" w:space="0" w:color="auto"/>
            </w:tcBorders>
            <w:shd w:val="clear" w:color="auto" w:fill="E0E0E0"/>
          </w:tcPr>
          <w:p w:rsidR="005B658D" w:rsidRPr="00C32252" w:rsidRDefault="00766149" w:rsidP="00924A5F">
            <w:pPr>
              <w:autoSpaceDE w:val="0"/>
              <w:autoSpaceDN w:val="0"/>
              <w:adjustRightInd w:val="0"/>
              <w:ind w:left="60" w:right="60"/>
              <w:rPr>
                <w:b/>
              </w:rPr>
            </w:pPr>
            <w:r w:rsidRPr="00C32252">
              <w:rPr>
                <w:b/>
              </w:rPr>
              <w:t>51+</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67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16.1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16.1</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100.0</w:t>
            </w:r>
          </w:p>
        </w:tc>
      </w:tr>
      <w:tr w:rsidR="00C32252" w:rsidRPr="00C32252" w:rsidTr="00C3225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1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99.8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C32252" w:rsidRPr="00C32252" w:rsidTr="00C32252">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ind w:left="60" w:right="60"/>
            </w:pPr>
            <w:r w:rsidRPr="00C32252">
              <w:t>Missing</w:t>
            </w:r>
          </w:p>
        </w:tc>
        <w:tc>
          <w:tcPr>
            <w:tcW w:w="1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System</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C32252" w:rsidRPr="00C32252" w:rsidTr="00C32252">
        <w:trPr>
          <w:cantSplit/>
        </w:trPr>
        <w:tc>
          <w:tcPr>
            <w:tcW w:w="2059"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C32252" w:rsidRDefault="005B658D" w:rsidP="00924A5F">
            <w:pPr>
              <w:autoSpaceDE w:val="0"/>
              <w:autoSpaceDN w:val="0"/>
              <w:adjustRightInd w:val="0"/>
            </w:pPr>
          </w:p>
        </w:tc>
      </w:tr>
    </w:tbl>
    <w:p w:rsidR="00BF2529" w:rsidRPr="00C32252" w:rsidRDefault="00BF2529" w:rsidP="00685AEB">
      <w:pPr>
        <w:autoSpaceDE w:val="0"/>
        <w:autoSpaceDN w:val="0"/>
        <w:adjustRightInd w:val="0"/>
        <w:spacing w:line="360" w:lineRule="auto"/>
      </w:pPr>
    </w:p>
    <w:tbl>
      <w:tblPr>
        <w:tblW w:w="8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111"/>
        <w:gridCol w:w="1166"/>
        <w:gridCol w:w="1024"/>
        <w:gridCol w:w="1553"/>
        <w:gridCol w:w="2140"/>
      </w:tblGrid>
      <w:tr w:rsidR="00C32252" w:rsidRPr="00C32252" w:rsidTr="0014339D">
        <w:trPr>
          <w:cantSplit/>
        </w:trPr>
        <w:tc>
          <w:tcPr>
            <w:tcW w:w="8943" w:type="dxa"/>
            <w:gridSpan w:val="6"/>
            <w:tcBorders>
              <w:top w:val="nil"/>
              <w:left w:val="nil"/>
              <w:bottom w:val="single" w:sz="4" w:space="0" w:color="auto"/>
              <w:right w:val="nil"/>
            </w:tcBorders>
            <w:shd w:val="clear" w:color="auto" w:fill="FFFFFF"/>
            <w:vAlign w:val="center"/>
          </w:tcPr>
          <w:p w:rsidR="005B658D" w:rsidRPr="00C32252" w:rsidRDefault="00E506BB" w:rsidP="00924A5F">
            <w:pPr>
              <w:autoSpaceDE w:val="0"/>
              <w:autoSpaceDN w:val="0"/>
              <w:adjustRightInd w:val="0"/>
              <w:ind w:right="60"/>
              <w:rPr>
                <w:sz w:val="28"/>
                <w:szCs w:val="28"/>
              </w:rPr>
            </w:pPr>
            <w:r w:rsidRPr="00C32252">
              <w:rPr>
                <w:b/>
                <w:bCs/>
                <w:sz w:val="28"/>
                <w:szCs w:val="28"/>
              </w:rPr>
              <w:t>Table 1.3</w:t>
            </w:r>
            <w:r w:rsidR="00CF4804" w:rsidRPr="00C32252">
              <w:rPr>
                <w:b/>
                <w:bCs/>
                <w:sz w:val="28"/>
                <w:szCs w:val="28"/>
              </w:rPr>
              <w:t>:</w:t>
            </w:r>
            <w:r w:rsidRPr="00C32252">
              <w:rPr>
                <w:b/>
                <w:bCs/>
                <w:sz w:val="28"/>
                <w:szCs w:val="28"/>
              </w:rPr>
              <w:t xml:space="preserve"> </w:t>
            </w:r>
            <w:r w:rsidR="005B658D" w:rsidRPr="00C32252">
              <w:rPr>
                <w:b/>
                <w:bCs/>
                <w:sz w:val="28"/>
                <w:szCs w:val="28"/>
              </w:rPr>
              <w:t>Highest Level of Education</w:t>
            </w:r>
          </w:p>
        </w:tc>
      </w:tr>
      <w:tr w:rsidR="00C32252" w:rsidRPr="00C32252" w:rsidTr="0014339D">
        <w:trPr>
          <w:cantSplit/>
        </w:trPr>
        <w:tc>
          <w:tcPr>
            <w:tcW w:w="306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pPr>
          </w:p>
        </w:tc>
        <w:tc>
          <w:tcPr>
            <w:tcW w:w="1166"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pPr>
            <w:r w:rsidRPr="00C32252">
              <w:t>Cumulative Percent</w:t>
            </w:r>
          </w:p>
        </w:tc>
      </w:tr>
      <w:tr w:rsidR="00C32252" w:rsidRPr="00C32252" w:rsidTr="0014339D">
        <w:trPr>
          <w:cantSplit/>
        </w:trPr>
        <w:tc>
          <w:tcPr>
            <w:tcW w:w="949" w:type="dxa"/>
            <w:vMerge w:val="restart"/>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152935"/>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Some high school</w:t>
            </w:r>
          </w:p>
        </w:tc>
        <w:tc>
          <w:tcPr>
            <w:tcW w:w="1166" w:type="dxa"/>
            <w:tcBorders>
              <w:top w:val="single" w:sz="8" w:space="0" w:color="152935"/>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90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21.6</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21.9</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21.9</w:t>
            </w:r>
          </w:p>
        </w:tc>
      </w:tr>
      <w:tr w:rsidR="00C32252" w:rsidRPr="00C32252" w:rsidTr="0014339D">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High school diploma</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92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22.1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22.4</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44.3</w:t>
            </w:r>
          </w:p>
        </w:tc>
      </w:tr>
      <w:tr w:rsidR="00C32252" w:rsidRPr="00C32252" w:rsidTr="0014339D">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Some college or university</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82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19.7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20.0</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64.2</w:t>
            </w:r>
          </w:p>
        </w:tc>
      </w:tr>
      <w:tr w:rsidR="00C32252" w:rsidRPr="00C32252" w:rsidTr="0014339D">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766149" w:rsidRPr="00C32252" w:rsidRDefault="005B658D" w:rsidP="00924A5F">
            <w:pPr>
              <w:autoSpaceDE w:val="0"/>
              <w:autoSpaceDN w:val="0"/>
              <w:adjustRightInd w:val="0"/>
              <w:ind w:left="60" w:right="60"/>
              <w:rPr>
                <w:b/>
              </w:rPr>
            </w:pPr>
            <w:r w:rsidRPr="00C32252">
              <w:rPr>
                <w:b/>
              </w:rPr>
              <w:t>College diploma/</w:t>
            </w:r>
          </w:p>
          <w:p w:rsidR="005B658D" w:rsidRPr="00C32252" w:rsidRDefault="005B658D" w:rsidP="00924A5F">
            <w:pPr>
              <w:autoSpaceDE w:val="0"/>
              <w:autoSpaceDN w:val="0"/>
              <w:adjustRightInd w:val="0"/>
              <w:ind w:left="60" w:right="60"/>
              <w:rPr>
                <w:b/>
              </w:rPr>
            </w:pPr>
            <w:r w:rsidRPr="00C32252">
              <w:rPr>
                <w:b/>
              </w:rPr>
              <w:t>university degree</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33.1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33.6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97.8</w:t>
            </w:r>
          </w:p>
        </w:tc>
      </w:tr>
      <w:tr w:rsidR="00C32252" w:rsidRPr="00C32252" w:rsidTr="0014339D">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Other</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2.2</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100.0</w:t>
            </w:r>
          </w:p>
        </w:tc>
      </w:tr>
      <w:tr w:rsidR="00C32252" w:rsidRPr="00C32252" w:rsidTr="0014339D">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tabs>
                <w:tab w:val="left" w:pos="1021"/>
              </w:tabs>
              <w:autoSpaceDE w:val="0"/>
              <w:autoSpaceDN w:val="0"/>
              <w:adjustRightInd w:val="0"/>
              <w:ind w:left="60" w:right="60"/>
            </w:pPr>
            <w:r w:rsidRPr="00C32252">
              <w:t>Total</w:t>
            </w:r>
            <w:r w:rsidR="00766149" w:rsidRPr="00C32252">
              <w:tab/>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98.6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C32252" w:rsidRPr="00C32252" w:rsidTr="0014339D">
        <w:trPr>
          <w:cantSplit/>
        </w:trPr>
        <w:tc>
          <w:tcPr>
            <w:tcW w:w="949" w:type="dxa"/>
            <w:vMerge w:val="restart"/>
            <w:tcBorders>
              <w:top w:val="single" w:sz="8" w:space="0" w:color="AEAEAE"/>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ind w:left="60" w:right="60"/>
            </w:pPr>
            <w:r w:rsidRPr="00C32252">
              <w:t>Missing</w:t>
            </w: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Prefer not to answer</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C32252" w:rsidRPr="00C32252" w:rsidTr="0014339D">
        <w:trPr>
          <w:cantSplit/>
        </w:trPr>
        <w:tc>
          <w:tcPr>
            <w:tcW w:w="949" w:type="dxa"/>
            <w:vMerge/>
            <w:tcBorders>
              <w:top w:val="single" w:sz="8" w:space="0" w:color="AEAEAE"/>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Missing</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C32252" w:rsidRPr="00C32252" w:rsidTr="0014339D">
        <w:trPr>
          <w:cantSplit/>
        </w:trPr>
        <w:tc>
          <w:tcPr>
            <w:tcW w:w="949" w:type="dxa"/>
            <w:vMerge/>
            <w:tcBorders>
              <w:top w:val="single" w:sz="8" w:space="0" w:color="AEAEAE"/>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2111"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Total</w:t>
            </w:r>
          </w:p>
        </w:tc>
        <w:tc>
          <w:tcPr>
            <w:tcW w:w="1166"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C32252" w:rsidRPr="00C32252" w:rsidTr="0014339D">
        <w:trPr>
          <w:cantSplit/>
        </w:trPr>
        <w:tc>
          <w:tcPr>
            <w:tcW w:w="3060"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Total</w:t>
            </w:r>
          </w:p>
        </w:tc>
        <w:tc>
          <w:tcPr>
            <w:tcW w:w="1166" w:type="dxa"/>
            <w:tcBorders>
              <w:top w:val="single" w:sz="8" w:space="0" w:color="AEAEAE"/>
              <w:left w:val="single" w:sz="4" w:space="0" w:color="auto"/>
              <w:bottom w:val="single" w:sz="4" w:space="0" w:color="auto"/>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C32252" w:rsidRDefault="005B658D" w:rsidP="00924A5F">
            <w:pPr>
              <w:autoSpaceDE w:val="0"/>
              <w:autoSpaceDN w:val="0"/>
              <w:adjustRightInd w:val="0"/>
            </w:pPr>
          </w:p>
        </w:tc>
      </w:tr>
    </w:tbl>
    <w:p w:rsidR="0014339D" w:rsidRDefault="0014339D" w:rsidP="00685AEB">
      <w:pPr>
        <w:spacing w:line="360" w:lineRule="auto"/>
      </w:pPr>
    </w:p>
    <w:p w:rsidR="0014339D" w:rsidRDefault="0014339D" w:rsidP="00685AEB">
      <w:pPr>
        <w:widowControl w:val="0"/>
        <w:autoSpaceDE w:val="0"/>
        <w:autoSpaceDN w:val="0"/>
        <w:adjustRightInd w:val="0"/>
        <w:spacing w:line="360" w:lineRule="auto"/>
      </w:pPr>
      <w:r w:rsidRPr="003A5CD2">
        <w:t xml:space="preserve">As with education, the general sources of respondents’ </w:t>
      </w:r>
      <w:r w:rsidRPr="003A5CD2">
        <w:lastRenderedPageBreak/>
        <w:t>income varied with 18.5% holding part-time, seasonal or temporary employment, 19.5% being unemployed; 32.9% working full-time and a further 16.5% were receiving Government assistance.</w:t>
      </w:r>
      <w:r>
        <w:t xml:space="preserve"> </w:t>
      </w:r>
      <w:r w:rsidRPr="003A5CD2">
        <w:t>12.5% indicated other sources of income that in</w:t>
      </w:r>
      <w:r w:rsidRPr="003A5CD2">
        <w:lastRenderedPageBreak/>
        <w:t xml:space="preserve">cluded student loans, retirement income, and self-employment. </w:t>
      </w:r>
      <w:r w:rsidR="005D0018">
        <w:t>To put this in some context</w:t>
      </w:r>
      <w:r w:rsidRPr="0014339D">
        <w:t>, data from Statistics Canada (2017) identified that the median income of Calgarians in 2015 was $104,410.</w:t>
      </w:r>
    </w:p>
    <w:p w:rsidR="0014339D" w:rsidRDefault="0014339D"/>
    <w:p w:rsidR="00685AEB" w:rsidRDefault="00685AEB">
      <w:r>
        <w:br w:type="page"/>
      </w:r>
    </w:p>
    <w:tbl>
      <w:tblPr>
        <w:tblW w:w="9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448"/>
        <w:gridCol w:w="1162"/>
        <w:gridCol w:w="1024"/>
        <w:gridCol w:w="1553"/>
        <w:gridCol w:w="2140"/>
      </w:tblGrid>
      <w:tr w:rsidR="00C32252" w:rsidRPr="00C32252" w:rsidTr="00C32252">
        <w:trPr>
          <w:cantSplit/>
        </w:trPr>
        <w:tc>
          <w:tcPr>
            <w:tcW w:w="9276" w:type="dxa"/>
            <w:gridSpan w:val="6"/>
            <w:tcBorders>
              <w:top w:val="nil"/>
              <w:left w:val="nil"/>
              <w:bottom w:val="single" w:sz="4" w:space="0" w:color="auto"/>
              <w:right w:val="nil"/>
            </w:tcBorders>
            <w:shd w:val="clear" w:color="auto" w:fill="FFFFFF"/>
            <w:vAlign w:val="center"/>
          </w:tcPr>
          <w:p w:rsidR="005B658D" w:rsidRPr="00C32252" w:rsidRDefault="00382A28" w:rsidP="00924A5F">
            <w:pPr>
              <w:autoSpaceDE w:val="0"/>
              <w:autoSpaceDN w:val="0"/>
              <w:adjustRightInd w:val="0"/>
              <w:ind w:left="60" w:right="60"/>
              <w:rPr>
                <w:sz w:val="28"/>
                <w:szCs w:val="28"/>
              </w:rPr>
            </w:pPr>
            <w:r w:rsidRPr="00C32252">
              <w:rPr>
                <w:b/>
                <w:bCs/>
                <w:sz w:val="28"/>
                <w:szCs w:val="28"/>
              </w:rPr>
              <w:lastRenderedPageBreak/>
              <w:t xml:space="preserve">Table 1.4 </w:t>
            </w:r>
            <w:r w:rsidR="005B658D" w:rsidRPr="00C32252">
              <w:rPr>
                <w:b/>
                <w:bCs/>
                <w:sz w:val="28"/>
                <w:szCs w:val="28"/>
              </w:rPr>
              <w:t>Source of Income</w:t>
            </w:r>
          </w:p>
        </w:tc>
      </w:tr>
      <w:tr w:rsidR="00C32252" w:rsidRPr="00C32252" w:rsidTr="00C32252">
        <w:trPr>
          <w:cantSplit/>
        </w:trPr>
        <w:tc>
          <w:tcPr>
            <w:tcW w:w="3397"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92141D" w:rsidRDefault="005B658D" w:rsidP="00924A5F">
            <w:pPr>
              <w:autoSpaceDE w:val="0"/>
              <w:autoSpaceDN w:val="0"/>
              <w:adjustRightInd w:val="0"/>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92141D" w:rsidRDefault="005B658D" w:rsidP="00924A5F">
            <w:pPr>
              <w:autoSpaceDE w:val="0"/>
              <w:autoSpaceDN w:val="0"/>
              <w:adjustRightInd w:val="0"/>
              <w:ind w:left="60" w:right="60"/>
              <w:jc w:val="center"/>
            </w:pPr>
            <w:r w:rsidRPr="0092141D">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92141D" w:rsidRDefault="005B658D" w:rsidP="00924A5F">
            <w:pPr>
              <w:autoSpaceDE w:val="0"/>
              <w:autoSpaceDN w:val="0"/>
              <w:adjustRightInd w:val="0"/>
              <w:ind w:left="60" w:right="60"/>
              <w:jc w:val="center"/>
            </w:pPr>
            <w:r w:rsidRPr="0092141D">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92141D" w:rsidRDefault="005B658D" w:rsidP="00924A5F">
            <w:pPr>
              <w:autoSpaceDE w:val="0"/>
              <w:autoSpaceDN w:val="0"/>
              <w:adjustRightInd w:val="0"/>
              <w:ind w:left="60" w:right="60"/>
              <w:jc w:val="center"/>
            </w:pPr>
            <w:r w:rsidRPr="0092141D">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92141D" w:rsidRDefault="005B658D" w:rsidP="00924A5F">
            <w:pPr>
              <w:autoSpaceDE w:val="0"/>
              <w:autoSpaceDN w:val="0"/>
              <w:adjustRightInd w:val="0"/>
              <w:ind w:left="60" w:right="60"/>
              <w:jc w:val="center"/>
            </w:pPr>
            <w:r w:rsidRPr="0092141D">
              <w:t>Cumulative Percent</w:t>
            </w:r>
          </w:p>
        </w:tc>
      </w:tr>
      <w:tr w:rsidR="00C32252" w:rsidRPr="00C32252" w:rsidTr="00C32252">
        <w:trPr>
          <w:cantSplit/>
        </w:trPr>
        <w:tc>
          <w:tcPr>
            <w:tcW w:w="949" w:type="dxa"/>
            <w:vMerge w:val="restart"/>
            <w:tcBorders>
              <w:top w:val="single" w:sz="8" w:space="0" w:color="152935"/>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pPr>
          </w:p>
        </w:tc>
        <w:tc>
          <w:tcPr>
            <w:tcW w:w="2448" w:type="dxa"/>
            <w:tcBorders>
              <w:top w:val="single" w:sz="8" w:space="0" w:color="152935"/>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rPr>
                <w:b/>
              </w:rPr>
            </w:pPr>
            <w:r w:rsidRPr="0092141D">
              <w:rPr>
                <w:b/>
              </w:rPr>
              <w:t>Part time, seasonal, or temporary</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74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17.7</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18.5</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92141D" w:rsidRDefault="005B658D" w:rsidP="00924A5F">
            <w:pPr>
              <w:autoSpaceDE w:val="0"/>
              <w:autoSpaceDN w:val="0"/>
              <w:adjustRightInd w:val="0"/>
              <w:ind w:left="60" w:right="60"/>
              <w:jc w:val="right"/>
            </w:pPr>
            <w:r w:rsidRPr="0092141D">
              <w:t>18.5</w:t>
            </w:r>
          </w:p>
        </w:tc>
      </w:tr>
      <w:tr w:rsidR="00C32252" w:rsidRPr="00C32252" w:rsidTr="00C32252">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pPr>
          </w:p>
        </w:tc>
        <w:tc>
          <w:tcPr>
            <w:tcW w:w="2448" w:type="dxa"/>
            <w:tcBorders>
              <w:top w:val="single" w:sz="8" w:space="0" w:color="AEAEAE"/>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rPr>
                <w:b/>
              </w:rPr>
            </w:pPr>
            <w:r w:rsidRPr="0092141D">
              <w:rPr>
                <w:b/>
              </w:rPr>
              <w:t>Full time</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132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31.7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32.9</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92141D" w:rsidRDefault="005B658D" w:rsidP="00924A5F">
            <w:pPr>
              <w:autoSpaceDE w:val="0"/>
              <w:autoSpaceDN w:val="0"/>
              <w:adjustRightInd w:val="0"/>
              <w:ind w:left="60" w:right="60"/>
              <w:jc w:val="right"/>
            </w:pPr>
            <w:r w:rsidRPr="0092141D">
              <w:t>51.4</w:t>
            </w:r>
          </w:p>
        </w:tc>
      </w:tr>
      <w:tr w:rsidR="00C32252" w:rsidRPr="00C32252" w:rsidTr="00C32252">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pPr>
          </w:p>
        </w:tc>
        <w:tc>
          <w:tcPr>
            <w:tcW w:w="2448" w:type="dxa"/>
            <w:tcBorders>
              <w:top w:val="single" w:sz="8" w:space="0" w:color="AEAEAE"/>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rPr>
                <w:b/>
              </w:rPr>
            </w:pPr>
            <w:r w:rsidRPr="0092141D">
              <w:rPr>
                <w:b/>
              </w:rPr>
              <w:t>Not working</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78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18.7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19.5</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92141D" w:rsidRDefault="005B658D" w:rsidP="00924A5F">
            <w:pPr>
              <w:autoSpaceDE w:val="0"/>
              <w:autoSpaceDN w:val="0"/>
              <w:adjustRightInd w:val="0"/>
              <w:ind w:left="60" w:right="60"/>
              <w:jc w:val="right"/>
            </w:pPr>
            <w:r w:rsidRPr="0092141D">
              <w:t>70.8</w:t>
            </w:r>
          </w:p>
        </w:tc>
      </w:tr>
      <w:tr w:rsidR="00C32252" w:rsidRPr="00C32252" w:rsidTr="00C32252">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pPr>
          </w:p>
        </w:tc>
        <w:tc>
          <w:tcPr>
            <w:tcW w:w="2448" w:type="dxa"/>
            <w:tcBorders>
              <w:top w:val="single" w:sz="8" w:space="0" w:color="AEAEAE"/>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rPr>
                <w:b/>
              </w:rPr>
            </w:pPr>
            <w:r w:rsidRPr="0092141D">
              <w:rPr>
                <w:b/>
              </w:rPr>
              <w:t>Government assistance</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66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15.8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16.5</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92141D" w:rsidRDefault="005B658D" w:rsidP="00924A5F">
            <w:pPr>
              <w:autoSpaceDE w:val="0"/>
              <w:autoSpaceDN w:val="0"/>
              <w:adjustRightInd w:val="0"/>
              <w:ind w:left="60" w:right="60"/>
              <w:jc w:val="right"/>
            </w:pPr>
            <w:r w:rsidRPr="0092141D">
              <w:t>87.3</w:t>
            </w:r>
          </w:p>
        </w:tc>
      </w:tr>
      <w:tr w:rsidR="00C32252" w:rsidRPr="00C32252" w:rsidTr="00C32252">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pPr>
          </w:p>
        </w:tc>
        <w:tc>
          <w:tcPr>
            <w:tcW w:w="2448" w:type="dxa"/>
            <w:tcBorders>
              <w:top w:val="single" w:sz="8" w:space="0" w:color="AEAEAE"/>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rPr>
                <w:b/>
              </w:rPr>
            </w:pPr>
            <w:r w:rsidRPr="0092141D">
              <w:rPr>
                <w:b/>
              </w:rPr>
              <w:t>Other</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51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12.2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12.7</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92141D" w:rsidRDefault="005B658D" w:rsidP="00924A5F">
            <w:pPr>
              <w:autoSpaceDE w:val="0"/>
              <w:autoSpaceDN w:val="0"/>
              <w:adjustRightInd w:val="0"/>
              <w:ind w:left="60" w:right="60"/>
              <w:jc w:val="right"/>
            </w:pPr>
            <w:r w:rsidRPr="0092141D">
              <w:t>100.0</w:t>
            </w:r>
          </w:p>
        </w:tc>
      </w:tr>
      <w:tr w:rsidR="00C32252" w:rsidRPr="00C32252" w:rsidTr="00C32252">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pPr>
          </w:p>
        </w:tc>
        <w:tc>
          <w:tcPr>
            <w:tcW w:w="2448" w:type="dxa"/>
            <w:tcBorders>
              <w:top w:val="single" w:sz="8" w:space="0" w:color="AEAEAE"/>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pPr>
            <w:r w:rsidRPr="0092141D">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401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96.2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92141D" w:rsidRDefault="005B658D" w:rsidP="00924A5F">
            <w:pPr>
              <w:autoSpaceDE w:val="0"/>
              <w:autoSpaceDN w:val="0"/>
              <w:adjustRightInd w:val="0"/>
            </w:pPr>
          </w:p>
        </w:tc>
      </w:tr>
      <w:tr w:rsidR="00C32252" w:rsidRPr="00C32252" w:rsidTr="00C32252">
        <w:trPr>
          <w:cantSplit/>
        </w:trPr>
        <w:tc>
          <w:tcPr>
            <w:tcW w:w="949" w:type="dxa"/>
            <w:tcBorders>
              <w:top w:val="single" w:sz="8" w:space="0" w:color="AEAEAE"/>
              <w:left w:val="single" w:sz="4" w:space="0" w:color="auto"/>
              <w:bottom w:val="single" w:sz="8" w:space="0" w:color="AEAEAE"/>
              <w:right w:val="nil"/>
            </w:tcBorders>
            <w:shd w:val="clear" w:color="auto" w:fill="E0E0E0"/>
          </w:tcPr>
          <w:p w:rsidR="005B658D" w:rsidRPr="0092141D" w:rsidRDefault="005B658D" w:rsidP="00924A5F">
            <w:pPr>
              <w:autoSpaceDE w:val="0"/>
              <w:autoSpaceDN w:val="0"/>
              <w:adjustRightInd w:val="0"/>
              <w:ind w:left="60" w:right="60"/>
            </w:pPr>
            <w:r w:rsidRPr="0092141D">
              <w:t>Missing</w:t>
            </w:r>
          </w:p>
        </w:tc>
        <w:tc>
          <w:tcPr>
            <w:tcW w:w="2448" w:type="dxa"/>
            <w:tcBorders>
              <w:top w:val="single" w:sz="8" w:space="0" w:color="AEAEAE"/>
              <w:left w:val="nil"/>
              <w:bottom w:val="single" w:sz="8" w:space="0" w:color="AEAEAE"/>
              <w:right w:val="single" w:sz="4" w:space="0" w:color="auto"/>
            </w:tcBorders>
            <w:shd w:val="clear" w:color="auto" w:fill="E0E0E0"/>
          </w:tcPr>
          <w:p w:rsidR="005B658D" w:rsidRPr="0092141D" w:rsidRDefault="005B658D" w:rsidP="00924A5F">
            <w:pPr>
              <w:autoSpaceDE w:val="0"/>
              <w:autoSpaceDN w:val="0"/>
              <w:adjustRightInd w:val="0"/>
              <w:ind w:left="60" w:right="60"/>
            </w:pPr>
            <w:r w:rsidRPr="0092141D">
              <w:t>System</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3.8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92141D"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92141D" w:rsidRDefault="005B658D" w:rsidP="00924A5F">
            <w:pPr>
              <w:autoSpaceDE w:val="0"/>
              <w:autoSpaceDN w:val="0"/>
              <w:adjustRightInd w:val="0"/>
            </w:pPr>
          </w:p>
        </w:tc>
      </w:tr>
      <w:tr w:rsidR="00C32252" w:rsidRPr="00C32252" w:rsidTr="00C32252">
        <w:trPr>
          <w:cantSplit/>
        </w:trPr>
        <w:tc>
          <w:tcPr>
            <w:tcW w:w="3397"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92141D" w:rsidRDefault="005B658D" w:rsidP="00924A5F">
            <w:pPr>
              <w:autoSpaceDE w:val="0"/>
              <w:autoSpaceDN w:val="0"/>
              <w:adjustRightInd w:val="0"/>
              <w:ind w:left="60" w:right="60"/>
            </w:pPr>
            <w:r w:rsidRPr="0092141D">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92141D" w:rsidRDefault="005B658D" w:rsidP="00924A5F">
            <w:pPr>
              <w:autoSpaceDE w:val="0"/>
              <w:autoSpaceDN w:val="0"/>
              <w:adjustRightInd w:val="0"/>
              <w:ind w:left="60" w:right="60"/>
              <w:jc w:val="right"/>
            </w:pPr>
            <w:r w:rsidRPr="0092141D">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92141D"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92141D" w:rsidRDefault="005B658D" w:rsidP="00924A5F">
            <w:pPr>
              <w:autoSpaceDE w:val="0"/>
              <w:autoSpaceDN w:val="0"/>
              <w:adjustRightInd w:val="0"/>
            </w:pPr>
          </w:p>
        </w:tc>
      </w:tr>
    </w:tbl>
    <w:p w:rsidR="0014339D" w:rsidRDefault="0014339D" w:rsidP="0014339D">
      <w:pPr>
        <w:widowControl w:val="0"/>
        <w:autoSpaceDE w:val="0"/>
        <w:autoSpaceDN w:val="0"/>
        <w:adjustRightInd w:val="0"/>
        <w:spacing w:line="360" w:lineRule="auto"/>
      </w:pPr>
    </w:p>
    <w:p w:rsidR="00C32252" w:rsidRDefault="00CF5E7F" w:rsidP="0014339D">
      <w:pPr>
        <w:widowControl w:val="0"/>
        <w:autoSpaceDE w:val="0"/>
        <w:autoSpaceDN w:val="0"/>
        <w:adjustRightInd w:val="0"/>
        <w:spacing w:line="360" w:lineRule="auto"/>
      </w:pPr>
      <w:r w:rsidRPr="00C32252">
        <w:t xml:space="preserve">The majority of respondents (54.6%) had household incomes of less than $30,000, while 15.3% reported household incomes of greater than $30,000 but less than </w:t>
      </w:r>
      <w:r w:rsidRPr="00C32252">
        <w:lastRenderedPageBreak/>
        <w:t>$50,000, and</w:t>
      </w:r>
      <w:r w:rsidR="00777AE3">
        <w:t xml:space="preserve"> 19.2% reported over $50,000.</w:t>
      </w:r>
      <w:r w:rsidR="00AA5B12">
        <w:t xml:space="preserve"> </w:t>
      </w:r>
      <w:r w:rsidR="005C75F6">
        <w:t>Table 1.5 (page 11) provides a complete breakdown of household incomes of the respondents.</w:t>
      </w:r>
    </w:p>
    <w:p w:rsidR="0014339D" w:rsidRDefault="0014339D" w:rsidP="0014339D">
      <w:pPr>
        <w:widowControl w:val="0"/>
        <w:autoSpaceDE w:val="0"/>
        <w:autoSpaceDN w:val="0"/>
        <w:adjustRightInd w:val="0"/>
        <w:spacing w:line="360" w:lineRule="auto"/>
      </w:pPr>
    </w:p>
    <w:tbl>
      <w:tblP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00"/>
        <w:gridCol w:w="1162"/>
        <w:gridCol w:w="1024"/>
        <w:gridCol w:w="1553"/>
        <w:gridCol w:w="2140"/>
      </w:tblGrid>
      <w:tr w:rsidR="00C32252" w:rsidRPr="00C32252" w:rsidTr="00685AEB">
        <w:trPr>
          <w:cantSplit/>
        </w:trPr>
        <w:tc>
          <w:tcPr>
            <w:tcW w:w="8827" w:type="dxa"/>
            <w:gridSpan w:val="6"/>
            <w:tcBorders>
              <w:top w:val="nil"/>
              <w:left w:val="nil"/>
              <w:bottom w:val="single" w:sz="4" w:space="0" w:color="auto"/>
              <w:right w:val="nil"/>
            </w:tcBorders>
            <w:shd w:val="clear" w:color="auto" w:fill="FFFFFF"/>
            <w:vAlign w:val="center"/>
          </w:tcPr>
          <w:p w:rsidR="005B658D" w:rsidRPr="00C32252" w:rsidRDefault="00A74DB5" w:rsidP="00924A5F">
            <w:pPr>
              <w:autoSpaceDE w:val="0"/>
              <w:autoSpaceDN w:val="0"/>
              <w:adjustRightInd w:val="0"/>
              <w:ind w:left="60" w:right="60"/>
              <w:rPr>
                <w:sz w:val="28"/>
                <w:szCs w:val="28"/>
              </w:rPr>
            </w:pPr>
            <w:r w:rsidRPr="00C32252">
              <w:rPr>
                <w:b/>
                <w:bCs/>
                <w:sz w:val="28"/>
                <w:szCs w:val="28"/>
              </w:rPr>
              <w:t xml:space="preserve">Table 1.5 </w:t>
            </w:r>
            <w:r w:rsidR="005B658D" w:rsidRPr="00C32252">
              <w:rPr>
                <w:b/>
                <w:bCs/>
                <w:sz w:val="28"/>
                <w:szCs w:val="28"/>
              </w:rPr>
              <w:t>Household Income</w:t>
            </w:r>
          </w:p>
        </w:tc>
      </w:tr>
      <w:tr w:rsidR="00C32252" w:rsidRPr="00C32252" w:rsidTr="00685AEB">
        <w:trPr>
          <w:cantSplit/>
        </w:trPr>
        <w:tc>
          <w:tcPr>
            <w:tcW w:w="2948"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B73B90" w:rsidRDefault="005B658D" w:rsidP="00924A5F">
            <w:pPr>
              <w:autoSpaceDE w:val="0"/>
              <w:autoSpaceDN w:val="0"/>
              <w:adjustRightInd w:val="0"/>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B73B90" w:rsidRDefault="005B658D" w:rsidP="00924A5F">
            <w:pPr>
              <w:autoSpaceDE w:val="0"/>
              <w:autoSpaceDN w:val="0"/>
              <w:adjustRightInd w:val="0"/>
              <w:ind w:left="60" w:right="60"/>
              <w:jc w:val="center"/>
            </w:pPr>
            <w:r w:rsidRPr="00B73B90">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B73B90" w:rsidRDefault="005B658D" w:rsidP="00924A5F">
            <w:pPr>
              <w:autoSpaceDE w:val="0"/>
              <w:autoSpaceDN w:val="0"/>
              <w:adjustRightInd w:val="0"/>
              <w:ind w:left="60" w:right="60"/>
              <w:jc w:val="center"/>
            </w:pPr>
            <w:r w:rsidRPr="00B73B90">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B73B90" w:rsidRDefault="005B658D" w:rsidP="00924A5F">
            <w:pPr>
              <w:autoSpaceDE w:val="0"/>
              <w:autoSpaceDN w:val="0"/>
              <w:adjustRightInd w:val="0"/>
              <w:ind w:left="60" w:right="60"/>
              <w:jc w:val="center"/>
            </w:pPr>
            <w:r w:rsidRPr="00B73B90">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B73B90" w:rsidRDefault="005B658D" w:rsidP="00924A5F">
            <w:pPr>
              <w:autoSpaceDE w:val="0"/>
              <w:autoSpaceDN w:val="0"/>
              <w:adjustRightInd w:val="0"/>
              <w:ind w:left="60" w:right="60"/>
              <w:jc w:val="center"/>
            </w:pPr>
            <w:r w:rsidRPr="00B73B90">
              <w:t>Cumulative Percent</w:t>
            </w:r>
          </w:p>
        </w:tc>
      </w:tr>
      <w:tr w:rsidR="00C32252" w:rsidRPr="00C32252" w:rsidTr="00685AEB">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ind w:left="60" w:right="60"/>
            </w:pPr>
          </w:p>
        </w:tc>
        <w:tc>
          <w:tcPr>
            <w:tcW w:w="2000" w:type="dxa"/>
            <w:tcBorders>
              <w:top w:val="single" w:sz="8" w:space="0" w:color="152935"/>
              <w:left w:val="nil"/>
              <w:bottom w:val="single" w:sz="8" w:space="0" w:color="AEAEAE"/>
              <w:right w:val="single" w:sz="4" w:space="0" w:color="auto"/>
            </w:tcBorders>
            <w:shd w:val="clear" w:color="auto" w:fill="E0E0E0"/>
          </w:tcPr>
          <w:p w:rsidR="005B658D" w:rsidRPr="00B73B90" w:rsidRDefault="00766149" w:rsidP="00924A5F">
            <w:pPr>
              <w:autoSpaceDE w:val="0"/>
              <w:autoSpaceDN w:val="0"/>
              <w:adjustRightInd w:val="0"/>
              <w:ind w:left="60" w:right="60"/>
              <w:rPr>
                <w:b/>
              </w:rPr>
            </w:pPr>
            <w:r w:rsidRPr="00B73B90">
              <w:rPr>
                <w:b/>
              </w:rPr>
              <w:t xml:space="preserve">≤ </w:t>
            </w:r>
            <w:r w:rsidR="005B658D" w:rsidRPr="00B73B90">
              <w:rPr>
                <w:b/>
              </w:rPr>
              <w:t>$15,000 or less</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109</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26.1</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32.7</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B73B90" w:rsidRDefault="005B658D" w:rsidP="00924A5F">
            <w:pPr>
              <w:autoSpaceDE w:val="0"/>
              <w:autoSpaceDN w:val="0"/>
              <w:adjustRightInd w:val="0"/>
              <w:ind w:left="60" w:right="60"/>
              <w:jc w:val="right"/>
            </w:pPr>
            <w:r w:rsidRPr="00B73B90">
              <w:t>32.7</w:t>
            </w:r>
          </w:p>
        </w:tc>
      </w:tr>
      <w:tr w:rsidR="00C32252" w:rsidRPr="00C32252" w:rsidTr="00685AEB">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pPr>
          </w:p>
        </w:tc>
        <w:tc>
          <w:tcPr>
            <w:tcW w:w="2000" w:type="dxa"/>
            <w:tcBorders>
              <w:top w:val="single" w:sz="8" w:space="0" w:color="AEAEAE"/>
              <w:left w:val="nil"/>
              <w:bottom w:val="single" w:sz="8" w:space="0" w:color="AEAEAE"/>
              <w:right w:val="single" w:sz="4" w:space="0" w:color="auto"/>
            </w:tcBorders>
            <w:shd w:val="clear" w:color="auto" w:fill="E0E0E0"/>
          </w:tcPr>
          <w:p w:rsidR="005B658D" w:rsidRPr="00B73B90" w:rsidRDefault="005B658D" w:rsidP="00924A5F">
            <w:pPr>
              <w:autoSpaceDE w:val="0"/>
              <w:autoSpaceDN w:val="0"/>
              <w:adjustRightInd w:val="0"/>
              <w:ind w:left="60" w:right="60"/>
              <w:rPr>
                <w:b/>
              </w:rPr>
            </w:pPr>
            <w:r w:rsidRPr="00B73B90">
              <w:rPr>
                <w:b/>
              </w:rPr>
              <w:t>$15,001 - $30,000</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73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17.5</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21.9</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B73B90" w:rsidRDefault="005B658D" w:rsidP="00924A5F">
            <w:pPr>
              <w:autoSpaceDE w:val="0"/>
              <w:autoSpaceDN w:val="0"/>
              <w:adjustRightInd w:val="0"/>
              <w:ind w:left="60" w:right="60"/>
              <w:jc w:val="right"/>
            </w:pPr>
            <w:r w:rsidRPr="00B73B90">
              <w:t>54.7</w:t>
            </w:r>
          </w:p>
        </w:tc>
      </w:tr>
      <w:tr w:rsidR="00C32252" w:rsidRPr="00C32252" w:rsidTr="00685AEB">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pPr>
          </w:p>
        </w:tc>
        <w:tc>
          <w:tcPr>
            <w:tcW w:w="2000" w:type="dxa"/>
            <w:tcBorders>
              <w:top w:val="single" w:sz="8" w:space="0" w:color="AEAEAE"/>
              <w:left w:val="nil"/>
              <w:bottom w:val="single" w:sz="8" w:space="0" w:color="AEAEAE"/>
              <w:right w:val="single" w:sz="4" w:space="0" w:color="auto"/>
            </w:tcBorders>
            <w:shd w:val="clear" w:color="auto" w:fill="E0E0E0"/>
          </w:tcPr>
          <w:p w:rsidR="005B658D" w:rsidRPr="00B73B90" w:rsidRDefault="005B658D" w:rsidP="00924A5F">
            <w:pPr>
              <w:autoSpaceDE w:val="0"/>
              <w:autoSpaceDN w:val="0"/>
              <w:adjustRightInd w:val="0"/>
              <w:ind w:left="60" w:right="60"/>
              <w:rPr>
                <w:b/>
              </w:rPr>
            </w:pPr>
            <w:r w:rsidRPr="00B73B90">
              <w:rPr>
                <w:b/>
              </w:rPr>
              <w:t>$30,001 - $50,000</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51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12.2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15.3</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B73B90" w:rsidRDefault="005B658D" w:rsidP="00924A5F">
            <w:pPr>
              <w:autoSpaceDE w:val="0"/>
              <w:autoSpaceDN w:val="0"/>
              <w:adjustRightInd w:val="0"/>
              <w:ind w:left="60" w:right="60"/>
              <w:jc w:val="right"/>
            </w:pPr>
            <w:r w:rsidRPr="00B73B90">
              <w:t>70.0</w:t>
            </w:r>
          </w:p>
        </w:tc>
      </w:tr>
      <w:tr w:rsidR="00C32252" w:rsidRPr="00C32252" w:rsidTr="00685AEB">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pPr>
          </w:p>
        </w:tc>
        <w:tc>
          <w:tcPr>
            <w:tcW w:w="2000" w:type="dxa"/>
            <w:tcBorders>
              <w:top w:val="single" w:sz="8" w:space="0" w:color="AEAEAE"/>
              <w:left w:val="nil"/>
              <w:bottom w:val="single" w:sz="8" w:space="0" w:color="AEAEAE"/>
              <w:right w:val="single" w:sz="4" w:space="0" w:color="auto"/>
            </w:tcBorders>
            <w:shd w:val="clear" w:color="auto" w:fill="E0E0E0"/>
          </w:tcPr>
          <w:p w:rsidR="005B658D" w:rsidRPr="00B73B90" w:rsidRDefault="005B658D" w:rsidP="00924A5F">
            <w:pPr>
              <w:autoSpaceDE w:val="0"/>
              <w:autoSpaceDN w:val="0"/>
              <w:adjustRightInd w:val="0"/>
              <w:ind w:left="60" w:right="60"/>
              <w:rPr>
                <w:b/>
              </w:rPr>
            </w:pPr>
            <w:r w:rsidRPr="00B73B90">
              <w:rPr>
                <w:b/>
              </w:rPr>
              <w:t>$50,001 - $70,000</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9.1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11.4</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B73B90" w:rsidRDefault="005B658D" w:rsidP="00924A5F">
            <w:pPr>
              <w:autoSpaceDE w:val="0"/>
              <w:autoSpaceDN w:val="0"/>
              <w:adjustRightInd w:val="0"/>
              <w:ind w:left="60" w:right="60"/>
              <w:jc w:val="right"/>
            </w:pPr>
            <w:r w:rsidRPr="00B73B90">
              <w:t>81.4</w:t>
            </w:r>
          </w:p>
        </w:tc>
      </w:tr>
      <w:tr w:rsidR="00C32252" w:rsidRPr="00C32252" w:rsidTr="00685AEB">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pPr>
          </w:p>
        </w:tc>
        <w:tc>
          <w:tcPr>
            <w:tcW w:w="2000" w:type="dxa"/>
            <w:tcBorders>
              <w:top w:val="single" w:sz="8" w:space="0" w:color="AEAEAE"/>
              <w:left w:val="nil"/>
              <w:bottom w:val="single" w:sz="8" w:space="0" w:color="AEAEAE"/>
              <w:right w:val="single" w:sz="4" w:space="0" w:color="auto"/>
            </w:tcBorders>
            <w:shd w:val="clear" w:color="auto" w:fill="E0E0E0"/>
          </w:tcPr>
          <w:p w:rsidR="005B658D" w:rsidRPr="00B73B90" w:rsidRDefault="00766149" w:rsidP="00924A5F">
            <w:pPr>
              <w:autoSpaceDE w:val="0"/>
              <w:autoSpaceDN w:val="0"/>
              <w:adjustRightInd w:val="0"/>
              <w:ind w:left="60" w:right="60"/>
              <w:rPr>
                <w:b/>
              </w:rPr>
            </w:pPr>
            <w:r w:rsidRPr="00B73B90">
              <w:rPr>
                <w:b/>
              </w:rPr>
              <w:t>$70,001+</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62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14.9</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18.6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B73B90" w:rsidRDefault="005B658D" w:rsidP="00924A5F">
            <w:pPr>
              <w:autoSpaceDE w:val="0"/>
              <w:autoSpaceDN w:val="0"/>
              <w:adjustRightInd w:val="0"/>
              <w:ind w:left="60" w:right="60"/>
              <w:jc w:val="right"/>
            </w:pPr>
            <w:r w:rsidRPr="00B73B90">
              <w:t>100.0</w:t>
            </w:r>
          </w:p>
        </w:tc>
      </w:tr>
      <w:tr w:rsidR="00C32252" w:rsidRPr="00C32252" w:rsidTr="00685AEB">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pPr>
          </w:p>
        </w:tc>
        <w:tc>
          <w:tcPr>
            <w:tcW w:w="2000" w:type="dxa"/>
            <w:tcBorders>
              <w:top w:val="single" w:sz="8" w:space="0" w:color="AEAEAE"/>
              <w:left w:val="nil"/>
              <w:bottom w:val="single" w:sz="8" w:space="0" w:color="AEAEAE"/>
              <w:right w:val="single" w:sz="4" w:space="0" w:color="auto"/>
            </w:tcBorders>
            <w:shd w:val="clear" w:color="auto" w:fill="E0E0E0"/>
          </w:tcPr>
          <w:p w:rsidR="005B658D" w:rsidRPr="00B73B90" w:rsidRDefault="005B658D" w:rsidP="00924A5F">
            <w:pPr>
              <w:autoSpaceDE w:val="0"/>
              <w:autoSpaceDN w:val="0"/>
              <w:adjustRightInd w:val="0"/>
              <w:ind w:left="60" w:right="60"/>
            </w:pPr>
            <w:r w:rsidRPr="00B73B90">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333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79.9</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B73B90" w:rsidRDefault="005B658D" w:rsidP="00924A5F">
            <w:pPr>
              <w:autoSpaceDE w:val="0"/>
              <w:autoSpaceDN w:val="0"/>
              <w:adjustRightInd w:val="0"/>
            </w:pPr>
          </w:p>
        </w:tc>
      </w:tr>
      <w:tr w:rsidR="00C32252" w:rsidRPr="00C32252" w:rsidTr="00685AEB">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B73B90" w:rsidRDefault="005B658D" w:rsidP="00924A5F">
            <w:pPr>
              <w:autoSpaceDE w:val="0"/>
              <w:autoSpaceDN w:val="0"/>
              <w:adjustRightInd w:val="0"/>
              <w:ind w:left="60" w:right="60"/>
            </w:pPr>
            <w:r w:rsidRPr="00B73B90">
              <w:t>Missing</w:t>
            </w:r>
          </w:p>
        </w:tc>
        <w:tc>
          <w:tcPr>
            <w:tcW w:w="2000" w:type="dxa"/>
            <w:tcBorders>
              <w:top w:val="single" w:sz="8" w:space="0" w:color="AEAEAE"/>
              <w:left w:val="nil"/>
              <w:bottom w:val="single" w:sz="8" w:space="0" w:color="AEAEAE"/>
              <w:right w:val="single" w:sz="4" w:space="0" w:color="auto"/>
            </w:tcBorders>
            <w:shd w:val="clear" w:color="auto" w:fill="E0E0E0"/>
          </w:tcPr>
          <w:p w:rsidR="005B658D" w:rsidRPr="00B73B90" w:rsidRDefault="005B658D" w:rsidP="00924A5F">
            <w:pPr>
              <w:autoSpaceDE w:val="0"/>
              <w:autoSpaceDN w:val="0"/>
              <w:adjustRightInd w:val="0"/>
              <w:ind w:left="60" w:right="60"/>
            </w:pPr>
            <w:r w:rsidRPr="00B73B90">
              <w:t>System</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84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20.1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B73B90"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B73B90" w:rsidRDefault="005B658D" w:rsidP="00924A5F">
            <w:pPr>
              <w:autoSpaceDE w:val="0"/>
              <w:autoSpaceDN w:val="0"/>
              <w:adjustRightInd w:val="0"/>
            </w:pPr>
          </w:p>
        </w:tc>
      </w:tr>
      <w:tr w:rsidR="00C32252" w:rsidRPr="00C32252" w:rsidTr="00685AEB">
        <w:trPr>
          <w:cantSplit/>
        </w:trPr>
        <w:tc>
          <w:tcPr>
            <w:tcW w:w="2948"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B73B90" w:rsidRDefault="005B658D" w:rsidP="00924A5F">
            <w:pPr>
              <w:autoSpaceDE w:val="0"/>
              <w:autoSpaceDN w:val="0"/>
              <w:adjustRightInd w:val="0"/>
              <w:ind w:left="60" w:right="60"/>
            </w:pPr>
            <w:r w:rsidRPr="00B73B90">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B73B90" w:rsidRDefault="005B658D" w:rsidP="00924A5F">
            <w:pPr>
              <w:autoSpaceDE w:val="0"/>
              <w:autoSpaceDN w:val="0"/>
              <w:adjustRightInd w:val="0"/>
              <w:ind w:left="60" w:right="60"/>
              <w:jc w:val="right"/>
            </w:pPr>
            <w:r w:rsidRPr="00B73B90">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B73B90"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B73B90" w:rsidRDefault="005B658D" w:rsidP="00924A5F">
            <w:pPr>
              <w:autoSpaceDE w:val="0"/>
              <w:autoSpaceDN w:val="0"/>
              <w:adjustRightInd w:val="0"/>
            </w:pPr>
          </w:p>
        </w:tc>
      </w:tr>
    </w:tbl>
    <w:p w:rsidR="005C75F6" w:rsidRDefault="005C75F6" w:rsidP="0014339D">
      <w:pPr>
        <w:autoSpaceDE w:val="0"/>
        <w:autoSpaceDN w:val="0"/>
        <w:adjustRightInd w:val="0"/>
        <w:spacing w:line="360" w:lineRule="auto"/>
        <w:ind w:right="58"/>
        <w:rPr>
          <w:bCs/>
        </w:rPr>
      </w:pPr>
    </w:p>
    <w:p w:rsidR="005C75F6" w:rsidRDefault="005C75F6" w:rsidP="0014339D">
      <w:pPr>
        <w:autoSpaceDE w:val="0"/>
        <w:autoSpaceDN w:val="0"/>
        <w:adjustRightInd w:val="0"/>
        <w:spacing w:line="360" w:lineRule="auto"/>
        <w:ind w:right="58"/>
        <w:rPr>
          <w:bCs/>
        </w:rPr>
      </w:pPr>
      <w:r w:rsidRPr="00903C75">
        <w:rPr>
          <w:bCs/>
        </w:rPr>
        <w:t xml:space="preserve">Simply examining household income alone as a measure of relative poverty can mask important context such as the number of people that income supports. Table 1.6 presents household income by number of individuals in </w:t>
      </w:r>
      <w:r w:rsidRPr="00903C75">
        <w:rPr>
          <w:bCs/>
        </w:rPr>
        <w:lastRenderedPageBreak/>
        <w:t>the household.</w:t>
      </w:r>
      <w:r w:rsidR="00AA5B12">
        <w:rPr>
          <w:bCs/>
        </w:rPr>
        <w:t xml:space="preserve"> </w:t>
      </w:r>
      <w:r w:rsidRPr="00903C75">
        <w:rPr>
          <w:bCs/>
        </w:rPr>
        <w:t xml:space="preserve"> All respondents (100.0%) reporting an income of $15,000 or less also reported living alone.</w:t>
      </w:r>
      <w:r w:rsidR="00AA5B12">
        <w:rPr>
          <w:bCs/>
        </w:rPr>
        <w:t xml:space="preserve"> </w:t>
      </w:r>
      <w:r w:rsidRPr="00903C75">
        <w:rPr>
          <w:bCs/>
        </w:rPr>
        <w:t>By contrast all respondents (100.0%) in the highest income category (over $70,000) reported that this income supported 5 or more household members.</w:t>
      </w:r>
      <w:r w:rsidR="00AA5B12">
        <w:rPr>
          <w:bCs/>
        </w:rPr>
        <w:t xml:space="preserve"> </w:t>
      </w:r>
      <w:r w:rsidRPr="00903C75">
        <w:rPr>
          <w:bCs/>
        </w:rPr>
        <w:t xml:space="preserve">This </w:t>
      </w:r>
      <w:r w:rsidRPr="00903C75">
        <w:rPr>
          <w:bCs/>
        </w:rPr>
        <w:lastRenderedPageBreak/>
        <w:t>suggests that the vast majority of households surveyed for this research had limited household incomes when the number of people supported by this income is accounted for.</w:t>
      </w:r>
    </w:p>
    <w:p w:rsidR="005C75F6" w:rsidRPr="0090232E" w:rsidRDefault="005C75F6" w:rsidP="0090232E">
      <w:pPr>
        <w:autoSpaceDE w:val="0"/>
        <w:autoSpaceDN w:val="0"/>
        <w:adjustRightInd w:val="0"/>
        <w:spacing w:line="360" w:lineRule="auto"/>
        <w:ind w:right="60"/>
        <w:rPr>
          <w:bCs/>
        </w:rPr>
      </w:pPr>
      <w:r w:rsidRPr="00FF4921">
        <w:rPr>
          <w:bCs/>
        </w:rPr>
        <w:lastRenderedPageBreak/>
        <w:t>At least 70% of respondents</w:t>
      </w:r>
      <w:r>
        <w:rPr>
          <w:rStyle w:val="FootnoteReference"/>
          <w:bCs/>
        </w:rPr>
        <w:footnoteReference w:id="1"/>
      </w:r>
      <w:r w:rsidRPr="00FF4921">
        <w:rPr>
          <w:bCs/>
        </w:rPr>
        <w:t xml:space="preserve"> had a household income that was below the LICO rate. </w:t>
      </w:r>
      <w:r w:rsidRPr="00FF4921">
        <w:rPr>
          <w:bCs/>
        </w:rPr>
        <w:lastRenderedPageBreak/>
        <w:t>This suggests that the majority of respondents surveyed were experiencing poverty and thus, that the impacts of bylaw tickets on this population are much more significant and impactful than they would be on individuals with more financial stability.</w:t>
      </w:r>
      <w:r>
        <w:rPr>
          <w:bCs/>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779"/>
        <w:gridCol w:w="1111"/>
        <w:gridCol w:w="1020"/>
        <w:gridCol w:w="1060"/>
        <w:gridCol w:w="1060"/>
        <w:gridCol w:w="1060"/>
        <w:gridCol w:w="1196"/>
        <w:gridCol w:w="1054"/>
      </w:tblGrid>
      <w:tr w:rsidR="005C75F6" w:rsidRPr="005C75F6" w:rsidTr="00685AEB">
        <w:trPr>
          <w:cantSplit/>
          <w:trHeight w:val="333"/>
        </w:trPr>
        <w:tc>
          <w:tcPr>
            <w:tcW w:w="9600" w:type="dxa"/>
            <w:gridSpan w:val="9"/>
            <w:tcBorders>
              <w:top w:val="nil"/>
              <w:left w:val="nil"/>
              <w:bottom w:val="nil"/>
              <w:right w:val="nil"/>
            </w:tcBorders>
            <w:shd w:val="clear" w:color="auto" w:fill="FFFFFF"/>
            <w:vAlign w:val="center"/>
          </w:tcPr>
          <w:p w:rsidR="005C75F6" w:rsidRPr="007C3BD3" w:rsidRDefault="005C75F6" w:rsidP="007C3BD3">
            <w:pPr>
              <w:autoSpaceDE w:val="0"/>
              <w:autoSpaceDN w:val="0"/>
              <w:adjustRightInd w:val="0"/>
              <w:ind w:right="60"/>
              <w:rPr>
                <w:b/>
                <w:bCs/>
                <w:sz w:val="28"/>
                <w:szCs w:val="28"/>
              </w:rPr>
            </w:pPr>
            <w:r w:rsidRPr="001F51F5">
              <w:rPr>
                <w:b/>
                <w:bCs/>
                <w:sz w:val="28"/>
                <w:szCs w:val="28"/>
              </w:rPr>
              <w:t xml:space="preserve">Table 1.6 </w:t>
            </w:r>
            <w:r>
              <w:rPr>
                <w:b/>
                <w:bCs/>
                <w:sz w:val="28"/>
                <w:szCs w:val="28"/>
              </w:rPr>
              <w:t>Household Income</w:t>
            </w:r>
            <w:r w:rsidRPr="001F51F5">
              <w:rPr>
                <w:b/>
                <w:bCs/>
                <w:sz w:val="28"/>
                <w:szCs w:val="28"/>
              </w:rPr>
              <w:t xml:space="preserve"> by </w:t>
            </w:r>
            <w:r>
              <w:rPr>
                <w:b/>
                <w:bCs/>
                <w:sz w:val="28"/>
                <w:szCs w:val="28"/>
              </w:rPr>
              <w:t>Household S</w:t>
            </w:r>
            <w:r w:rsidRPr="001F51F5">
              <w:rPr>
                <w:b/>
                <w:bCs/>
                <w:sz w:val="28"/>
                <w:szCs w:val="28"/>
              </w:rPr>
              <w:t>iz</w:t>
            </w:r>
            <w:r>
              <w:rPr>
                <w:b/>
                <w:bCs/>
                <w:sz w:val="28"/>
                <w:szCs w:val="28"/>
              </w:rPr>
              <w:t>e</w:t>
            </w:r>
          </w:p>
        </w:tc>
      </w:tr>
      <w:tr w:rsidR="005C75F6" w:rsidRPr="00AF54F6" w:rsidTr="00685AEB">
        <w:trPr>
          <w:cantSplit/>
        </w:trPr>
        <w:tc>
          <w:tcPr>
            <w:tcW w:w="315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pPr>
          </w:p>
        </w:tc>
        <w:tc>
          <w:tcPr>
            <w:tcW w:w="5396"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ind w:left="60" w:right="60"/>
              <w:jc w:val="center"/>
            </w:pPr>
            <w:r>
              <w:t>Household size</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ind w:left="60" w:right="60"/>
              <w:jc w:val="center"/>
            </w:pPr>
            <w:r w:rsidRPr="00AF54F6">
              <w:t>Total</w:t>
            </w:r>
          </w:p>
        </w:tc>
      </w:tr>
      <w:tr w:rsidR="005C75F6" w:rsidRPr="00AF54F6" w:rsidTr="00685AEB">
        <w:trPr>
          <w:cantSplit/>
        </w:trPr>
        <w:tc>
          <w:tcPr>
            <w:tcW w:w="3150" w:type="dxa"/>
            <w:gridSpan w:val="3"/>
            <w:vMerge/>
            <w:tcBorders>
              <w:top w:val="nil"/>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ind w:left="60" w:right="60"/>
              <w:jc w:val="center"/>
            </w:pPr>
            <w:r w:rsidRPr="00AF54F6">
              <w:t>1 person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ind w:left="60" w:right="60"/>
              <w:jc w:val="center"/>
            </w:pPr>
            <w:r w:rsidRPr="00AF54F6">
              <w:t>2 people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ind w:left="60" w:right="60"/>
              <w:jc w:val="center"/>
            </w:pPr>
            <w:r w:rsidRPr="00AF54F6">
              <w:t>3 people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ind w:left="60" w:right="60"/>
              <w:jc w:val="center"/>
            </w:pPr>
            <w:r w:rsidRPr="00AF54F6">
              <w:t>4 people</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685AEB" w:rsidP="00685AEB">
            <w:pPr>
              <w:autoSpaceDE w:val="0"/>
              <w:autoSpaceDN w:val="0"/>
              <w:adjustRightInd w:val="0"/>
              <w:ind w:left="60" w:right="60"/>
              <w:jc w:val="center"/>
            </w:pPr>
            <w:r>
              <w:t xml:space="preserve">5+ </w:t>
            </w:r>
            <w:r w:rsidR="005C75F6" w:rsidRPr="00AF54F6">
              <w:t>people</w:t>
            </w:r>
          </w:p>
        </w:tc>
        <w:tc>
          <w:tcPr>
            <w:tcW w:w="105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5C75F6" w:rsidRPr="00AF54F6" w:rsidRDefault="005C75F6" w:rsidP="003800EF">
            <w:pPr>
              <w:autoSpaceDE w:val="0"/>
              <w:autoSpaceDN w:val="0"/>
              <w:adjustRightInd w:val="0"/>
            </w:pPr>
          </w:p>
        </w:tc>
      </w:tr>
      <w:tr w:rsidR="005C75F6" w:rsidRPr="00AF54F6" w:rsidTr="00685AEB">
        <w:trPr>
          <w:cantSplit/>
          <w:trHeight w:val="231"/>
        </w:trPr>
        <w:tc>
          <w:tcPr>
            <w:tcW w:w="1260" w:type="dxa"/>
            <w:vMerge w:val="restart"/>
            <w:tcBorders>
              <w:top w:val="single" w:sz="4" w:space="0" w:color="auto"/>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ind w:left="60" w:right="60"/>
            </w:pPr>
            <w:r w:rsidRPr="00AF54F6">
              <w:t>House</w:t>
            </w:r>
            <w:r>
              <w:t xml:space="preserve">hold income </w:t>
            </w:r>
          </w:p>
        </w:tc>
        <w:tc>
          <w:tcPr>
            <w:tcW w:w="1890" w:type="dxa"/>
            <w:gridSpan w:val="2"/>
            <w:vMerge w:val="restart"/>
            <w:tcBorders>
              <w:top w:val="single" w:sz="4" w:space="0" w:color="auto"/>
              <w:left w:val="single" w:sz="4" w:space="0" w:color="auto"/>
              <w:bottom w:val="nil"/>
              <w:right w:val="nil"/>
            </w:tcBorders>
            <w:shd w:val="clear" w:color="auto" w:fill="E0E0E0"/>
          </w:tcPr>
          <w:p w:rsidR="005C75F6" w:rsidRPr="00AF54F6" w:rsidRDefault="005C75F6" w:rsidP="003800EF">
            <w:pPr>
              <w:autoSpaceDE w:val="0"/>
              <w:autoSpaceDN w:val="0"/>
              <w:adjustRightInd w:val="0"/>
              <w:ind w:left="60" w:right="60"/>
            </w:pPr>
            <w:r w:rsidRPr="00AF54F6">
              <w:t>$15,000 or less</w:t>
            </w:r>
          </w:p>
        </w:tc>
        <w:tc>
          <w:tcPr>
            <w:tcW w:w="102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109</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196"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54"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109</w:t>
            </w:r>
          </w:p>
        </w:tc>
      </w:tr>
      <w:tr w:rsidR="005C75F6" w:rsidRPr="00AF54F6" w:rsidTr="00685AEB">
        <w:trPr>
          <w:cantSplit/>
          <w:trHeight w:val="273"/>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tcBorders>
              <w:top w:val="single" w:sz="8" w:space="0" w:color="152935"/>
              <w:left w:val="single" w:sz="4" w:space="0" w:color="auto"/>
              <w:bottom w:val="single" w:sz="4" w:space="0" w:color="auto"/>
              <w:right w:val="nil"/>
            </w:tcBorders>
            <w:shd w:val="clear" w:color="auto" w:fill="E0E0E0"/>
          </w:tcPr>
          <w:p w:rsidR="005C75F6" w:rsidRPr="00AF54F6" w:rsidRDefault="005C75F6" w:rsidP="003800EF">
            <w:pPr>
              <w:autoSpaceDE w:val="0"/>
              <w:autoSpaceDN w:val="0"/>
              <w:adjustRightInd w:val="0"/>
            </w:pPr>
          </w:p>
        </w:tc>
        <w:tc>
          <w:tcPr>
            <w:tcW w:w="102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196"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54"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val="restart"/>
            <w:tcBorders>
              <w:top w:val="single" w:sz="4" w:space="0" w:color="auto"/>
              <w:left w:val="single" w:sz="4" w:space="0" w:color="auto"/>
              <w:bottom w:val="single" w:sz="8" w:space="0" w:color="AEAEAE"/>
              <w:right w:val="nil"/>
            </w:tcBorders>
            <w:shd w:val="clear" w:color="auto" w:fill="E0E0E0"/>
          </w:tcPr>
          <w:p w:rsidR="005C75F6" w:rsidRPr="00AF54F6" w:rsidRDefault="005C75F6" w:rsidP="003800EF">
            <w:pPr>
              <w:autoSpaceDE w:val="0"/>
              <w:autoSpaceDN w:val="0"/>
              <w:adjustRightInd w:val="0"/>
              <w:ind w:left="60" w:right="60"/>
            </w:pPr>
            <w:r w:rsidRPr="00AF54F6">
              <w:t>$15,001 - $30,000</w:t>
            </w:r>
          </w:p>
        </w:tc>
        <w:tc>
          <w:tcPr>
            <w:tcW w:w="102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36</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37</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196"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54"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73</w:t>
            </w:r>
          </w:p>
        </w:tc>
      </w:tr>
      <w:tr w:rsidR="005C75F6" w:rsidRPr="00AF54F6" w:rsidTr="00685AEB">
        <w:trPr>
          <w:cantSplit/>
          <w:trHeight w:val="250"/>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tcBorders>
              <w:top w:val="single" w:sz="8" w:space="0" w:color="AEAEAE"/>
              <w:left w:val="single" w:sz="4" w:space="0" w:color="auto"/>
              <w:bottom w:val="single" w:sz="4" w:space="0" w:color="auto"/>
              <w:right w:val="nil"/>
            </w:tcBorders>
            <w:shd w:val="clear" w:color="auto" w:fill="E0E0E0"/>
          </w:tcPr>
          <w:p w:rsidR="005C75F6" w:rsidRPr="00AF54F6" w:rsidRDefault="005C75F6" w:rsidP="003800EF">
            <w:pPr>
              <w:autoSpaceDE w:val="0"/>
              <w:autoSpaceDN w:val="0"/>
              <w:adjustRightInd w:val="0"/>
            </w:pPr>
          </w:p>
        </w:tc>
        <w:tc>
          <w:tcPr>
            <w:tcW w:w="102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49.3%</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50.7%</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196"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54"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val="restart"/>
            <w:tcBorders>
              <w:top w:val="single" w:sz="4" w:space="0" w:color="auto"/>
              <w:left w:val="single" w:sz="4" w:space="0" w:color="auto"/>
              <w:bottom w:val="single" w:sz="8" w:space="0" w:color="AEAEAE"/>
              <w:right w:val="nil"/>
            </w:tcBorders>
            <w:shd w:val="clear" w:color="auto" w:fill="E0E0E0"/>
          </w:tcPr>
          <w:p w:rsidR="005C75F6" w:rsidRPr="00AF54F6" w:rsidRDefault="005C75F6" w:rsidP="003800EF">
            <w:pPr>
              <w:autoSpaceDE w:val="0"/>
              <w:autoSpaceDN w:val="0"/>
              <w:adjustRightInd w:val="0"/>
              <w:ind w:left="60" w:right="60"/>
            </w:pPr>
            <w:r w:rsidRPr="00AF54F6">
              <w:t>$30,001 - $50,000</w:t>
            </w:r>
          </w:p>
        </w:tc>
        <w:tc>
          <w:tcPr>
            <w:tcW w:w="102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27</w:t>
            </w:r>
          </w:p>
        </w:tc>
        <w:tc>
          <w:tcPr>
            <w:tcW w:w="1196"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24</w:t>
            </w:r>
          </w:p>
        </w:tc>
        <w:tc>
          <w:tcPr>
            <w:tcW w:w="1054"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51</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tcBorders>
              <w:top w:val="single" w:sz="8" w:space="0" w:color="AEAEAE"/>
              <w:left w:val="single" w:sz="4" w:space="0" w:color="auto"/>
              <w:bottom w:val="single" w:sz="4" w:space="0" w:color="auto"/>
              <w:right w:val="nil"/>
            </w:tcBorders>
            <w:shd w:val="clear" w:color="auto" w:fill="E0E0E0"/>
          </w:tcPr>
          <w:p w:rsidR="005C75F6" w:rsidRPr="00AF54F6" w:rsidRDefault="005C75F6" w:rsidP="003800EF">
            <w:pPr>
              <w:autoSpaceDE w:val="0"/>
              <w:autoSpaceDN w:val="0"/>
              <w:adjustRightInd w:val="0"/>
            </w:pPr>
          </w:p>
        </w:tc>
        <w:tc>
          <w:tcPr>
            <w:tcW w:w="102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52.9%</w:t>
            </w:r>
          </w:p>
        </w:tc>
        <w:tc>
          <w:tcPr>
            <w:tcW w:w="1196"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47.1%</w:t>
            </w:r>
          </w:p>
        </w:tc>
        <w:tc>
          <w:tcPr>
            <w:tcW w:w="1054"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val="restart"/>
            <w:tcBorders>
              <w:top w:val="single" w:sz="4" w:space="0" w:color="auto"/>
              <w:left w:val="single" w:sz="4" w:space="0" w:color="auto"/>
              <w:bottom w:val="single" w:sz="8" w:space="0" w:color="AEAEAE"/>
              <w:right w:val="nil"/>
            </w:tcBorders>
            <w:shd w:val="clear" w:color="auto" w:fill="E0E0E0"/>
          </w:tcPr>
          <w:p w:rsidR="005C75F6" w:rsidRPr="00AF54F6" w:rsidRDefault="005C75F6" w:rsidP="003800EF">
            <w:pPr>
              <w:autoSpaceDE w:val="0"/>
              <w:autoSpaceDN w:val="0"/>
              <w:adjustRightInd w:val="0"/>
              <w:ind w:left="60" w:right="60"/>
            </w:pPr>
            <w:r w:rsidRPr="00AF54F6">
              <w:t>$50,001 - $70,000</w:t>
            </w:r>
          </w:p>
        </w:tc>
        <w:tc>
          <w:tcPr>
            <w:tcW w:w="102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196"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38</w:t>
            </w:r>
          </w:p>
        </w:tc>
        <w:tc>
          <w:tcPr>
            <w:tcW w:w="1054"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38</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tcBorders>
              <w:top w:val="single" w:sz="8" w:space="0" w:color="AEAEAE"/>
              <w:left w:val="single" w:sz="4" w:space="0" w:color="auto"/>
              <w:bottom w:val="single" w:sz="4" w:space="0" w:color="auto"/>
              <w:right w:val="nil"/>
            </w:tcBorders>
            <w:shd w:val="clear" w:color="auto" w:fill="E0E0E0"/>
          </w:tcPr>
          <w:p w:rsidR="005C75F6" w:rsidRPr="00AF54F6" w:rsidRDefault="005C75F6" w:rsidP="003800EF">
            <w:pPr>
              <w:autoSpaceDE w:val="0"/>
              <w:autoSpaceDN w:val="0"/>
              <w:adjustRightInd w:val="0"/>
            </w:pPr>
          </w:p>
        </w:tc>
        <w:tc>
          <w:tcPr>
            <w:tcW w:w="102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196"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c>
          <w:tcPr>
            <w:tcW w:w="1054"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val="restart"/>
            <w:tcBorders>
              <w:top w:val="single" w:sz="4" w:space="0" w:color="auto"/>
              <w:left w:val="single" w:sz="4" w:space="0" w:color="auto"/>
              <w:bottom w:val="single" w:sz="8" w:space="0" w:color="AEAEAE"/>
              <w:right w:val="nil"/>
            </w:tcBorders>
            <w:shd w:val="clear" w:color="auto" w:fill="E0E0E0"/>
          </w:tcPr>
          <w:p w:rsidR="005C75F6" w:rsidRPr="00AF54F6" w:rsidRDefault="005C75F6" w:rsidP="003800EF">
            <w:pPr>
              <w:autoSpaceDE w:val="0"/>
              <w:autoSpaceDN w:val="0"/>
              <w:adjustRightInd w:val="0"/>
              <w:ind w:left="60" w:right="60"/>
            </w:pPr>
            <w:r w:rsidRPr="00AF54F6">
              <w:t>$70,001 or more</w:t>
            </w:r>
          </w:p>
        </w:tc>
        <w:tc>
          <w:tcPr>
            <w:tcW w:w="102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w:t>
            </w:r>
          </w:p>
        </w:tc>
        <w:tc>
          <w:tcPr>
            <w:tcW w:w="1196"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62</w:t>
            </w:r>
          </w:p>
        </w:tc>
        <w:tc>
          <w:tcPr>
            <w:tcW w:w="1054"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62</w:t>
            </w:r>
          </w:p>
        </w:tc>
      </w:tr>
      <w:tr w:rsidR="005C75F6" w:rsidRPr="00AF54F6" w:rsidTr="00685AEB">
        <w:trPr>
          <w:cantSplit/>
        </w:trPr>
        <w:tc>
          <w:tcPr>
            <w:tcW w:w="1260" w:type="dxa"/>
            <w:vMerge/>
            <w:tcBorders>
              <w:top w:val="single" w:sz="8" w:space="0" w:color="152935"/>
              <w:left w:val="single" w:sz="4" w:space="0" w:color="auto"/>
              <w:bottom w:val="single" w:sz="4" w:space="0" w:color="auto"/>
              <w:right w:val="single" w:sz="4" w:space="0" w:color="auto"/>
            </w:tcBorders>
            <w:shd w:val="clear" w:color="auto" w:fill="E0E0E0"/>
          </w:tcPr>
          <w:p w:rsidR="005C75F6" w:rsidRPr="00AF54F6" w:rsidRDefault="005C75F6" w:rsidP="003800EF">
            <w:pPr>
              <w:autoSpaceDE w:val="0"/>
              <w:autoSpaceDN w:val="0"/>
              <w:adjustRightInd w:val="0"/>
            </w:pPr>
          </w:p>
        </w:tc>
        <w:tc>
          <w:tcPr>
            <w:tcW w:w="1890" w:type="dxa"/>
            <w:gridSpan w:val="2"/>
            <w:vMerge/>
            <w:tcBorders>
              <w:top w:val="single" w:sz="8" w:space="0" w:color="AEAEAE"/>
              <w:left w:val="single" w:sz="4" w:space="0" w:color="auto"/>
              <w:bottom w:val="single" w:sz="4" w:space="0" w:color="auto"/>
              <w:right w:val="nil"/>
            </w:tcBorders>
            <w:shd w:val="clear" w:color="auto" w:fill="E0E0E0"/>
          </w:tcPr>
          <w:p w:rsidR="005C75F6" w:rsidRPr="00AF54F6" w:rsidRDefault="005C75F6" w:rsidP="003800EF">
            <w:pPr>
              <w:autoSpaceDE w:val="0"/>
              <w:autoSpaceDN w:val="0"/>
              <w:adjustRightInd w:val="0"/>
            </w:pPr>
          </w:p>
        </w:tc>
        <w:tc>
          <w:tcPr>
            <w:tcW w:w="102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0.0%</w:t>
            </w:r>
          </w:p>
        </w:tc>
        <w:tc>
          <w:tcPr>
            <w:tcW w:w="1196"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c>
          <w:tcPr>
            <w:tcW w:w="1054"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r>
      <w:tr w:rsidR="005C75F6" w:rsidRPr="00AF54F6" w:rsidTr="00685AEB">
        <w:trPr>
          <w:cantSplit/>
        </w:trPr>
        <w:tc>
          <w:tcPr>
            <w:tcW w:w="2039" w:type="dxa"/>
            <w:gridSpan w:val="2"/>
            <w:vMerge w:val="restart"/>
            <w:tcBorders>
              <w:top w:val="single" w:sz="4" w:space="0" w:color="auto"/>
              <w:left w:val="single" w:sz="4" w:space="0" w:color="auto"/>
              <w:bottom w:val="single" w:sz="8" w:space="0" w:color="152935"/>
              <w:right w:val="nil"/>
            </w:tcBorders>
            <w:shd w:val="clear" w:color="auto" w:fill="E0E0E0"/>
          </w:tcPr>
          <w:p w:rsidR="005C75F6" w:rsidRPr="00AF54F6" w:rsidRDefault="005C75F6" w:rsidP="003800EF">
            <w:pPr>
              <w:autoSpaceDE w:val="0"/>
              <w:autoSpaceDN w:val="0"/>
              <w:adjustRightInd w:val="0"/>
              <w:ind w:left="60" w:right="60"/>
            </w:pPr>
            <w:r w:rsidRPr="00AF54F6">
              <w:t>Total</w:t>
            </w:r>
          </w:p>
        </w:tc>
        <w:tc>
          <w:tcPr>
            <w:tcW w:w="1111" w:type="dxa"/>
            <w:tcBorders>
              <w:top w:val="single" w:sz="4" w:space="0" w:color="auto"/>
              <w:left w:val="nil"/>
              <w:bottom w:val="single" w:sz="8" w:space="0" w:color="AEAEAE"/>
              <w:right w:val="single" w:sz="4" w:space="0" w:color="auto"/>
            </w:tcBorders>
            <w:shd w:val="clear" w:color="auto" w:fill="E0E0E0"/>
          </w:tcPr>
          <w:p w:rsidR="005C75F6" w:rsidRPr="00AF54F6" w:rsidRDefault="005C75F6" w:rsidP="003800EF">
            <w:pPr>
              <w:autoSpaceDE w:val="0"/>
              <w:autoSpaceDN w:val="0"/>
              <w:adjustRightInd w:val="0"/>
              <w:ind w:left="60" w:right="60"/>
            </w:pPr>
          </w:p>
        </w:tc>
        <w:tc>
          <w:tcPr>
            <w:tcW w:w="102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109</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36</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37</w:t>
            </w:r>
          </w:p>
        </w:tc>
        <w:tc>
          <w:tcPr>
            <w:tcW w:w="1060"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27</w:t>
            </w:r>
          </w:p>
        </w:tc>
        <w:tc>
          <w:tcPr>
            <w:tcW w:w="1196"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124</w:t>
            </w:r>
          </w:p>
        </w:tc>
        <w:tc>
          <w:tcPr>
            <w:tcW w:w="1054" w:type="dxa"/>
            <w:tcBorders>
              <w:top w:val="single" w:sz="4" w:space="0" w:color="auto"/>
              <w:left w:val="single" w:sz="4" w:space="0" w:color="auto"/>
              <w:bottom w:val="single" w:sz="8" w:space="0" w:color="AEAEAE"/>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333</w:t>
            </w:r>
          </w:p>
        </w:tc>
      </w:tr>
      <w:tr w:rsidR="005C75F6" w:rsidRPr="00AF54F6" w:rsidTr="00685AEB">
        <w:trPr>
          <w:cantSplit/>
          <w:trHeight w:val="175"/>
        </w:trPr>
        <w:tc>
          <w:tcPr>
            <w:tcW w:w="2039" w:type="dxa"/>
            <w:gridSpan w:val="2"/>
            <w:vMerge/>
            <w:tcBorders>
              <w:top w:val="single" w:sz="8" w:space="0" w:color="AEAEAE"/>
              <w:left w:val="single" w:sz="4" w:space="0" w:color="auto"/>
              <w:bottom w:val="single" w:sz="4" w:space="0" w:color="auto"/>
              <w:right w:val="nil"/>
            </w:tcBorders>
            <w:shd w:val="clear" w:color="auto" w:fill="E0E0E0"/>
          </w:tcPr>
          <w:p w:rsidR="005C75F6" w:rsidRPr="00AF54F6" w:rsidRDefault="005C75F6" w:rsidP="003800EF">
            <w:pPr>
              <w:autoSpaceDE w:val="0"/>
              <w:autoSpaceDN w:val="0"/>
              <w:adjustRightInd w:val="0"/>
            </w:pPr>
          </w:p>
        </w:tc>
        <w:tc>
          <w:tcPr>
            <w:tcW w:w="1111" w:type="dxa"/>
            <w:tcBorders>
              <w:top w:val="single" w:sz="8" w:space="0" w:color="AEAEAE"/>
              <w:left w:val="nil"/>
              <w:bottom w:val="single" w:sz="4" w:space="0" w:color="auto"/>
              <w:right w:val="single" w:sz="4" w:space="0" w:color="auto"/>
            </w:tcBorders>
            <w:shd w:val="clear" w:color="auto" w:fill="E0E0E0"/>
          </w:tcPr>
          <w:p w:rsidR="005C75F6" w:rsidRPr="00AF54F6" w:rsidRDefault="005C75F6" w:rsidP="003800EF">
            <w:pPr>
              <w:autoSpaceDE w:val="0"/>
              <w:autoSpaceDN w:val="0"/>
              <w:adjustRightInd w:val="0"/>
              <w:ind w:left="60" w:right="60"/>
            </w:pPr>
          </w:p>
        </w:tc>
        <w:tc>
          <w:tcPr>
            <w:tcW w:w="102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32.7%</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10.8%</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11.1%</w:t>
            </w:r>
          </w:p>
        </w:tc>
        <w:tc>
          <w:tcPr>
            <w:tcW w:w="1060"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8.1%</w:t>
            </w:r>
          </w:p>
        </w:tc>
        <w:tc>
          <w:tcPr>
            <w:tcW w:w="1196"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37.2%</w:t>
            </w:r>
          </w:p>
        </w:tc>
        <w:tc>
          <w:tcPr>
            <w:tcW w:w="1054" w:type="dxa"/>
            <w:tcBorders>
              <w:top w:val="single" w:sz="8" w:space="0" w:color="AEAEAE"/>
              <w:left w:val="single" w:sz="4" w:space="0" w:color="auto"/>
              <w:bottom w:val="single" w:sz="4" w:space="0" w:color="auto"/>
              <w:right w:val="single" w:sz="4" w:space="0" w:color="auto"/>
            </w:tcBorders>
            <w:shd w:val="clear" w:color="auto" w:fill="FFFFFF"/>
          </w:tcPr>
          <w:p w:rsidR="005C75F6" w:rsidRPr="00AF54F6" w:rsidRDefault="005C75F6" w:rsidP="003800EF">
            <w:pPr>
              <w:autoSpaceDE w:val="0"/>
              <w:autoSpaceDN w:val="0"/>
              <w:adjustRightInd w:val="0"/>
              <w:ind w:left="60" w:right="60"/>
              <w:jc w:val="right"/>
            </w:pPr>
            <w:r w:rsidRPr="00AF54F6">
              <w:t>100.0%</w:t>
            </w:r>
          </w:p>
        </w:tc>
      </w:tr>
    </w:tbl>
    <w:p w:rsidR="005C75F6" w:rsidRDefault="005C75F6" w:rsidP="0014339D">
      <w:pPr>
        <w:autoSpaceDE w:val="0"/>
        <w:autoSpaceDN w:val="0"/>
        <w:adjustRightInd w:val="0"/>
        <w:spacing w:line="360" w:lineRule="auto"/>
      </w:pPr>
    </w:p>
    <w:p w:rsidR="00903C75" w:rsidRDefault="00903C75" w:rsidP="0014339D">
      <w:pPr>
        <w:autoSpaceDE w:val="0"/>
        <w:autoSpaceDN w:val="0"/>
        <w:adjustRightInd w:val="0"/>
        <w:spacing w:line="360" w:lineRule="auto"/>
      </w:pPr>
      <w:r>
        <w:t>Turning next to the living situations of respondents, Table 1.7 shows housing status.</w:t>
      </w:r>
      <w:r w:rsidR="00AA5B12">
        <w:t xml:space="preserve"> </w:t>
      </w:r>
      <w:r>
        <w:t xml:space="preserve">The majority of respondents reported living in rental </w:t>
      </w:r>
      <w:r w:rsidR="00D40955">
        <w:t>accommodations</w:t>
      </w:r>
      <w:r>
        <w:t>.</w:t>
      </w:r>
      <w:r w:rsidR="00AA5B12">
        <w:t xml:space="preserve"> </w:t>
      </w:r>
      <w:r>
        <w:t>23.2% reported owning their home.</w:t>
      </w:r>
      <w:r w:rsidR="00AA5B12">
        <w:t xml:space="preserve"> </w:t>
      </w:r>
      <w:r>
        <w:t xml:space="preserve">25.6% of </w:t>
      </w:r>
      <w:r>
        <w:lastRenderedPageBreak/>
        <w:t>r</w:t>
      </w:r>
      <w:r w:rsidR="00D40955">
        <w:t xml:space="preserve">espondents reported </w:t>
      </w:r>
      <w:r>
        <w:t xml:space="preserve">unstable </w:t>
      </w:r>
      <w:r w:rsidR="00D40955">
        <w:t>living arrangements (these included being homeless, couch surfing, living in temporary shelters).</w:t>
      </w:r>
      <w:r w:rsidR="00AA5B12">
        <w:t xml:space="preserve"> </w:t>
      </w:r>
      <w:r w:rsidR="00D40955">
        <w:t>Finally, 2.9% of respondents reported other and examples of these include living in a residential treatment centre.</w:t>
      </w:r>
    </w:p>
    <w:p w:rsidR="007C3BD3" w:rsidRDefault="007C3BD3" w:rsidP="00924A5F">
      <w:pPr>
        <w:autoSpaceDE w:val="0"/>
        <w:autoSpaceDN w:val="0"/>
        <w:adjustRightInd w:val="0"/>
        <w:rPr>
          <w:b/>
          <w:sz w:val="28"/>
          <w:szCs w:val="28"/>
          <w:u w:val="single"/>
        </w:rPr>
      </w:pPr>
    </w:p>
    <w:tbl>
      <w:tblPr>
        <w:tblpPr w:leftFromText="180" w:rightFromText="180" w:vertAnchor="text" w:horzAnchor="page" w:tblpX="1342" w:tblpY="45"/>
        <w:tblW w:w="8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941"/>
        <w:gridCol w:w="1162"/>
        <w:gridCol w:w="1024"/>
        <w:gridCol w:w="1553"/>
        <w:gridCol w:w="2140"/>
      </w:tblGrid>
      <w:tr w:rsidR="00753621" w:rsidRPr="00C32252" w:rsidTr="00753621">
        <w:trPr>
          <w:cantSplit/>
          <w:trHeight w:val="363"/>
        </w:trPr>
        <w:tc>
          <w:tcPr>
            <w:tcW w:w="8768" w:type="dxa"/>
            <w:gridSpan w:val="6"/>
            <w:tcBorders>
              <w:top w:val="nil"/>
              <w:left w:val="nil"/>
              <w:bottom w:val="nil"/>
              <w:right w:val="nil"/>
            </w:tcBorders>
            <w:shd w:val="clear" w:color="auto" w:fill="FFFFFF"/>
            <w:vAlign w:val="center"/>
          </w:tcPr>
          <w:p w:rsidR="00753621" w:rsidRPr="00903C75" w:rsidRDefault="00753621" w:rsidP="001044DB">
            <w:pPr>
              <w:autoSpaceDE w:val="0"/>
              <w:autoSpaceDN w:val="0"/>
              <w:adjustRightInd w:val="0"/>
              <w:ind w:right="60"/>
              <w:rPr>
                <w:sz w:val="28"/>
                <w:szCs w:val="28"/>
              </w:rPr>
            </w:pPr>
            <w:r w:rsidRPr="00903C75">
              <w:rPr>
                <w:b/>
                <w:bCs/>
                <w:sz w:val="28"/>
                <w:szCs w:val="28"/>
              </w:rPr>
              <w:t>Table 1.7 Housing Status</w:t>
            </w:r>
          </w:p>
        </w:tc>
      </w:tr>
      <w:tr w:rsidR="00753621" w:rsidRPr="00C32252" w:rsidTr="00753621">
        <w:trPr>
          <w:cantSplit/>
        </w:trPr>
        <w:tc>
          <w:tcPr>
            <w:tcW w:w="28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3621" w:rsidRPr="00C32252" w:rsidRDefault="00753621" w:rsidP="001044DB">
            <w:pPr>
              <w:autoSpaceDE w:val="0"/>
              <w:autoSpaceDN w:val="0"/>
              <w:adjustRightInd w:val="0"/>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753621" w:rsidRPr="00AF54F6" w:rsidRDefault="00753621" w:rsidP="001044DB">
            <w:pPr>
              <w:autoSpaceDE w:val="0"/>
              <w:autoSpaceDN w:val="0"/>
              <w:adjustRightInd w:val="0"/>
              <w:ind w:left="60" w:right="60"/>
              <w:jc w:val="center"/>
            </w:pPr>
            <w:r w:rsidRPr="00AF54F6">
              <w:t>Frequency</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753621" w:rsidRPr="00AF54F6" w:rsidRDefault="00753621" w:rsidP="001044DB">
            <w:pPr>
              <w:autoSpaceDE w:val="0"/>
              <w:autoSpaceDN w:val="0"/>
              <w:adjustRightInd w:val="0"/>
              <w:ind w:left="60" w:right="60"/>
              <w:jc w:val="center"/>
            </w:pPr>
            <w:r w:rsidRPr="00AF54F6">
              <w:t>Percent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rsidR="00753621" w:rsidRPr="00AF54F6" w:rsidRDefault="00753621" w:rsidP="001044DB">
            <w:pPr>
              <w:autoSpaceDE w:val="0"/>
              <w:autoSpaceDN w:val="0"/>
              <w:adjustRightInd w:val="0"/>
              <w:ind w:left="60" w:right="60"/>
              <w:jc w:val="center"/>
            </w:pPr>
            <w:r w:rsidRPr="00AF54F6">
              <w:t>Valid Percent</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bottom"/>
          </w:tcPr>
          <w:p w:rsidR="00753621" w:rsidRPr="00AF54F6" w:rsidRDefault="00753621" w:rsidP="001044DB">
            <w:pPr>
              <w:autoSpaceDE w:val="0"/>
              <w:autoSpaceDN w:val="0"/>
              <w:adjustRightInd w:val="0"/>
              <w:ind w:left="60" w:right="60"/>
              <w:jc w:val="center"/>
            </w:pPr>
            <w:r w:rsidRPr="00AF54F6">
              <w:t>Cumulative Percent</w:t>
            </w:r>
          </w:p>
        </w:tc>
      </w:tr>
      <w:tr w:rsidR="00753621" w:rsidRPr="00C32252" w:rsidTr="00753621">
        <w:trPr>
          <w:cantSplit/>
        </w:trPr>
        <w:tc>
          <w:tcPr>
            <w:tcW w:w="948" w:type="dxa"/>
            <w:vMerge w:val="restart"/>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rPr>
                <w:b/>
              </w:rPr>
            </w:pPr>
            <w:r w:rsidRPr="00AF54F6">
              <w:rPr>
                <w:b/>
              </w:rPr>
              <w:t>Status</w:t>
            </w:r>
          </w:p>
        </w:tc>
        <w:tc>
          <w:tcPr>
            <w:tcW w:w="1941"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rPr>
                <w:b/>
              </w:rPr>
            </w:pPr>
            <w:r w:rsidRPr="00AF54F6">
              <w:rPr>
                <w:b/>
              </w:rPr>
              <w:t>Rent</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200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48.0</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48.3</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48.3</w:t>
            </w:r>
          </w:p>
        </w:tc>
      </w:tr>
      <w:tr w:rsidR="00753621" w:rsidRPr="00C32252" w:rsidTr="00753621">
        <w:trPr>
          <w:cantSplit/>
          <w:trHeight w:val="218"/>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pPr>
          </w:p>
        </w:tc>
        <w:tc>
          <w:tcPr>
            <w:tcW w:w="1941"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rPr>
                <w:b/>
              </w:rPr>
            </w:pPr>
            <w:r w:rsidRPr="00AF54F6">
              <w:rPr>
                <w:b/>
              </w:rPr>
              <w:t>Own</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96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23.0</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23.2</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71.5</w:t>
            </w:r>
          </w:p>
        </w:tc>
      </w:tr>
      <w:tr w:rsidR="00753621" w:rsidRPr="00C32252" w:rsidTr="00753621">
        <w:trPr>
          <w:cantSplit/>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pPr>
          </w:p>
        </w:tc>
        <w:tc>
          <w:tcPr>
            <w:tcW w:w="1941"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rPr>
                <w:b/>
              </w:rPr>
            </w:pPr>
            <w:r w:rsidRPr="00AF54F6">
              <w:rPr>
                <w:b/>
              </w:rPr>
              <w:t>Unstably housed</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106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25.4</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25.6</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97.1</w:t>
            </w:r>
          </w:p>
        </w:tc>
      </w:tr>
      <w:tr w:rsidR="00753621" w:rsidRPr="00C32252" w:rsidTr="00753621">
        <w:trPr>
          <w:cantSplit/>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pPr>
          </w:p>
        </w:tc>
        <w:tc>
          <w:tcPr>
            <w:tcW w:w="1941"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pPr>
            <w:r w:rsidRPr="00AF54F6">
              <w:t>Other</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12</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2.9</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2.9</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100.0</w:t>
            </w:r>
          </w:p>
        </w:tc>
      </w:tr>
      <w:tr w:rsidR="00753621" w:rsidRPr="00C32252" w:rsidTr="00753621">
        <w:trPr>
          <w:cantSplit/>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pPr>
          </w:p>
        </w:tc>
        <w:tc>
          <w:tcPr>
            <w:tcW w:w="1941"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pPr>
            <w:r w:rsidRPr="00AF54F6">
              <w:t>Total</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414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99.3</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100.0</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753621" w:rsidRPr="00AF54F6" w:rsidRDefault="00753621" w:rsidP="001044DB">
            <w:pPr>
              <w:autoSpaceDE w:val="0"/>
              <w:autoSpaceDN w:val="0"/>
              <w:adjustRightInd w:val="0"/>
            </w:pPr>
          </w:p>
        </w:tc>
      </w:tr>
      <w:tr w:rsidR="00753621" w:rsidRPr="00C32252" w:rsidTr="00753621">
        <w:trPr>
          <w:cantSplit/>
        </w:trPr>
        <w:tc>
          <w:tcPr>
            <w:tcW w:w="948"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pPr>
            <w:r w:rsidRPr="00AF54F6">
              <w:t>Missing</w:t>
            </w:r>
          </w:p>
        </w:tc>
        <w:tc>
          <w:tcPr>
            <w:tcW w:w="1941" w:type="dxa"/>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pPr>
            <w:r w:rsidRPr="00AF54F6">
              <w:t>System</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.7</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753621" w:rsidRPr="00AF54F6" w:rsidRDefault="00753621" w:rsidP="001044DB">
            <w:pPr>
              <w:autoSpaceDE w:val="0"/>
              <w:autoSpaceDN w:val="0"/>
              <w:adjustRightInd w:val="0"/>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753621" w:rsidRPr="00AF54F6" w:rsidRDefault="00753621" w:rsidP="001044DB">
            <w:pPr>
              <w:autoSpaceDE w:val="0"/>
              <w:autoSpaceDN w:val="0"/>
              <w:adjustRightInd w:val="0"/>
            </w:pPr>
          </w:p>
        </w:tc>
      </w:tr>
      <w:tr w:rsidR="00753621" w:rsidRPr="00C32252" w:rsidTr="00753621">
        <w:trPr>
          <w:cantSplit/>
        </w:trPr>
        <w:tc>
          <w:tcPr>
            <w:tcW w:w="2889" w:type="dxa"/>
            <w:gridSpan w:val="2"/>
            <w:tcBorders>
              <w:top w:val="single" w:sz="4" w:space="0" w:color="auto"/>
              <w:left w:val="single" w:sz="4" w:space="0" w:color="auto"/>
              <w:bottom w:val="single" w:sz="4" w:space="0" w:color="auto"/>
              <w:right w:val="single" w:sz="4" w:space="0" w:color="auto"/>
            </w:tcBorders>
            <w:shd w:val="clear" w:color="auto" w:fill="E0E0E0"/>
          </w:tcPr>
          <w:p w:rsidR="00753621" w:rsidRPr="00AF54F6" w:rsidRDefault="00753621" w:rsidP="001044DB">
            <w:pPr>
              <w:autoSpaceDE w:val="0"/>
              <w:autoSpaceDN w:val="0"/>
              <w:adjustRightInd w:val="0"/>
              <w:ind w:left="60" w:right="60"/>
            </w:pPr>
            <w:r w:rsidRPr="00AF54F6">
              <w:t>Total</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417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753621" w:rsidRPr="00AF54F6" w:rsidRDefault="00753621" w:rsidP="001044DB">
            <w:pPr>
              <w:autoSpaceDE w:val="0"/>
              <w:autoSpaceDN w:val="0"/>
              <w:adjustRightInd w:val="0"/>
              <w:ind w:left="60" w:right="60"/>
              <w:jc w:val="right"/>
            </w:pPr>
            <w:r w:rsidRPr="00AF54F6">
              <w:t>100.0</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753621" w:rsidRPr="00AF54F6" w:rsidRDefault="00753621" w:rsidP="001044DB">
            <w:pPr>
              <w:autoSpaceDE w:val="0"/>
              <w:autoSpaceDN w:val="0"/>
              <w:adjustRightInd w:val="0"/>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753621" w:rsidRPr="00AF54F6" w:rsidRDefault="00753621" w:rsidP="001044DB">
            <w:pPr>
              <w:autoSpaceDE w:val="0"/>
              <w:autoSpaceDN w:val="0"/>
              <w:adjustRightInd w:val="0"/>
            </w:pPr>
          </w:p>
        </w:tc>
      </w:tr>
    </w:tbl>
    <w:p w:rsidR="00753621" w:rsidRDefault="00753621">
      <w:pPr>
        <w:spacing w:after="160" w:line="259" w:lineRule="auto"/>
        <w:rPr>
          <w:b/>
          <w:sz w:val="28"/>
          <w:szCs w:val="28"/>
          <w:u w:val="single"/>
        </w:rPr>
      </w:pPr>
    </w:p>
    <w:p w:rsidR="00753621" w:rsidRDefault="00753621" w:rsidP="00924A5F">
      <w:pPr>
        <w:autoSpaceDE w:val="0"/>
        <w:autoSpaceDN w:val="0"/>
        <w:adjustRightInd w:val="0"/>
        <w:rPr>
          <w:b/>
          <w:sz w:val="28"/>
          <w:szCs w:val="28"/>
          <w:u w:val="single"/>
        </w:rPr>
      </w:pPr>
    </w:p>
    <w:p w:rsidR="00753621" w:rsidRDefault="00753621" w:rsidP="00924A5F">
      <w:pPr>
        <w:autoSpaceDE w:val="0"/>
        <w:autoSpaceDN w:val="0"/>
        <w:adjustRightInd w:val="0"/>
        <w:rPr>
          <w:b/>
          <w:sz w:val="28"/>
          <w:szCs w:val="28"/>
          <w:u w:val="single"/>
        </w:rPr>
      </w:pPr>
    </w:p>
    <w:p w:rsidR="00325B39" w:rsidRPr="00C32252" w:rsidRDefault="003E459A" w:rsidP="00924A5F">
      <w:pPr>
        <w:autoSpaceDE w:val="0"/>
        <w:autoSpaceDN w:val="0"/>
        <w:adjustRightInd w:val="0"/>
        <w:rPr>
          <w:b/>
          <w:sz w:val="28"/>
          <w:szCs w:val="28"/>
          <w:u w:val="single"/>
        </w:rPr>
      </w:pPr>
      <w:r w:rsidRPr="00C32252">
        <w:rPr>
          <w:b/>
          <w:sz w:val="28"/>
          <w:szCs w:val="28"/>
          <w:u w:val="single"/>
        </w:rPr>
        <w:t>Results and Analysis</w:t>
      </w:r>
      <w:r w:rsidR="00DD0F9D">
        <w:rPr>
          <w:b/>
          <w:sz w:val="28"/>
          <w:szCs w:val="28"/>
          <w:u w:val="single"/>
        </w:rPr>
        <w:t>_________________________________________________</w:t>
      </w:r>
    </w:p>
    <w:p w:rsidR="0044766C" w:rsidRPr="00C32252" w:rsidRDefault="0044766C" w:rsidP="00924A5F">
      <w:pPr>
        <w:autoSpaceDE w:val="0"/>
        <w:autoSpaceDN w:val="0"/>
        <w:adjustRightInd w:val="0"/>
      </w:pPr>
    </w:p>
    <w:p w:rsidR="0044766C" w:rsidRPr="00C32252" w:rsidRDefault="0044766C" w:rsidP="00924A5F">
      <w:pPr>
        <w:autoSpaceDE w:val="0"/>
        <w:autoSpaceDN w:val="0"/>
        <w:adjustRightInd w:val="0"/>
        <w:rPr>
          <w:b/>
          <w:i/>
          <w:sz w:val="28"/>
          <w:szCs w:val="28"/>
        </w:rPr>
      </w:pPr>
      <w:r w:rsidRPr="00C32252">
        <w:rPr>
          <w:b/>
          <w:i/>
          <w:sz w:val="28"/>
          <w:szCs w:val="28"/>
        </w:rPr>
        <w:lastRenderedPageBreak/>
        <w:t>Fine Experiences</w:t>
      </w:r>
      <w:r w:rsidR="00242E8E" w:rsidRPr="00C32252">
        <w:rPr>
          <w:b/>
          <w:i/>
          <w:sz w:val="28"/>
          <w:szCs w:val="28"/>
        </w:rPr>
        <w:t xml:space="preserve"> and Impact</w:t>
      </w:r>
      <w:r w:rsidRPr="00C32252">
        <w:rPr>
          <w:b/>
          <w:i/>
          <w:sz w:val="28"/>
          <w:szCs w:val="28"/>
        </w:rPr>
        <w:t xml:space="preserve"> over </w:t>
      </w:r>
      <w:r w:rsidR="00016B11" w:rsidRPr="00C32252">
        <w:rPr>
          <w:b/>
          <w:i/>
          <w:sz w:val="28"/>
          <w:szCs w:val="28"/>
        </w:rPr>
        <w:t xml:space="preserve">the </w:t>
      </w:r>
      <w:r w:rsidRPr="00C32252">
        <w:rPr>
          <w:b/>
          <w:i/>
          <w:sz w:val="28"/>
          <w:szCs w:val="28"/>
        </w:rPr>
        <w:t>Past Year</w:t>
      </w:r>
    </w:p>
    <w:p w:rsidR="008D6242" w:rsidRPr="00C32252" w:rsidRDefault="008D6242" w:rsidP="00924A5F">
      <w:pPr>
        <w:autoSpaceDE w:val="0"/>
        <w:autoSpaceDN w:val="0"/>
        <w:adjustRightInd w:val="0"/>
        <w:rPr>
          <w:b/>
          <w:sz w:val="28"/>
          <w:szCs w:val="28"/>
        </w:rPr>
      </w:pPr>
    </w:p>
    <w:p w:rsidR="00EB1A91" w:rsidRDefault="006D5952" w:rsidP="00DD0F9D">
      <w:pPr>
        <w:autoSpaceDE w:val="0"/>
        <w:autoSpaceDN w:val="0"/>
        <w:adjustRightInd w:val="0"/>
        <w:spacing w:line="360" w:lineRule="auto"/>
      </w:pPr>
      <w:r w:rsidRPr="00C32252">
        <w:t>Table 2.1</w:t>
      </w:r>
      <w:r w:rsidR="00EB1A91" w:rsidRPr="00C32252">
        <w:t xml:space="preserve"> shows the</w:t>
      </w:r>
      <w:r w:rsidRPr="00C32252">
        <w:t xml:space="preserve"> types of fines respondents reported receiving</w:t>
      </w:r>
      <w:r w:rsidR="00EB1A91" w:rsidRPr="00C32252">
        <w:t xml:space="preserve"> over t</w:t>
      </w:r>
      <w:r w:rsidRPr="00C32252">
        <w:t>he l</w:t>
      </w:r>
      <w:r w:rsidR="00EB1A91" w:rsidRPr="00C32252">
        <w:t>ast year</w:t>
      </w:r>
      <w:r w:rsidR="009B1A74" w:rsidRPr="00C32252">
        <w:t xml:space="preserve"> (N=317)</w:t>
      </w:r>
      <w:r w:rsidR="00EB1A91" w:rsidRPr="00C32252">
        <w:t>.</w:t>
      </w:r>
      <w:r w:rsidR="00AA5B12">
        <w:t xml:space="preserve"> </w:t>
      </w:r>
      <w:r w:rsidR="00EB1A91" w:rsidRPr="00C32252">
        <w:t xml:space="preserve">The majority of respondents, or 65.7% of cases, reported having received a fine related to fare evasion on </w:t>
      </w:r>
      <w:r w:rsidR="00EB1A91" w:rsidRPr="00C32252">
        <w:lastRenderedPageBreak/>
        <w:t>Calgary Transit property.</w:t>
      </w:r>
      <w:r w:rsidR="00AA5B12">
        <w:t xml:space="preserve"> </w:t>
      </w:r>
      <w:r w:rsidR="00EB1A91" w:rsidRPr="00C32252">
        <w:t>The sec</w:t>
      </w:r>
      <w:r w:rsidR="00A46D67">
        <w:t>ond most frequently reported by</w:t>
      </w:r>
      <w:r w:rsidR="00EB1A91" w:rsidRPr="00C32252">
        <w:t>law fine reported were pet related at 17.5% of cases.</w:t>
      </w:r>
      <w:r w:rsidR="00AA5B12">
        <w:t xml:space="preserve"> </w:t>
      </w:r>
      <w:r w:rsidR="00EB1A91" w:rsidRPr="00C32252">
        <w:t>Next were public intoxication (10.5% of cases) and loitering (10.2% of cases).</w:t>
      </w:r>
      <w:r w:rsidR="00AA5B12">
        <w:t xml:space="preserve"> </w:t>
      </w:r>
      <w:r w:rsidR="00A46D67">
        <w:t>The remaining by</w:t>
      </w:r>
      <w:r w:rsidR="0058305E" w:rsidRPr="00C32252">
        <w:t>law offences reported were re</w:t>
      </w:r>
      <w:r w:rsidR="0058305E" w:rsidRPr="00C32252">
        <w:lastRenderedPageBreak/>
        <w:t>lated to public urination/defection (7.3% of cases), fighting (7.0% of cases), littering (7.0% of cases), Panhandling (6.3% of cases), home maintenance (5.7% of cases), noise (5.1% of cases), spitting (5.0% of cases), graffiti (1.9% of cases).</w:t>
      </w:r>
      <w:r w:rsidR="00AA5B12">
        <w:t xml:space="preserve"> </w:t>
      </w:r>
      <w:r w:rsidR="000A1DB6">
        <w:t xml:space="preserve">In </w:t>
      </w:r>
      <w:r w:rsidR="0058305E" w:rsidRPr="00C32252">
        <w:t xml:space="preserve">9.8% </w:t>
      </w:r>
      <w:r w:rsidR="0058305E" w:rsidRPr="00C32252">
        <w:lastRenderedPageBreak/>
        <w:t xml:space="preserve">of cases, respondents indicated </w:t>
      </w:r>
      <w:r w:rsidR="00365F34" w:rsidRPr="00C32252">
        <w:t>other types of by</w:t>
      </w:r>
      <w:r w:rsidR="0058305E" w:rsidRPr="00C32252">
        <w:t>law fines.</w:t>
      </w:r>
      <w:r w:rsidR="00AA5B12">
        <w:t xml:space="preserve"> </w:t>
      </w:r>
      <w:r w:rsidR="0058305E" w:rsidRPr="00C32252">
        <w:t xml:space="preserve">Examples of these include </w:t>
      </w:r>
      <w:r w:rsidR="009B1A74" w:rsidRPr="00C32252">
        <w:t>jaywalking, parking, and sleeping while on Calgary Transit.</w:t>
      </w:r>
      <w:r w:rsidR="000D1E54" w:rsidRPr="00C32252">
        <w:t xml:space="preserve"> </w:t>
      </w:r>
    </w:p>
    <w:p w:rsidR="00753621" w:rsidRDefault="00753621" w:rsidP="00DD0F9D">
      <w:pPr>
        <w:autoSpaceDE w:val="0"/>
        <w:autoSpaceDN w:val="0"/>
        <w:adjustRightInd w:val="0"/>
        <w:spacing w:line="360" w:lineRule="auto"/>
      </w:pPr>
    </w:p>
    <w:tbl>
      <w:tblPr>
        <w:tblW w:w="7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2"/>
        <w:gridCol w:w="3034"/>
        <w:gridCol w:w="1024"/>
        <w:gridCol w:w="1024"/>
        <w:gridCol w:w="1469"/>
      </w:tblGrid>
      <w:tr w:rsidR="00227E2B" w:rsidRPr="00C32252" w:rsidTr="001E68DA">
        <w:trPr>
          <w:cantSplit/>
        </w:trPr>
        <w:tc>
          <w:tcPr>
            <w:tcW w:w="7683" w:type="dxa"/>
            <w:gridSpan w:val="5"/>
            <w:tcBorders>
              <w:top w:val="nil"/>
              <w:left w:val="nil"/>
              <w:bottom w:val="single" w:sz="4" w:space="0" w:color="auto"/>
              <w:right w:val="nil"/>
            </w:tcBorders>
            <w:shd w:val="clear" w:color="auto" w:fill="FFFFFF"/>
            <w:vAlign w:val="center"/>
          </w:tcPr>
          <w:p w:rsidR="00227E2B" w:rsidRPr="00C32252" w:rsidRDefault="006D5952" w:rsidP="00924A5F">
            <w:pPr>
              <w:autoSpaceDE w:val="0"/>
              <w:autoSpaceDN w:val="0"/>
              <w:adjustRightInd w:val="0"/>
              <w:ind w:left="60" w:right="60"/>
              <w:rPr>
                <w:sz w:val="28"/>
                <w:szCs w:val="28"/>
              </w:rPr>
            </w:pPr>
            <w:r w:rsidRPr="00C32252">
              <w:rPr>
                <w:b/>
                <w:bCs/>
                <w:sz w:val="28"/>
                <w:szCs w:val="28"/>
              </w:rPr>
              <w:t>Table 2.1</w:t>
            </w:r>
            <w:r w:rsidR="00C82E56" w:rsidRPr="00C32252">
              <w:rPr>
                <w:b/>
                <w:bCs/>
                <w:sz w:val="28"/>
                <w:szCs w:val="28"/>
              </w:rPr>
              <w:t xml:space="preserve">: </w:t>
            </w:r>
            <w:r w:rsidR="00227E2B" w:rsidRPr="00C32252">
              <w:rPr>
                <w:b/>
                <w:bCs/>
                <w:sz w:val="28"/>
                <w:szCs w:val="28"/>
              </w:rPr>
              <w:t>Fines Received in Last Year</w:t>
            </w:r>
          </w:p>
        </w:tc>
      </w:tr>
      <w:tr w:rsidR="00227E2B" w:rsidRPr="00C32252" w:rsidTr="001E68DA">
        <w:trPr>
          <w:cantSplit/>
        </w:trPr>
        <w:tc>
          <w:tcPr>
            <w:tcW w:w="4166"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227E2B" w:rsidRPr="00C32252" w:rsidRDefault="00227E2B" w:rsidP="00924A5F">
            <w:pPr>
              <w:autoSpaceDE w:val="0"/>
              <w:autoSpaceDN w:val="0"/>
              <w:adjustRightInd w:val="0"/>
            </w:pPr>
          </w:p>
        </w:tc>
        <w:tc>
          <w:tcPr>
            <w:tcW w:w="2048" w:type="dxa"/>
            <w:gridSpan w:val="2"/>
            <w:tcBorders>
              <w:top w:val="single" w:sz="4" w:space="0" w:color="auto"/>
              <w:left w:val="single" w:sz="4" w:space="0" w:color="auto"/>
              <w:bottom w:val="nil"/>
              <w:right w:val="single" w:sz="4" w:space="0" w:color="auto"/>
            </w:tcBorders>
            <w:shd w:val="clear" w:color="auto" w:fill="FFFFFF"/>
            <w:vAlign w:val="bottom"/>
          </w:tcPr>
          <w:p w:rsidR="00227E2B" w:rsidRPr="00C32252" w:rsidRDefault="00227E2B" w:rsidP="00924A5F">
            <w:pPr>
              <w:autoSpaceDE w:val="0"/>
              <w:autoSpaceDN w:val="0"/>
              <w:adjustRightInd w:val="0"/>
              <w:ind w:left="60" w:right="60"/>
              <w:jc w:val="center"/>
            </w:pPr>
            <w:r w:rsidRPr="00C32252">
              <w:t>Responses</w:t>
            </w:r>
          </w:p>
        </w:tc>
        <w:tc>
          <w:tcPr>
            <w:tcW w:w="1469" w:type="dxa"/>
            <w:vMerge w:val="restart"/>
            <w:tcBorders>
              <w:top w:val="single" w:sz="4" w:space="0" w:color="auto"/>
              <w:left w:val="single" w:sz="4" w:space="0" w:color="auto"/>
              <w:bottom w:val="nil"/>
              <w:right w:val="single" w:sz="4" w:space="0" w:color="auto"/>
            </w:tcBorders>
            <w:shd w:val="clear" w:color="auto" w:fill="FFFFFF"/>
            <w:vAlign w:val="bottom"/>
          </w:tcPr>
          <w:p w:rsidR="00227E2B" w:rsidRPr="00C32252" w:rsidRDefault="00227E2B" w:rsidP="00924A5F">
            <w:pPr>
              <w:autoSpaceDE w:val="0"/>
              <w:autoSpaceDN w:val="0"/>
              <w:adjustRightInd w:val="0"/>
              <w:ind w:left="60" w:right="60"/>
              <w:jc w:val="center"/>
            </w:pPr>
            <w:r w:rsidRPr="00C32252">
              <w:t>Percent of Cases</w:t>
            </w:r>
          </w:p>
        </w:tc>
      </w:tr>
      <w:tr w:rsidR="00227E2B" w:rsidRPr="00C32252" w:rsidTr="001E68DA">
        <w:trPr>
          <w:cantSplit/>
          <w:trHeight w:val="298"/>
        </w:trPr>
        <w:tc>
          <w:tcPr>
            <w:tcW w:w="4166" w:type="dxa"/>
            <w:gridSpan w:val="2"/>
            <w:vMerge/>
            <w:tcBorders>
              <w:top w:val="nil"/>
              <w:left w:val="single" w:sz="4" w:space="0" w:color="auto"/>
              <w:bottom w:val="nil"/>
              <w:right w:val="single" w:sz="4" w:space="0" w:color="auto"/>
            </w:tcBorders>
            <w:shd w:val="clear" w:color="auto" w:fill="FFFFFF"/>
            <w:vAlign w:val="bottom"/>
          </w:tcPr>
          <w:p w:rsidR="00227E2B" w:rsidRPr="00C32252" w:rsidRDefault="00227E2B" w:rsidP="00924A5F">
            <w:pPr>
              <w:autoSpaceDE w:val="0"/>
              <w:autoSpaceDN w:val="0"/>
              <w:adjustRightInd w:val="0"/>
            </w:pPr>
          </w:p>
        </w:tc>
        <w:tc>
          <w:tcPr>
            <w:tcW w:w="1024" w:type="dxa"/>
            <w:tcBorders>
              <w:top w:val="single" w:sz="4" w:space="0" w:color="auto"/>
              <w:left w:val="single" w:sz="4" w:space="0" w:color="auto"/>
              <w:bottom w:val="single" w:sz="8" w:space="0" w:color="152935"/>
              <w:right w:val="single" w:sz="8" w:space="0" w:color="E0E0E0"/>
            </w:tcBorders>
            <w:shd w:val="clear" w:color="auto" w:fill="FFFFFF"/>
            <w:vAlign w:val="bottom"/>
          </w:tcPr>
          <w:p w:rsidR="00227E2B" w:rsidRPr="00C32252" w:rsidRDefault="00227E2B" w:rsidP="00924A5F">
            <w:pPr>
              <w:autoSpaceDE w:val="0"/>
              <w:autoSpaceDN w:val="0"/>
              <w:adjustRightInd w:val="0"/>
              <w:ind w:left="60" w:right="60"/>
              <w:jc w:val="center"/>
            </w:pPr>
            <w:r w:rsidRPr="00C32252">
              <w:t>N</w:t>
            </w:r>
          </w:p>
        </w:tc>
        <w:tc>
          <w:tcPr>
            <w:tcW w:w="1024" w:type="dxa"/>
            <w:tcBorders>
              <w:top w:val="single" w:sz="4" w:space="0" w:color="auto"/>
              <w:left w:val="single" w:sz="8" w:space="0" w:color="E0E0E0"/>
              <w:bottom w:val="single" w:sz="8" w:space="0" w:color="152935"/>
              <w:right w:val="single" w:sz="4" w:space="0" w:color="auto"/>
            </w:tcBorders>
            <w:shd w:val="clear" w:color="auto" w:fill="FFFFFF"/>
            <w:vAlign w:val="bottom"/>
          </w:tcPr>
          <w:p w:rsidR="00227E2B" w:rsidRPr="00C32252" w:rsidRDefault="00227E2B" w:rsidP="00924A5F">
            <w:pPr>
              <w:autoSpaceDE w:val="0"/>
              <w:autoSpaceDN w:val="0"/>
              <w:adjustRightInd w:val="0"/>
              <w:ind w:left="60" w:right="60"/>
              <w:jc w:val="center"/>
            </w:pPr>
            <w:r w:rsidRPr="00C32252">
              <w:t>Percent</w:t>
            </w:r>
          </w:p>
        </w:tc>
        <w:tc>
          <w:tcPr>
            <w:tcW w:w="1469" w:type="dxa"/>
            <w:vMerge/>
            <w:tcBorders>
              <w:top w:val="nil"/>
              <w:left w:val="single" w:sz="4" w:space="0" w:color="auto"/>
              <w:bottom w:val="nil"/>
              <w:right w:val="single" w:sz="4" w:space="0" w:color="auto"/>
            </w:tcBorders>
            <w:shd w:val="clear" w:color="auto" w:fill="FFFFFF"/>
            <w:vAlign w:val="bottom"/>
          </w:tcPr>
          <w:p w:rsidR="00227E2B" w:rsidRPr="00C32252" w:rsidRDefault="00227E2B" w:rsidP="00924A5F">
            <w:pPr>
              <w:autoSpaceDE w:val="0"/>
              <w:autoSpaceDN w:val="0"/>
              <w:adjustRightInd w:val="0"/>
            </w:pPr>
          </w:p>
        </w:tc>
      </w:tr>
      <w:tr w:rsidR="00227E2B" w:rsidRPr="00C32252" w:rsidTr="001E68DA">
        <w:trPr>
          <w:cantSplit/>
        </w:trPr>
        <w:tc>
          <w:tcPr>
            <w:tcW w:w="1132" w:type="dxa"/>
            <w:vMerge w:val="restart"/>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ind w:left="60" w:right="60"/>
              <w:rPr>
                <w:b/>
              </w:rPr>
            </w:pPr>
            <w:r w:rsidRPr="00C32252">
              <w:rPr>
                <w:b/>
              </w:rPr>
              <w:t>Fine type</w:t>
            </w:r>
            <w:r w:rsidRPr="00C32252">
              <w:rPr>
                <w:b/>
                <w:vertAlign w:val="superscript"/>
              </w:rPr>
              <w:t>a</w:t>
            </w:r>
          </w:p>
        </w:tc>
        <w:tc>
          <w:tcPr>
            <w:tcW w:w="3034" w:type="dxa"/>
            <w:tcBorders>
              <w:top w:val="single" w:sz="8" w:space="0" w:color="152935"/>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Pet fines</w:t>
            </w:r>
          </w:p>
        </w:tc>
        <w:tc>
          <w:tcPr>
            <w:tcW w:w="1024" w:type="dxa"/>
            <w:tcBorders>
              <w:top w:val="single" w:sz="8" w:space="0" w:color="152935"/>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55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11.0%</w:t>
            </w:r>
          </w:p>
        </w:tc>
        <w:tc>
          <w:tcPr>
            <w:tcW w:w="1469" w:type="dxa"/>
            <w:tcBorders>
              <w:top w:val="single" w:sz="8" w:space="0" w:color="152935"/>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17.5%</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Graffiti</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1.2%</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1.9%</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Home maintenance</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18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3.6%</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5.7%</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Littering</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4.4%</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7.0%</w:t>
            </w:r>
          </w:p>
        </w:tc>
      </w:tr>
      <w:tr w:rsidR="00227E2B" w:rsidRPr="00C32252" w:rsidTr="001E68DA">
        <w:trPr>
          <w:cantSplit/>
          <w:trHeight w:val="314"/>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Noise</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16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3.2%</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5.1%</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Panhandling</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20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4.0%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6.3%</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Fighting</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4.4%</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7.0%</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Public urination/defecation</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23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4.6%</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7.3%</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Public intoxication</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33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6.6%</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10.5%</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Spitting</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17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3.4%</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5.4%</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Loitering</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32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6.4%</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10.2%</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Transit</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207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41.2%</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65.7%</w:t>
            </w:r>
          </w:p>
        </w:tc>
      </w:tr>
      <w:tr w:rsidR="00227E2B" w:rsidRPr="00C32252" w:rsidTr="001E68DA">
        <w:trPr>
          <w:cantSplit/>
        </w:trPr>
        <w:tc>
          <w:tcPr>
            <w:tcW w:w="1132" w:type="dxa"/>
            <w:vMerge/>
            <w:tcBorders>
              <w:top w:val="single" w:sz="8" w:space="0" w:color="152935"/>
              <w:left w:val="single" w:sz="4" w:space="0" w:color="auto"/>
              <w:bottom w:val="single" w:sz="8" w:space="0" w:color="AEAEAE"/>
              <w:right w:val="nil"/>
            </w:tcBorders>
            <w:shd w:val="clear" w:color="auto" w:fill="E0E0E0"/>
          </w:tcPr>
          <w:p w:rsidR="00227E2B" w:rsidRPr="00C32252" w:rsidRDefault="00227E2B" w:rsidP="00924A5F">
            <w:pPr>
              <w:autoSpaceDE w:val="0"/>
              <w:autoSpaceDN w:val="0"/>
              <w:adjustRightInd w:val="0"/>
              <w:rPr>
                <w:b/>
              </w:rPr>
            </w:pPr>
          </w:p>
        </w:tc>
        <w:tc>
          <w:tcPr>
            <w:tcW w:w="3034" w:type="dxa"/>
            <w:tcBorders>
              <w:top w:val="single" w:sz="8" w:space="0" w:color="AEAEAE"/>
              <w:left w:val="nil"/>
              <w:bottom w:val="single" w:sz="8" w:space="0" w:color="AEAEAE"/>
              <w:right w:val="single" w:sz="4" w:space="0" w:color="auto"/>
            </w:tcBorders>
            <w:shd w:val="clear" w:color="auto" w:fill="E0E0E0"/>
          </w:tcPr>
          <w:p w:rsidR="00227E2B" w:rsidRPr="00C32252" w:rsidRDefault="00227E2B" w:rsidP="00924A5F">
            <w:pPr>
              <w:autoSpaceDE w:val="0"/>
              <w:autoSpaceDN w:val="0"/>
              <w:adjustRightInd w:val="0"/>
              <w:ind w:left="60" w:right="60"/>
              <w:rPr>
                <w:b/>
              </w:rPr>
            </w:pPr>
            <w:r w:rsidRPr="00C32252">
              <w:rPr>
                <w:b/>
              </w:rPr>
              <w:t>Other bylaw</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31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6.2%</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9.8%</w:t>
            </w:r>
          </w:p>
        </w:tc>
      </w:tr>
      <w:tr w:rsidR="00227E2B" w:rsidRPr="00C32252" w:rsidTr="001E68DA">
        <w:trPr>
          <w:cantSplit/>
        </w:trPr>
        <w:tc>
          <w:tcPr>
            <w:tcW w:w="4166" w:type="dxa"/>
            <w:gridSpan w:val="2"/>
            <w:tcBorders>
              <w:top w:val="single" w:sz="8" w:space="0" w:color="AEAEAE"/>
              <w:left w:val="single" w:sz="4" w:space="0" w:color="auto"/>
              <w:bottom w:val="single" w:sz="4" w:space="0" w:color="auto"/>
              <w:right w:val="single" w:sz="4" w:space="0" w:color="auto"/>
            </w:tcBorders>
            <w:shd w:val="clear" w:color="auto" w:fill="E0E0E0"/>
          </w:tcPr>
          <w:p w:rsidR="00227E2B" w:rsidRPr="00C32252" w:rsidRDefault="00227E2B" w:rsidP="00924A5F">
            <w:pPr>
              <w:autoSpaceDE w:val="0"/>
              <w:autoSpaceDN w:val="0"/>
              <w:adjustRightInd w:val="0"/>
              <w:ind w:left="60" w:right="60"/>
            </w:pPr>
            <w:r w:rsidRPr="00C32252">
              <w:t>Total</w:t>
            </w:r>
          </w:p>
        </w:tc>
        <w:tc>
          <w:tcPr>
            <w:tcW w:w="1024" w:type="dxa"/>
            <w:tcBorders>
              <w:top w:val="single" w:sz="8" w:space="0" w:color="AEAEAE"/>
              <w:left w:val="single" w:sz="4" w:space="0" w:color="auto"/>
              <w:bottom w:val="single" w:sz="4" w:space="0" w:color="auto"/>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502</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227E2B" w:rsidRPr="00C32252" w:rsidRDefault="00227E2B" w:rsidP="00924A5F">
            <w:pPr>
              <w:autoSpaceDE w:val="0"/>
              <w:autoSpaceDN w:val="0"/>
              <w:adjustRightInd w:val="0"/>
              <w:ind w:left="60" w:right="60"/>
              <w:jc w:val="right"/>
            </w:pPr>
            <w:r w:rsidRPr="00C32252">
              <w:t>100.0%</w:t>
            </w:r>
          </w:p>
        </w:tc>
        <w:tc>
          <w:tcPr>
            <w:tcW w:w="1469" w:type="dxa"/>
            <w:tcBorders>
              <w:top w:val="single" w:sz="8" w:space="0" w:color="AEAEAE"/>
              <w:left w:val="single" w:sz="8" w:space="0" w:color="E0E0E0"/>
              <w:bottom w:val="single" w:sz="4" w:space="0" w:color="auto"/>
              <w:right w:val="single" w:sz="4" w:space="0" w:color="auto"/>
            </w:tcBorders>
            <w:shd w:val="clear" w:color="auto" w:fill="FFFFFF"/>
          </w:tcPr>
          <w:p w:rsidR="00227E2B" w:rsidRPr="00C32252" w:rsidRDefault="00227E2B" w:rsidP="00924A5F">
            <w:pPr>
              <w:autoSpaceDE w:val="0"/>
              <w:autoSpaceDN w:val="0"/>
              <w:adjustRightInd w:val="0"/>
              <w:ind w:left="60" w:right="60"/>
              <w:jc w:val="right"/>
            </w:pPr>
            <w:r w:rsidRPr="00C32252">
              <w:t>159.4%</w:t>
            </w:r>
          </w:p>
        </w:tc>
      </w:tr>
      <w:tr w:rsidR="00227E2B" w:rsidRPr="00C32252" w:rsidTr="001E68DA">
        <w:trPr>
          <w:cantSplit/>
        </w:trPr>
        <w:tc>
          <w:tcPr>
            <w:tcW w:w="7683" w:type="dxa"/>
            <w:gridSpan w:val="5"/>
            <w:tcBorders>
              <w:top w:val="single" w:sz="4" w:space="0" w:color="auto"/>
              <w:left w:val="nil"/>
              <w:bottom w:val="nil"/>
              <w:right w:val="nil"/>
            </w:tcBorders>
            <w:shd w:val="clear" w:color="auto" w:fill="FFFFFF"/>
          </w:tcPr>
          <w:p w:rsidR="00227E2B" w:rsidRPr="00C32252" w:rsidRDefault="00227E2B" w:rsidP="00924A5F">
            <w:pPr>
              <w:autoSpaceDE w:val="0"/>
              <w:autoSpaceDN w:val="0"/>
              <w:adjustRightInd w:val="0"/>
              <w:ind w:left="60" w:right="60"/>
            </w:pPr>
            <w:r w:rsidRPr="00C32252">
              <w:t>a. Group</w:t>
            </w:r>
          </w:p>
        </w:tc>
      </w:tr>
    </w:tbl>
    <w:p w:rsidR="008A0589" w:rsidRPr="00C32252" w:rsidRDefault="008A0589" w:rsidP="001E68DA">
      <w:pPr>
        <w:autoSpaceDE w:val="0"/>
        <w:autoSpaceDN w:val="0"/>
        <w:adjustRightInd w:val="0"/>
        <w:spacing w:line="360" w:lineRule="auto"/>
      </w:pPr>
    </w:p>
    <w:p w:rsidR="005B658D" w:rsidRDefault="00242E8E" w:rsidP="001E68DA">
      <w:pPr>
        <w:autoSpaceDE w:val="0"/>
        <w:autoSpaceDN w:val="0"/>
        <w:adjustRightInd w:val="0"/>
        <w:spacing w:line="360" w:lineRule="auto"/>
      </w:pPr>
      <w:r w:rsidRPr="0004486F">
        <w:t>Respondents were asked about their ability to pay for the fines they had received over the past year</w:t>
      </w:r>
      <w:r w:rsidR="00581BA5">
        <w:t xml:space="preserve"> (see Table 2.2)</w:t>
      </w:r>
      <w:r w:rsidRPr="0004486F">
        <w:t>.</w:t>
      </w:r>
      <w:r w:rsidR="00AA5B12">
        <w:t xml:space="preserve"> </w:t>
      </w:r>
      <w:r w:rsidRPr="0004486F">
        <w:t xml:space="preserve">The majority of respondents indicated that they were unable to pay for the </w:t>
      </w:r>
      <w:r w:rsidRPr="0004486F">
        <w:lastRenderedPageBreak/>
        <w:t>fines they had received.</w:t>
      </w:r>
      <w:r w:rsidR="00AA5B12">
        <w:t xml:space="preserve"> </w:t>
      </w:r>
      <w:r w:rsidRPr="0004486F">
        <w:t>58.4% of respondents reported being unable to pay their fines while 41.6% indicated they were able to pay their fines.</w:t>
      </w:r>
    </w:p>
    <w:p w:rsidR="009B1A74" w:rsidRPr="00C32252" w:rsidRDefault="009B1A74" w:rsidP="001E68DA">
      <w:pPr>
        <w:autoSpaceDE w:val="0"/>
        <w:autoSpaceDN w:val="0"/>
        <w:adjustRightInd w:val="0"/>
        <w:spacing w:line="360" w:lineRule="auto"/>
      </w:pP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553"/>
        <w:gridCol w:w="2140"/>
      </w:tblGrid>
      <w:tr w:rsidR="005B658D" w:rsidRPr="00C32252" w:rsidTr="001E68DA">
        <w:trPr>
          <w:cantSplit/>
        </w:trPr>
        <w:tc>
          <w:tcPr>
            <w:tcW w:w="7746" w:type="dxa"/>
            <w:gridSpan w:val="6"/>
            <w:tcBorders>
              <w:top w:val="nil"/>
              <w:left w:val="nil"/>
              <w:bottom w:val="single" w:sz="4" w:space="0" w:color="auto"/>
              <w:right w:val="nil"/>
            </w:tcBorders>
            <w:shd w:val="clear" w:color="auto" w:fill="FFFFFF"/>
            <w:vAlign w:val="center"/>
          </w:tcPr>
          <w:p w:rsidR="005B658D" w:rsidRPr="00C32252" w:rsidRDefault="00242E8E" w:rsidP="00924A5F">
            <w:pPr>
              <w:autoSpaceDE w:val="0"/>
              <w:autoSpaceDN w:val="0"/>
              <w:adjustRightInd w:val="0"/>
              <w:ind w:left="60" w:right="60"/>
              <w:rPr>
                <w:sz w:val="28"/>
                <w:szCs w:val="28"/>
              </w:rPr>
            </w:pPr>
            <w:r w:rsidRPr="00C32252">
              <w:rPr>
                <w:b/>
                <w:bCs/>
                <w:sz w:val="28"/>
                <w:szCs w:val="28"/>
              </w:rPr>
              <w:t>Table 2.2 Ability</w:t>
            </w:r>
            <w:r w:rsidR="005B658D" w:rsidRPr="00C32252">
              <w:rPr>
                <w:b/>
                <w:bCs/>
                <w:sz w:val="28"/>
                <w:szCs w:val="28"/>
              </w:rPr>
              <w:t xml:space="preserve"> to pay </w:t>
            </w:r>
            <w:r w:rsidRPr="00C32252">
              <w:rPr>
                <w:b/>
                <w:bCs/>
                <w:sz w:val="28"/>
                <w:szCs w:val="28"/>
              </w:rPr>
              <w:t xml:space="preserve">for </w:t>
            </w:r>
            <w:r w:rsidR="005B658D" w:rsidRPr="00C32252">
              <w:rPr>
                <w:b/>
                <w:bCs/>
                <w:sz w:val="28"/>
                <w:szCs w:val="28"/>
              </w:rPr>
              <w:t>fines</w:t>
            </w:r>
            <w:r w:rsidRPr="00C32252">
              <w:rPr>
                <w:b/>
                <w:bCs/>
                <w:sz w:val="28"/>
                <w:szCs w:val="28"/>
              </w:rPr>
              <w:t xml:space="preserve"> received over the last year</w:t>
            </w:r>
          </w:p>
        </w:tc>
      </w:tr>
      <w:tr w:rsidR="005B658D" w:rsidRPr="00C32252" w:rsidTr="001E68DA">
        <w:trPr>
          <w:cantSplit/>
        </w:trPr>
        <w:tc>
          <w:tcPr>
            <w:tcW w:w="186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pPr>
          </w:p>
        </w:tc>
        <w:tc>
          <w:tcPr>
            <w:tcW w:w="1163"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Frequency</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2252" w:rsidRDefault="005B658D" w:rsidP="00924A5F">
            <w:pPr>
              <w:autoSpaceDE w:val="0"/>
              <w:autoSpaceDN w:val="0"/>
              <w:adjustRightInd w:val="0"/>
              <w:ind w:left="60" w:right="60"/>
              <w:jc w:val="center"/>
            </w:pPr>
            <w:r w:rsidRPr="00C32252">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pPr>
            <w:r w:rsidRPr="00C32252">
              <w:t>Cumulative Percent</w:t>
            </w:r>
          </w:p>
        </w:tc>
      </w:tr>
      <w:tr w:rsidR="005B658D" w:rsidRPr="00C32252" w:rsidTr="001E68DA">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917" w:type="dxa"/>
            <w:tcBorders>
              <w:top w:val="single" w:sz="8" w:space="0" w:color="152935"/>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Yes</w:t>
            </w:r>
          </w:p>
        </w:tc>
        <w:tc>
          <w:tcPr>
            <w:tcW w:w="1163" w:type="dxa"/>
            <w:tcBorders>
              <w:top w:val="single" w:sz="8" w:space="0" w:color="152935"/>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226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54.2</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58.4</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58.4</w:t>
            </w:r>
          </w:p>
        </w:tc>
      </w:tr>
      <w:tr w:rsidR="005B658D" w:rsidRPr="00C32252" w:rsidTr="001E68DA">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No</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161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38.6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2252" w:rsidRDefault="005B658D" w:rsidP="00924A5F">
            <w:pPr>
              <w:autoSpaceDE w:val="0"/>
              <w:autoSpaceDN w:val="0"/>
              <w:adjustRightInd w:val="0"/>
              <w:ind w:left="60" w:right="60"/>
              <w:jc w:val="right"/>
            </w:pPr>
            <w:r w:rsidRPr="00C32252">
              <w:t>100.0</w:t>
            </w:r>
          </w:p>
        </w:tc>
      </w:tr>
      <w:tr w:rsidR="005B658D" w:rsidRPr="00C32252" w:rsidTr="001E68DA">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387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92.8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5B658D" w:rsidRPr="00C32252" w:rsidTr="001E68DA">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C32252" w:rsidRDefault="005B658D" w:rsidP="00924A5F">
            <w:pPr>
              <w:autoSpaceDE w:val="0"/>
              <w:autoSpaceDN w:val="0"/>
              <w:adjustRightInd w:val="0"/>
              <w:ind w:left="60" w:right="60"/>
            </w:pPr>
            <w:r w:rsidRPr="00C32252">
              <w:t>Missing</w:t>
            </w:r>
          </w:p>
        </w:tc>
        <w:tc>
          <w:tcPr>
            <w:tcW w:w="917" w:type="dxa"/>
            <w:tcBorders>
              <w:top w:val="single" w:sz="8" w:space="0" w:color="AEAEAE"/>
              <w:left w:val="nil"/>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7.2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2252" w:rsidRDefault="005B658D" w:rsidP="00924A5F">
            <w:pPr>
              <w:autoSpaceDE w:val="0"/>
              <w:autoSpaceDN w:val="0"/>
              <w:adjustRightInd w:val="0"/>
            </w:pPr>
          </w:p>
        </w:tc>
      </w:tr>
      <w:tr w:rsidR="005B658D" w:rsidRPr="00C32252" w:rsidTr="001E68DA">
        <w:trPr>
          <w:cantSplit/>
        </w:trPr>
        <w:tc>
          <w:tcPr>
            <w:tcW w:w="186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C32252" w:rsidRDefault="005B658D" w:rsidP="00924A5F">
            <w:pPr>
              <w:autoSpaceDE w:val="0"/>
              <w:autoSpaceDN w:val="0"/>
              <w:adjustRightInd w:val="0"/>
              <w:ind w:left="60" w:right="60"/>
            </w:pPr>
            <w:r w:rsidRPr="00C32252">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C32252" w:rsidRDefault="005B658D" w:rsidP="00924A5F">
            <w:pPr>
              <w:autoSpaceDE w:val="0"/>
              <w:autoSpaceDN w:val="0"/>
              <w:adjustRightInd w:val="0"/>
              <w:ind w:left="60" w:right="60"/>
              <w:jc w:val="right"/>
            </w:pPr>
            <w:r w:rsidRPr="00C32252">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C32252"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C32252" w:rsidRDefault="005B658D" w:rsidP="00924A5F">
            <w:pPr>
              <w:autoSpaceDE w:val="0"/>
              <w:autoSpaceDN w:val="0"/>
              <w:adjustRightInd w:val="0"/>
            </w:pPr>
          </w:p>
        </w:tc>
      </w:tr>
    </w:tbl>
    <w:p w:rsidR="00227E2B" w:rsidRDefault="00227E2B" w:rsidP="001E68DA">
      <w:pPr>
        <w:autoSpaceDE w:val="0"/>
        <w:autoSpaceDN w:val="0"/>
        <w:adjustRightInd w:val="0"/>
        <w:spacing w:line="360" w:lineRule="auto"/>
      </w:pPr>
    </w:p>
    <w:p w:rsidR="001E68DA" w:rsidRDefault="001E68DA" w:rsidP="001E68DA">
      <w:pPr>
        <w:autoSpaceDE w:val="0"/>
        <w:autoSpaceDN w:val="0"/>
        <w:adjustRightInd w:val="0"/>
        <w:spacing w:line="360" w:lineRule="auto"/>
        <w:ind w:left="60" w:right="60"/>
        <w:rPr>
          <w:bCs/>
        </w:rPr>
      </w:pPr>
      <w:r w:rsidRPr="0004486F">
        <w:rPr>
          <w:bCs/>
        </w:rPr>
        <w:lastRenderedPageBreak/>
        <w:t>In order to understand the impact of owning fines on respondents, each was asked to report what, if any, impact being fined and owing fines had on their lives.</w:t>
      </w:r>
      <w:r>
        <w:rPr>
          <w:bCs/>
        </w:rPr>
        <w:t xml:space="preserve"> </w:t>
      </w:r>
      <w:r w:rsidRPr="0004486F">
        <w:rPr>
          <w:bCs/>
        </w:rPr>
        <w:t>Table 2.3 presents each of the types of impacts respondents reported.</w:t>
      </w:r>
      <w:r>
        <w:rPr>
          <w:bCs/>
        </w:rPr>
        <w:t xml:space="preserve"> It should be noted that respondents were able to </w:t>
      </w:r>
      <w:r>
        <w:rPr>
          <w:bCs/>
        </w:rPr>
        <w:lastRenderedPageBreak/>
        <w:t>list multiple impacts and all are included. For those reporting impacts, 74.9% of cases reported experiencing stress as a result of the fines received. The next most frequently reported impact was a warrant issued for arrest (34.8% of cases). A non-triv</w:t>
      </w:r>
      <w:r>
        <w:rPr>
          <w:bCs/>
        </w:rPr>
        <w:lastRenderedPageBreak/>
        <w:t>ial number of respondents reported spending time in a correctional facility (18.3% of cases). Respondents also indicated impacts on employment with 26.7% having missed work or being late to work (21.6%).</w:t>
      </w:r>
    </w:p>
    <w:p w:rsidR="001E68DA" w:rsidRPr="00C32252" w:rsidRDefault="001E68DA" w:rsidP="001E68DA">
      <w:pPr>
        <w:autoSpaceDE w:val="0"/>
        <w:autoSpaceDN w:val="0"/>
        <w:adjustRightInd w:val="0"/>
        <w:spacing w:line="360" w:lineRule="auto"/>
      </w:pPr>
    </w:p>
    <w:p w:rsidR="00753621" w:rsidRDefault="00753621">
      <w:r>
        <w:br w:type="page"/>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4463"/>
        <w:gridCol w:w="1024"/>
        <w:gridCol w:w="1024"/>
        <w:gridCol w:w="1469"/>
      </w:tblGrid>
      <w:tr w:rsidR="00C32252" w:rsidRPr="00C32252" w:rsidTr="00753621">
        <w:trPr>
          <w:cantSplit/>
        </w:trPr>
        <w:tc>
          <w:tcPr>
            <w:tcW w:w="9420" w:type="dxa"/>
            <w:gridSpan w:val="5"/>
            <w:tcBorders>
              <w:top w:val="nil"/>
              <w:left w:val="nil"/>
              <w:bottom w:val="single" w:sz="4" w:space="0" w:color="auto"/>
              <w:right w:val="nil"/>
            </w:tcBorders>
            <w:shd w:val="clear" w:color="auto" w:fill="FFFFFF"/>
            <w:vAlign w:val="center"/>
          </w:tcPr>
          <w:p w:rsidR="00227E2B" w:rsidRPr="00C32252" w:rsidRDefault="003C76E0" w:rsidP="00924A5F">
            <w:pPr>
              <w:autoSpaceDE w:val="0"/>
              <w:autoSpaceDN w:val="0"/>
              <w:adjustRightInd w:val="0"/>
              <w:ind w:left="60" w:right="60"/>
              <w:rPr>
                <w:sz w:val="28"/>
                <w:szCs w:val="28"/>
              </w:rPr>
            </w:pPr>
            <w:r>
              <w:rPr>
                <w:b/>
                <w:bCs/>
                <w:sz w:val="28"/>
                <w:szCs w:val="28"/>
              </w:rPr>
              <w:lastRenderedPageBreak/>
              <w:t xml:space="preserve">Table </w:t>
            </w:r>
            <w:r w:rsidR="00C32252" w:rsidRPr="00C32252">
              <w:rPr>
                <w:b/>
                <w:bCs/>
                <w:sz w:val="28"/>
                <w:szCs w:val="28"/>
              </w:rPr>
              <w:t xml:space="preserve">2.3 </w:t>
            </w:r>
            <w:r w:rsidR="00227E2B" w:rsidRPr="00C32252">
              <w:rPr>
                <w:b/>
                <w:bCs/>
                <w:sz w:val="28"/>
                <w:szCs w:val="28"/>
              </w:rPr>
              <w:t xml:space="preserve">Impact of Owing Fines </w:t>
            </w:r>
          </w:p>
        </w:tc>
      </w:tr>
      <w:tr w:rsidR="00C32252" w:rsidRPr="00C32252" w:rsidTr="00753621">
        <w:trPr>
          <w:cantSplit/>
        </w:trPr>
        <w:tc>
          <w:tcPr>
            <w:tcW w:w="5903"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227E2B" w:rsidRPr="00E152A8" w:rsidRDefault="00227E2B" w:rsidP="00924A5F">
            <w:pPr>
              <w:autoSpaceDE w:val="0"/>
              <w:autoSpaceDN w:val="0"/>
              <w:adjustRightInd w:val="0"/>
            </w:pPr>
          </w:p>
        </w:tc>
        <w:tc>
          <w:tcPr>
            <w:tcW w:w="2048" w:type="dxa"/>
            <w:gridSpan w:val="2"/>
            <w:tcBorders>
              <w:top w:val="single" w:sz="4" w:space="0" w:color="auto"/>
              <w:left w:val="single" w:sz="4" w:space="0" w:color="auto"/>
              <w:bottom w:val="nil"/>
              <w:right w:val="single" w:sz="4" w:space="0" w:color="auto"/>
            </w:tcBorders>
            <w:shd w:val="clear" w:color="auto" w:fill="FFFFFF"/>
            <w:vAlign w:val="bottom"/>
          </w:tcPr>
          <w:p w:rsidR="00227E2B" w:rsidRPr="00E152A8" w:rsidRDefault="00227E2B" w:rsidP="00924A5F">
            <w:pPr>
              <w:autoSpaceDE w:val="0"/>
              <w:autoSpaceDN w:val="0"/>
              <w:adjustRightInd w:val="0"/>
              <w:ind w:left="60" w:right="60"/>
              <w:jc w:val="center"/>
            </w:pPr>
            <w:r w:rsidRPr="00E152A8">
              <w:t>Responses</w:t>
            </w:r>
          </w:p>
        </w:tc>
        <w:tc>
          <w:tcPr>
            <w:tcW w:w="1469" w:type="dxa"/>
            <w:vMerge w:val="restart"/>
            <w:tcBorders>
              <w:top w:val="single" w:sz="4" w:space="0" w:color="auto"/>
              <w:left w:val="single" w:sz="4" w:space="0" w:color="auto"/>
              <w:bottom w:val="nil"/>
              <w:right w:val="single" w:sz="4" w:space="0" w:color="auto"/>
            </w:tcBorders>
            <w:shd w:val="clear" w:color="auto" w:fill="FFFFFF"/>
            <w:vAlign w:val="bottom"/>
          </w:tcPr>
          <w:p w:rsidR="00227E2B" w:rsidRPr="00E152A8" w:rsidRDefault="00227E2B" w:rsidP="00924A5F">
            <w:pPr>
              <w:autoSpaceDE w:val="0"/>
              <w:autoSpaceDN w:val="0"/>
              <w:adjustRightInd w:val="0"/>
              <w:ind w:left="60" w:right="60"/>
              <w:jc w:val="center"/>
            </w:pPr>
            <w:r w:rsidRPr="00E152A8">
              <w:t>Percent of Cases</w:t>
            </w:r>
          </w:p>
        </w:tc>
      </w:tr>
      <w:tr w:rsidR="00C32252" w:rsidRPr="00C32252" w:rsidTr="00753621">
        <w:trPr>
          <w:cantSplit/>
          <w:trHeight w:val="87"/>
        </w:trPr>
        <w:tc>
          <w:tcPr>
            <w:tcW w:w="5903" w:type="dxa"/>
            <w:gridSpan w:val="2"/>
            <w:vMerge/>
            <w:tcBorders>
              <w:top w:val="nil"/>
              <w:left w:val="single" w:sz="4" w:space="0" w:color="auto"/>
              <w:bottom w:val="nil"/>
              <w:right w:val="single" w:sz="4" w:space="0" w:color="auto"/>
            </w:tcBorders>
            <w:shd w:val="clear" w:color="auto" w:fill="FFFFFF"/>
            <w:vAlign w:val="bottom"/>
          </w:tcPr>
          <w:p w:rsidR="00227E2B" w:rsidRPr="00E152A8" w:rsidRDefault="00227E2B" w:rsidP="00924A5F">
            <w:pPr>
              <w:autoSpaceDE w:val="0"/>
              <w:autoSpaceDN w:val="0"/>
              <w:adjustRightInd w:val="0"/>
            </w:pPr>
          </w:p>
        </w:tc>
        <w:tc>
          <w:tcPr>
            <w:tcW w:w="1024" w:type="dxa"/>
            <w:tcBorders>
              <w:top w:val="single" w:sz="4" w:space="0" w:color="auto"/>
              <w:left w:val="single" w:sz="4" w:space="0" w:color="auto"/>
              <w:bottom w:val="single" w:sz="8" w:space="0" w:color="152935"/>
              <w:right w:val="single" w:sz="8" w:space="0" w:color="E0E0E0"/>
            </w:tcBorders>
            <w:shd w:val="clear" w:color="auto" w:fill="FFFFFF"/>
            <w:vAlign w:val="bottom"/>
          </w:tcPr>
          <w:p w:rsidR="00227E2B" w:rsidRPr="00E152A8" w:rsidRDefault="00227E2B" w:rsidP="00924A5F">
            <w:pPr>
              <w:autoSpaceDE w:val="0"/>
              <w:autoSpaceDN w:val="0"/>
              <w:adjustRightInd w:val="0"/>
              <w:ind w:left="60" w:right="60"/>
              <w:jc w:val="center"/>
            </w:pPr>
            <w:r w:rsidRPr="00E152A8">
              <w:t>N</w:t>
            </w:r>
          </w:p>
        </w:tc>
        <w:tc>
          <w:tcPr>
            <w:tcW w:w="1024" w:type="dxa"/>
            <w:tcBorders>
              <w:top w:val="single" w:sz="4" w:space="0" w:color="auto"/>
              <w:left w:val="single" w:sz="8" w:space="0" w:color="E0E0E0"/>
              <w:bottom w:val="single" w:sz="8" w:space="0" w:color="152935"/>
              <w:right w:val="single" w:sz="4" w:space="0" w:color="auto"/>
            </w:tcBorders>
            <w:shd w:val="clear" w:color="auto" w:fill="FFFFFF"/>
            <w:vAlign w:val="bottom"/>
          </w:tcPr>
          <w:p w:rsidR="00227E2B" w:rsidRPr="00E152A8" w:rsidRDefault="00227E2B" w:rsidP="00924A5F">
            <w:pPr>
              <w:autoSpaceDE w:val="0"/>
              <w:autoSpaceDN w:val="0"/>
              <w:adjustRightInd w:val="0"/>
              <w:ind w:left="60" w:right="60"/>
              <w:jc w:val="center"/>
            </w:pPr>
            <w:r w:rsidRPr="00E152A8">
              <w:t>Percent</w:t>
            </w:r>
          </w:p>
        </w:tc>
        <w:tc>
          <w:tcPr>
            <w:tcW w:w="1469" w:type="dxa"/>
            <w:vMerge/>
            <w:tcBorders>
              <w:top w:val="nil"/>
              <w:left w:val="single" w:sz="4" w:space="0" w:color="auto"/>
              <w:bottom w:val="nil"/>
              <w:right w:val="single" w:sz="4" w:space="0" w:color="auto"/>
            </w:tcBorders>
            <w:shd w:val="clear" w:color="auto" w:fill="FFFFFF"/>
            <w:vAlign w:val="bottom"/>
          </w:tcPr>
          <w:p w:rsidR="00227E2B" w:rsidRPr="00E152A8" w:rsidRDefault="00227E2B" w:rsidP="00924A5F">
            <w:pPr>
              <w:autoSpaceDE w:val="0"/>
              <w:autoSpaceDN w:val="0"/>
              <w:adjustRightInd w:val="0"/>
            </w:pPr>
          </w:p>
        </w:tc>
      </w:tr>
      <w:tr w:rsidR="00C32252" w:rsidRPr="00C32252" w:rsidTr="00753621">
        <w:trPr>
          <w:cantSplit/>
        </w:trPr>
        <w:tc>
          <w:tcPr>
            <w:tcW w:w="1440" w:type="dxa"/>
            <w:vMerge w:val="restart"/>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Impact of owing fines</w:t>
            </w:r>
            <w:r w:rsidRPr="00E152A8">
              <w:rPr>
                <w:b/>
                <w:vertAlign w:val="superscript"/>
              </w:rPr>
              <w:t>a</w:t>
            </w:r>
          </w:p>
        </w:tc>
        <w:tc>
          <w:tcPr>
            <w:tcW w:w="4463" w:type="dxa"/>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Unable to pay rent</w:t>
            </w:r>
          </w:p>
        </w:tc>
        <w:tc>
          <w:tcPr>
            <w:tcW w:w="1024" w:type="dxa"/>
            <w:tcBorders>
              <w:top w:val="single" w:sz="8" w:space="0" w:color="152935"/>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74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7.5%</w:t>
            </w:r>
          </w:p>
        </w:tc>
        <w:tc>
          <w:tcPr>
            <w:tcW w:w="1469" w:type="dxa"/>
            <w:tcBorders>
              <w:top w:val="single" w:sz="8" w:space="0" w:color="152935"/>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19.9%</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Unable to license vehicle</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52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5.2%</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14.0%</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Stress</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278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28.0%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74.9%</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Time in remand or other correctional institution</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68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6.8%</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18.3%</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Time doing community service</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43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4.3%</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11.6%</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Lost job</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37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3.7%</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10.0%</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Lost time at work</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99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10.0%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26.7%</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Late for work</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80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8.1%</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21.6%</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Warrant issued for arrest</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129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13.0%</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34.8%</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Detained for one day</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61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6.1%</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16.4%</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Detained for more than one day</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49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4.9%</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13.2%</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Childcare</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2.2%</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5.9%</w:t>
            </w:r>
          </w:p>
        </w:tc>
      </w:tr>
      <w:tr w:rsidR="00C32252" w:rsidRPr="00C32252" w:rsidTr="00753621">
        <w:trPr>
          <w:cantSplit/>
        </w:trPr>
        <w:tc>
          <w:tcPr>
            <w:tcW w:w="1440" w:type="dxa"/>
            <w:vMerge/>
            <w:tcBorders>
              <w:top w:val="single" w:sz="8" w:space="0" w:color="152935"/>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rPr>
                <w:b/>
              </w:rPr>
            </w:pPr>
          </w:p>
        </w:tc>
        <w:tc>
          <w:tcPr>
            <w:tcW w:w="4463" w:type="dxa"/>
            <w:tcBorders>
              <w:top w:val="single" w:sz="8" w:space="0" w:color="AEAEAE"/>
              <w:left w:val="single" w:sz="4" w:space="0" w:color="auto"/>
              <w:bottom w:val="single" w:sz="8" w:space="0" w:color="AEAEAE"/>
              <w:right w:val="single" w:sz="4" w:space="0" w:color="auto"/>
            </w:tcBorders>
            <w:shd w:val="clear" w:color="auto" w:fill="E0E0E0"/>
          </w:tcPr>
          <w:p w:rsidR="00227E2B" w:rsidRPr="00E152A8" w:rsidRDefault="00227E2B" w:rsidP="00924A5F">
            <w:pPr>
              <w:autoSpaceDE w:val="0"/>
              <w:autoSpaceDN w:val="0"/>
              <w:adjustRightInd w:val="0"/>
              <w:ind w:left="60" w:right="60"/>
              <w:rPr>
                <w:b/>
              </w:rPr>
            </w:pPr>
            <w:r w:rsidRPr="00E152A8">
              <w:rPr>
                <w:b/>
              </w:rPr>
              <w:t>Other</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0.1%</w:t>
            </w:r>
          </w:p>
        </w:tc>
        <w:tc>
          <w:tcPr>
            <w:tcW w:w="1469" w:type="dxa"/>
            <w:tcBorders>
              <w:top w:val="single" w:sz="8" w:space="0" w:color="AEAEAE"/>
              <w:left w:val="single" w:sz="8" w:space="0" w:color="E0E0E0"/>
              <w:bottom w:val="single" w:sz="8" w:space="0" w:color="AEAEAE"/>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0.3%</w:t>
            </w:r>
          </w:p>
        </w:tc>
      </w:tr>
      <w:tr w:rsidR="00C32252" w:rsidRPr="00C32252" w:rsidTr="00753621">
        <w:trPr>
          <w:cantSplit/>
        </w:trPr>
        <w:tc>
          <w:tcPr>
            <w:tcW w:w="5903" w:type="dxa"/>
            <w:gridSpan w:val="2"/>
            <w:tcBorders>
              <w:top w:val="single" w:sz="8" w:space="0" w:color="AEAEAE"/>
              <w:left w:val="single" w:sz="4" w:space="0" w:color="auto"/>
              <w:bottom w:val="single" w:sz="4" w:space="0" w:color="auto"/>
              <w:right w:val="single" w:sz="4" w:space="0" w:color="auto"/>
            </w:tcBorders>
            <w:shd w:val="clear" w:color="auto" w:fill="E0E0E0"/>
          </w:tcPr>
          <w:p w:rsidR="00227E2B" w:rsidRPr="00E152A8" w:rsidRDefault="00227E2B" w:rsidP="00924A5F">
            <w:pPr>
              <w:autoSpaceDE w:val="0"/>
              <w:autoSpaceDN w:val="0"/>
              <w:adjustRightInd w:val="0"/>
              <w:ind w:left="60" w:right="60"/>
            </w:pPr>
            <w:r w:rsidRPr="00E152A8">
              <w:t>Total</w:t>
            </w:r>
          </w:p>
        </w:tc>
        <w:tc>
          <w:tcPr>
            <w:tcW w:w="1024" w:type="dxa"/>
            <w:tcBorders>
              <w:top w:val="single" w:sz="8" w:space="0" w:color="AEAEAE"/>
              <w:left w:val="single" w:sz="4" w:space="0" w:color="auto"/>
              <w:bottom w:val="single" w:sz="4" w:space="0" w:color="auto"/>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993</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227E2B" w:rsidRPr="00E152A8" w:rsidRDefault="00227E2B" w:rsidP="00924A5F">
            <w:pPr>
              <w:autoSpaceDE w:val="0"/>
              <w:autoSpaceDN w:val="0"/>
              <w:adjustRightInd w:val="0"/>
              <w:ind w:left="60" w:right="60"/>
              <w:jc w:val="right"/>
            </w:pPr>
            <w:r w:rsidRPr="00E152A8">
              <w:t>100.0%</w:t>
            </w:r>
          </w:p>
        </w:tc>
        <w:tc>
          <w:tcPr>
            <w:tcW w:w="1469" w:type="dxa"/>
            <w:tcBorders>
              <w:top w:val="single" w:sz="8" w:space="0" w:color="AEAEAE"/>
              <w:left w:val="single" w:sz="8" w:space="0" w:color="E0E0E0"/>
              <w:bottom w:val="single" w:sz="4" w:space="0" w:color="auto"/>
              <w:right w:val="single" w:sz="4" w:space="0" w:color="auto"/>
            </w:tcBorders>
            <w:shd w:val="clear" w:color="auto" w:fill="FFFFFF"/>
          </w:tcPr>
          <w:p w:rsidR="00227E2B" w:rsidRPr="00E152A8" w:rsidRDefault="00227E2B" w:rsidP="00924A5F">
            <w:pPr>
              <w:autoSpaceDE w:val="0"/>
              <w:autoSpaceDN w:val="0"/>
              <w:adjustRightInd w:val="0"/>
              <w:ind w:left="60" w:right="60"/>
              <w:jc w:val="right"/>
            </w:pPr>
            <w:r w:rsidRPr="00E152A8">
              <w:t>267.7%</w:t>
            </w:r>
          </w:p>
        </w:tc>
      </w:tr>
      <w:tr w:rsidR="00C32252" w:rsidRPr="00C32252" w:rsidTr="00753621">
        <w:trPr>
          <w:cantSplit/>
        </w:trPr>
        <w:tc>
          <w:tcPr>
            <w:tcW w:w="9420" w:type="dxa"/>
            <w:gridSpan w:val="5"/>
            <w:tcBorders>
              <w:top w:val="single" w:sz="4" w:space="0" w:color="auto"/>
              <w:left w:val="nil"/>
              <w:bottom w:val="nil"/>
              <w:right w:val="nil"/>
            </w:tcBorders>
            <w:shd w:val="clear" w:color="auto" w:fill="FFFFFF"/>
          </w:tcPr>
          <w:p w:rsidR="00227E2B" w:rsidRPr="00C32252" w:rsidRDefault="00227E2B" w:rsidP="00924A5F">
            <w:pPr>
              <w:autoSpaceDE w:val="0"/>
              <w:autoSpaceDN w:val="0"/>
              <w:adjustRightInd w:val="0"/>
              <w:ind w:left="60" w:right="60"/>
            </w:pPr>
            <w:r w:rsidRPr="00C32252">
              <w:t>a. Group</w:t>
            </w:r>
          </w:p>
        </w:tc>
      </w:tr>
    </w:tbl>
    <w:p w:rsidR="00227E2B" w:rsidRDefault="00227E2B" w:rsidP="001E68DA">
      <w:pPr>
        <w:autoSpaceDE w:val="0"/>
        <w:autoSpaceDN w:val="0"/>
        <w:adjustRightInd w:val="0"/>
        <w:spacing w:line="360" w:lineRule="auto"/>
      </w:pPr>
    </w:p>
    <w:p w:rsidR="00355607" w:rsidRDefault="00DC36C4" w:rsidP="001E68DA">
      <w:pPr>
        <w:autoSpaceDE w:val="0"/>
        <w:autoSpaceDN w:val="0"/>
        <w:adjustRightInd w:val="0"/>
        <w:spacing w:line="360" w:lineRule="auto"/>
      </w:pPr>
      <w:r w:rsidRPr="00DC36C4">
        <w:t>In order to get a more complete picture of the impact of fines on respondents the</w:t>
      </w:r>
      <w:r w:rsidR="008D1C14">
        <w:t xml:space="preserve"> following section examines </w:t>
      </w:r>
      <w:r w:rsidR="007D56DC">
        <w:t xml:space="preserve">a selection of the </w:t>
      </w:r>
      <w:r w:rsidRPr="00DC36C4">
        <w:t xml:space="preserve">impact of fines </w:t>
      </w:r>
      <w:r w:rsidRPr="00DC36C4">
        <w:lastRenderedPageBreak/>
        <w:t>by respondents</w:t>
      </w:r>
      <w:r w:rsidR="001E68DA">
        <w:t>’</w:t>
      </w:r>
      <w:r w:rsidRPr="00DC36C4">
        <w:t xml:space="preserve"> self-reported ability to pay.</w:t>
      </w:r>
      <w:r w:rsidR="00AA5B12">
        <w:t xml:space="preserve"> </w:t>
      </w:r>
      <w:r w:rsidR="00355607">
        <w:t>Table 2.4 shows that regardless of respondents’ ability to pay having fines was stressful.</w:t>
      </w:r>
      <w:r w:rsidR="00AA5B12">
        <w:t xml:space="preserve"> </w:t>
      </w:r>
      <w:r w:rsidR="00355607">
        <w:t xml:space="preserve">72.0% of respondents who had the money to pay their fines as well as 79.2% of respondents who reported being unable to </w:t>
      </w:r>
      <w:r w:rsidR="00355607">
        <w:lastRenderedPageBreak/>
        <w:t>afford their fines found receiving the fines as stressful.</w:t>
      </w:r>
    </w:p>
    <w:p w:rsidR="00355607" w:rsidRPr="00C32252" w:rsidRDefault="00355607" w:rsidP="001E68DA">
      <w:pPr>
        <w:autoSpaceDE w:val="0"/>
        <w:autoSpaceDN w:val="0"/>
        <w:adjustRightInd w:val="0"/>
        <w:spacing w:line="360" w:lineRule="auto"/>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63"/>
        <w:gridCol w:w="3859"/>
        <w:gridCol w:w="1417"/>
        <w:gridCol w:w="1134"/>
      </w:tblGrid>
      <w:tr w:rsidR="00355607" w:rsidRPr="00C32252" w:rsidTr="00043875">
        <w:trPr>
          <w:cantSplit/>
        </w:trPr>
        <w:tc>
          <w:tcPr>
            <w:tcW w:w="9639" w:type="dxa"/>
            <w:gridSpan w:val="5"/>
            <w:tcBorders>
              <w:top w:val="nil"/>
              <w:left w:val="nil"/>
              <w:bottom w:val="single" w:sz="4" w:space="0" w:color="auto"/>
              <w:right w:val="nil"/>
            </w:tcBorders>
            <w:shd w:val="clear" w:color="auto" w:fill="FFFFFF"/>
            <w:vAlign w:val="center"/>
          </w:tcPr>
          <w:p w:rsidR="00355607" w:rsidRPr="00C32252" w:rsidRDefault="003C76E0" w:rsidP="00043875">
            <w:pPr>
              <w:autoSpaceDE w:val="0"/>
              <w:autoSpaceDN w:val="0"/>
              <w:adjustRightInd w:val="0"/>
              <w:ind w:left="60" w:right="60"/>
              <w:rPr>
                <w:sz w:val="28"/>
              </w:rPr>
            </w:pPr>
            <w:r>
              <w:rPr>
                <w:b/>
                <w:bCs/>
                <w:sz w:val="28"/>
              </w:rPr>
              <w:t xml:space="preserve">Table </w:t>
            </w:r>
            <w:r w:rsidR="00355607">
              <w:rPr>
                <w:b/>
                <w:bCs/>
                <w:sz w:val="28"/>
              </w:rPr>
              <w:t>2.4</w:t>
            </w:r>
            <w:r w:rsidR="00355607" w:rsidRPr="00C32252">
              <w:rPr>
                <w:b/>
                <w:bCs/>
                <w:sz w:val="28"/>
              </w:rPr>
              <w:t xml:space="preserve"> </w:t>
            </w:r>
            <w:r w:rsidR="00355607">
              <w:rPr>
                <w:b/>
                <w:bCs/>
                <w:sz w:val="28"/>
              </w:rPr>
              <w:t>Impact of owing fines: S</w:t>
            </w:r>
            <w:r w:rsidR="00355607" w:rsidRPr="00C32252">
              <w:rPr>
                <w:b/>
                <w:bCs/>
                <w:sz w:val="28"/>
              </w:rPr>
              <w:t xml:space="preserve">tress </w:t>
            </w:r>
            <w:r w:rsidR="00355607">
              <w:rPr>
                <w:b/>
                <w:bCs/>
                <w:sz w:val="28"/>
                <w:szCs w:val="28"/>
              </w:rPr>
              <w:t>by Ability to Pay Fine</w:t>
            </w:r>
          </w:p>
        </w:tc>
      </w:tr>
      <w:tr w:rsidR="00355607" w:rsidRPr="00C32252" w:rsidTr="00043875">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pPr>
          </w:p>
        </w:tc>
        <w:tc>
          <w:tcPr>
            <w:tcW w:w="52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ind w:left="60" w:right="60"/>
              <w:jc w:val="center"/>
            </w:pPr>
            <w:r w:rsidRPr="00F17434">
              <w:t>Did you have enough money to pay the fine?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ind w:left="60" w:right="60"/>
              <w:jc w:val="center"/>
            </w:pPr>
            <w:r w:rsidRPr="00F17434">
              <w:t>Total</w:t>
            </w:r>
          </w:p>
        </w:tc>
      </w:tr>
      <w:tr w:rsidR="00355607" w:rsidRPr="00C32252" w:rsidTr="00043875">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pPr>
          </w:p>
        </w:tc>
        <w:tc>
          <w:tcPr>
            <w:tcW w:w="3859" w:type="dxa"/>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ind w:left="60" w:right="60"/>
              <w:jc w:val="center"/>
            </w:pPr>
            <w:r w:rsidRPr="00F17434">
              <w:t>Yes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ind w:left="60" w:right="60"/>
              <w:jc w:val="center"/>
            </w:pPr>
            <w:r w:rsidRPr="00F17434">
              <w:t>No</w:t>
            </w: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F17434" w:rsidRDefault="00355607" w:rsidP="00043875">
            <w:pPr>
              <w:autoSpaceDE w:val="0"/>
              <w:autoSpaceDN w:val="0"/>
              <w:adjustRightInd w:val="0"/>
            </w:pPr>
          </w:p>
        </w:tc>
      </w:tr>
      <w:tr w:rsidR="00355607" w:rsidRPr="00C32252" w:rsidTr="00043875">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ind w:left="60" w:right="60"/>
            </w:pPr>
            <w:r w:rsidRPr="00F17434">
              <w:t>Impact of owing fines: stress</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ind w:left="60" w:right="60"/>
            </w:pPr>
            <w:r w:rsidRPr="00F17434">
              <w:t>Yes</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59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175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234</w:t>
            </w:r>
          </w:p>
        </w:tc>
      </w:tr>
      <w:tr w:rsidR="00355607" w:rsidRPr="00C32252" w:rsidTr="0004387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pP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72.0%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79.2%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77.2%</w:t>
            </w:r>
          </w:p>
        </w:tc>
      </w:tr>
      <w:tr w:rsidR="00355607" w:rsidRPr="00C32252" w:rsidTr="0004387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ind w:left="60" w:right="60"/>
            </w:pPr>
            <w:r w:rsidRPr="00F17434">
              <w:t>No</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23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69</w:t>
            </w:r>
          </w:p>
        </w:tc>
      </w:tr>
      <w:tr w:rsidR="00355607" w:rsidRPr="00C32252" w:rsidTr="0004387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pP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28.0%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20.8%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22.8%</w:t>
            </w:r>
          </w:p>
        </w:tc>
      </w:tr>
      <w:tr w:rsidR="00355607" w:rsidRPr="00C32252" w:rsidTr="00043875">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ind w:left="60" w:right="60"/>
            </w:pPr>
            <w:r w:rsidRPr="00F17434">
              <w:t>Total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82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221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303</w:t>
            </w:r>
          </w:p>
        </w:tc>
      </w:tr>
      <w:tr w:rsidR="00355607" w:rsidRPr="00C32252" w:rsidTr="00043875">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E0E0E0"/>
          </w:tcPr>
          <w:p w:rsidR="00355607" w:rsidRPr="00F17434" w:rsidRDefault="00355607" w:rsidP="00043875">
            <w:pPr>
              <w:autoSpaceDE w:val="0"/>
              <w:autoSpaceDN w:val="0"/>
              <w:adjustRightInd w:val="0"/>
            </w:pP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100.0%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55607" w:rsidRPr="00F17434" w:rsidRDefault="00355607" w:rsidP="00043875">
            <w:pPr>
              <w:autoSpaceDE w:val="0"/>
              <w:autoSpaceDN w:val="0"/>
              <w:adjustRightInd w:val="0"/>
              <w:ind w:left="60" w:right="60"/>
              <w:jc w:val="right"/>
            </w:pPr>
            <w:r w:rsidRPr="00F17434">
              <w:t>100.0%</w:t>
            </w:r>
          </w:p>
        </w:tc>
      </w:tr>
    </w:tbl>
    <w:p w:rsidR="00753621" w:rsidRDefault="00753621" w:rsidP="001E68DA">
      <w:pPr>
        <w:autoSpaceDE w:val="0"/>
        <w:autoSpaceDN w:val="0"/>
        <w:adjustRightInd w:val="0"/>
        <w:spacing w:line="360" w:lineRule="auto"/>
      </w:pPr>
    </w:p>
    <w:p w:rsidR="007D56DC" w:rsidRDefault="007D56DC" w:rsidP="001E68DA">
      <w:pPr>
        <w:autoSpaceDE w:val="0"/>
        <w:autoSpaceDN w:val="0"/>
        <w:adjustRightInd w:val="0"/>
        <w:spacing w:line="360" w:lineRule="auto"/>
      </w:pPr>
      <w:r>
        <w:t xml:space="preserve">Table 2.5 shows </w:t>
      </w:r>
      <w:r w:rsidR="00C85AE9">
        <w:t xml:space="preserve">the number of respondents that needed to find childcare as a result of the fines they received by </w:t>
      </w:r>
      <w:r w:rsidR="00C85AE9">
        <w:lastRenderedPageBreak/>
        <w:t>their ability to pay those fines.</w:t>
      </w:r>
      <w:r w:rsidR="00AA5B12">
        <w:t xml:space="preserve"> </w:t>
      </w:r>
      <w:r w:rsidR="00C85AE9">
        <w:t>Few differences were found between those who were able to pay and those who were unable to pay fines in this analysis.</w:t>
      </w:r>
      <w:r w:rsidR="00AA5B12">
        <w:t xml:space="preserve"> </w:t>
      </w:r>
      <w:r w:rsidR="00C85AE9">
        <w:t>Few respondents needed to attain childcare in order to address their fines</w:t>
      </w:r>
      <w:r w:rsidR="003F75A4">
        <w:t xml:space="preserve"> (5.6% of respondents)</w:t>
      </w:r>
      <w:r w:rsidR="00C85AE9">
        <w:t>.</w:t>
      </w:r>
    </w:p>
    <w:p w:rsidR="00C85AE9" w:rsidRDefault="00C85AE9" w:rsidP="001E68DA">
      <w:pPr>
        <w:autoSpaceDE w:val="0"/>
        <w:autoSpaceDN w:val="0"/>
        <w:adjustRightInd w:val="0"/>
        <w:spacing w:line="360" w:lineRule="auto"/>
      </w:pPr>
    </w:p>
    <w:tbl>
      <w:tblPr>
        <w:tblW w:w="8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71"/>
        <w:gridCol w:w="1443"/>
        <w:gridCol w:w="1350"/>
        <w:gridCol w:w="2008"/>
      </w:tblGrid>
      <w:tr w:rsidR="009B0C12" w:rsidRPr="00253961" w:rsidTr="00753621">
        <w:trPr>
          <w:cantSplit/>
        </w:trPr>
        <w:tc>
          <w:tcPr>
            <w:tcW w:w="8038" w:type="dxa"/>
            <w:gridSpan w:val="5"/>
            <w:tcBorders>
              <w:top w:val="nil"/>
              <w:left w:val="nil"/>
              <w:bottom w:val="single" w:sz="4" w:space="0" w:color="auto"/>
              <w:right w:val="nil"/>
            </w:tcBorders>
            <w:shd w:val="clear" w:color="auto" w:fill="FFFFFF"/>
            <w:vAlign w:val="center"/>
          </w:tcPr>
          <w:p w:rsidR="009B0C12" w:rsidRPr="00207DD1" w:rsidRDefault="003C76E0" w:rsidP="00043875">
            <w:pPr>
              <w:autoSpaceDE w:val="0"/>
              <w:autoSpaceDN w:val="0"/>
              <w:adjustRightInd w:val="0"/>
              <w:ind w:left="60" w:right="60"/>
              <w:rPr>
                <w:sz w:val="28"/>
                <w:szCs w:val="28"/>
              </w:rPr>
            </w:pPr>
            <w:r>
              <w:rPr>
                <w:b/>
                <w:bCs/>
                <w:sz w:val="28"/>
                <w:szCs w:val="28"/>
              </w:rPr>
              <w:lastRenderedPageBreak/>
              <w:t xml:space="preserve">Table </w:t>
            </w:r>
            <w:r w:rsidR="00D91A2E">
              <w:rPr>
                <w:b/>
                <w:bCs/>
                <w:sz w:val="28"/>
                <w:szCs w:val="28"/>
              </w:rPr>
              <w:t>2.5</w:t>
            </w:r>
            <w:r w:rsidR="009B0C12" w:rsidRPr="00207DD1">
              <w:rPr>
                <w:b/>
                <w:bCs/>
                <w:sz w:val="28"/>
                <w:szCs w:val="28"/>
              </w:rPr>
              <w:t xml:space="preserve"> Impact of owing fines: Childcare by Ability to Pay Fine</w:t>
            </w:r>
          </w:p>
        </w:tc>
      </w:tr>
      <w:tr w:rsidR="009B0C12" w:rsidRPr="00253961" w:rsidTr="00753621">
        <w:trPr>
          <w:cantSplit/>
        </w:trPr>
        <w:tc>
          <w:tcPr>
            <w:tcW w:w="3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ind w:left="60" w:right="60"/>
              <w:jc w:val="center"/>
            </w:pPr>
            <w:r w:rsidRPr="00253961">
              <w:t>Did you have enough money to pay the fine?</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ind w:left="60" w:right="60"/>
              <w:jc w:val="center"/>
            </w:pPr>
            <w:r w:rsidRPr="00253961">
              <w:t>Total</w:t>
            </w:r>
          </w:p>
        </w:tc>
      </w:tr>
      <w:tr w:rsidR="009B0C12" w:rsidRPr="00253961" w:rsidTr="00753621">
        <w:trPr>
          <w:cantSplit/>
        </w:trPr>
        <w:tc>
          <w:tcPr>
            <w:tcW w:w="3237"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ind w:left="60" w:right="60"/>
              <w:jc w:val="center"/>
            </w:pPr>
            <w:r w:rsidRPr="00253961">
              <w:t>Yes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ind w:left="60" w:right="60"/>
              <w:jc w:val="center"/>
            </w:pPr>
            <w:r w:rsidRPr="00253961">
              <w:t>No</w:t>
            </w:r>
          </w:p>
        </w:tc>
        <w:tc>
          <w:tcPr>
            <w:tcW w:w="200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9B0C12" w:rsidRPr="00253961" w:rsidRDefault="009B0C12" w:rsidP="00043875">
            <w:pPr>
              <w:autoSpaceDE w:val="0"/>
              <w:autoSpaceDN w:val="0"/>
              <w:adjustRightInd w:val="0"/>
            </w:pPr>
          </w:p>
        </w:tc>
      </w:tr>
      <w:tr w:rsidR="009B0C12" w:rsidRPr="00253961" w:rsidTr="00753621">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ind w:left="60" w:right="60"/>
            </w:pPr>
            <w:r w:rsidRPr="00253961">
              <w:t>Impact of owing fines: childcare</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ind w:left="60" w:right="60"/>
            </w:pPr>
            <w:r w:rsidRPr="00253961">
              <w:t>Yes</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12</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17</w:t>
            </w:r>
          </w:p>
        </w:tc>
      </w:tr>
      <w:tr w:rsidR="009B0C12"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pPr>
          </w:p>
        </w:tc>
        <w:tc>
          <w:tcPr>
            <w:tcW w:w="771" w:type="dxa"/>
            <w:vMerge/>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pP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6.1%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5.4%</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5.6%</w:t>
            </w:r>
          </w:p>
        </w:tc>
      </w:tr>
      <w:tr w:rsidR="009B0C12"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pPr>
          </w:p>
        </w:tc>
        <w:tc>
          <w:tcPr>
            <w:tcW w:w="771" w:type="dxa"/>
            <w:vMerge w:val="restart"/>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ind w:left="60" w:right="60"/>
            </w:pPr>
            <w:r w:rsidRPr="00253961">
              <w:t>No</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77</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209</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286</w:t>
            </w:r>
          </w:p>
        </w:tc>
      </w:tr>
      <w:tr w:rsidR="009B0C12"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pPr>
          </w:p>
        </w:tc>
        <w:tc>
          <w:tcPr>
            <w:tcW w:w="771" w:type="dxa"/>
            <w:vMerge/>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pP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93.9%</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94.6%</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94.4%</w:t>
            </w:r>
          </w:p>
        </w:tc>
      </w:tr>
      <w:tr w:rsidR="009B0C12" w:rsidRPr="00253961" w:rsidTr="00753621">
        <w:trPr>
          <w:cantSplit/>
        </w:trPr>
        <w:tc>
          <w:tcPr>
            <w:tcW w:w="3237"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ind w:left="60" w:right="60"/>
            </w:pPr>
            <w:r w:rsidRPr="00253961">
              <w:t>Total</w:t>
            </w: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82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221</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303</w:t>
            </w:r>
          </w:p>
        </w:tc>
      </w:tr>
      <w:tr w:rsidR="009B0C12" w:rsidRPr="00253961" w:rsidTr="00753621">
        <w:trPr>
          <w:cantSplit/>
        </w:trPr>
        <w:tc>
          <w:tcPr>
            <w:tcW w:w="3237" w:type="dxa"/>
            <w:gridSpan w:val="2"/>
            <w:vMerge/>
            <w:tcBorders>
              <w:top w:val="single" w:sz="4" w:space="0" w:color="auto"/>
              <w:left w:val="single" w:sz="4" w:space="0" w:color="auto"/>
              <w:bottom w:val="single" w:sz="4" w:space="0" w:color="auto"/>
              <w:right w:val="single" w:sz="4" w:space="0" w:color="auto"/>
            </w:tcBorders>
            <w:shd w:val="clear" w:color="auto" w:fill="E0E0E0"/>
          </w:tcPr>
          <w:p w:rsidR="009B0C12" w:rsidRPr="00253961" w:rsidRDefault="009B0C12" w:rsidP="00043875">
            <w:pPr>
              <w:autoSpaceDE w:val="0"/>
              <w:autoSpaceDN w:val="0"/>
              <w:adjustRightInd w:val="0"/>
            </w:pPr>
          </w:p>
        </w:tc>
        <w:tc>
          <w:tcPr>
            <w:tcW w:w="1443"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100.0%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100.0%</w:t>
            </w:r>
          </w:p>
        </w:tc>
        <w:tc>
          <w:tcPr>
            <w:tcW w:w="2008" w:type="dxa"/>
            <w:tcBorders>
              <w:top w:val="single" w:sz="4" w:space="0" w:color="auto"/>
              <w:left w:val="single" w:sz="4" w:space="0" w:color="auto"/>
              <w:bottom w:val="single" w:sz="4" w:space="0" w:color="auto"/>
              <w:right w:val="single" w:sz="4" w:space="0" w:color="auto"/>
            </w:tcBorders>
            <w:shd w:val="clear" w:color="auto" w:fill="FFFFFF"/>
          </w:tcPr>
          <w:p w:rsidR="009B0C12" w:rsidRPr="00253961" w:rsidRDefault="009B0C12" w:rsidP="00043875">
            <w:pPr>
              <w:autoSpaceDE w:val="0"/>
              <w:autoSpaceDN w:val="0"/>
              <w:adjustRightInd w:val="0"/>
              <w:ind w:left="60" w:right="60"/>
              <w:jc w:val="right"/>
            </w:pPr>
            <w:r w:rsidRPr="00253961">
              <w:t>100.0%</w:t>
            </w:r>
          </w:p>
        </w:tc>
      </w:tr>
    </w:tbl>
    <w:p w:rsidR="001E68DA" w:rsidRDefault="001E68DA" w:rsidP="001E68DA">
      <w:pPr>
        <w:autoSpaceDE w:val="0"/>
        <w:autoSpaceDN w:val="0"/>
        <w:adjustRightInd w:val="0"/>
        <w:spacing w:line="360" w:lineRule="auto"/>
      </w:pPr>
    </w:p>
    <w:p w:rsidR="007C3BD3" w:rsidRDefault="00D91A2E" w:rsidP="001E68DA">
      <w:pPr>
        <w:autoSpaceDE w:val="0"/>
        <w:autoSpaceDN w:val="0"/>
        <w:adjustRightInd w:val="0"/>
        <w:spacing w:line="360" w:lineRule="auto"/>
      </w:pPr>
      <w:r>
        <w:t>Table 2.6</w:t>
      </w:r>
      <w:r w:rsidR="00F71AF6">
        <w:t xml:space="preserve"> shows the impact of fines – specifically – impact on rent payment against their ability to pay their fines more generally.</w:t>
      </w:r>
      <w:r w:rsidR="00AA5B12">
        <w:t xml:space="preserve"> </w:t>
      </w:r>
      <w:r w:rsidR="00F71AF6">
        <w:t xml:space="preserve">For respondents that indicated they were </w:t>
      </w:r>
      <w:r w:rsidR="00F71AF6">
        <w:lastRenderedPageBreak/>
        <w:t>unable to pay rent because of their fines, 28.1% indicated they did not have the money to pay for outstanding fines.</w:t>
      </w:r>
    </w:p>
    <w:p w:rsidR="001E68DA" w:rsidRDefault="001E68DA" w:rsidP="001E68DA">
      <w:pPr>
        <w:autoSpaceDE w:val="0"/>
        <w:autoSpaceDN w:val="0"/>
        <w:adjustRightInd w:val="0"/>
        <w:spacing w:line="360" w:lineRule="auto"/>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831"/>
        <w:gridCol w:w="30"/>
        <w:gridCol w:w="1393"/>
        <w:gridCol w:w="1350"/>
        <w:gridCol w:w="2070"/>
      </w:tblGrid>
      <w:tr w:rsidR="00C32252" w:rsidRPr="00C32252" w:rsidTr="00753621">
        <w:trPr>
          <w:cantSplit/>
        </w:trPr>
        <w:tc>
          <w:tcPr>
            <w:tcW w:w="8100" w:type="dxa"/>
            <w:gridSpan w:val="6"/>
            <w:tcBorders>
              <w:top w:val="nil"/>
              <w:left w:val="nil"/>
              <w:bottom w:val="single" w:sz="4" w:space="0" w:color="auto"/>
              <w:right w:val="nil"/>
            </w:tcBorders>
            <w:shd w:val="clear" w:color="auto" w:fill="FFFFFF"/>
            <w:vAlign w:val="center"/>
          </w:tcPr>
          <w:p w:rsidR="00752E82" w:rsidRPr="00C32252" w:rsidRDefault="003C76E0" w:rsidP="00D35187">
            <w:pPr>
              <w:autoSpaceDE w:val="0"/>
              <w:autoSpaceDN w:val="0"/>
              <w:adjustRightInd w:val="0"/>
              <w:ind w:left="60" w:right="60"/>
              <w:rPr>
                <w:sz w:val="28"/>
                <w:szCs w:val="28"/>
              </w:rPr>
            </w:pPr>
            <w:r>
              <w:rPr>
                <w:b/>
                <w:bCs/>
                <w:sz w:val="28"/>
                <w:szCs w:val="28"/>
              </w:rPr>
              <w:t xml:space="preserve">Table </w:t>
            </w:r>
            <w:r w:rsidR="00D91A2E">
              <w:rPr>
                <w:b/>
                <w:bCs/>
                <w:sz w:val="28"/>
                <w:szCs w:val="28"/>
              </w:rPr>
              <w:t>2.6</w:t>
            </w:r>
            <w:r w:rsidR="00C32252">
              <w:rPr>
                <w:b/>
                <w:bCs/>
                <w:sz w:val="28"/>
                <w:szCs w:val="28"/>
              </w:rPr>
              <w:t xml:space="preserve"> </w:t>
            </w:r>
            <w:r w:rsidR="00D35187">
              <w:rPr>
                <w:b/>
                <w:bCs/>
                <w:sz w:val="28"/>
                <w:szCs w:val="28"/>
              </w:rPr>
              <w:t>Impact of owing fines: U</w:t>
            </w:r>
            <w:r w:rsidR="00752E82" w:rsidRPr="00C32252">
              <w:rPr>
                <w:b/>
                <w:bCs/>
                <w:sz w:val="28"/>
                <w:szCs w:val="28"/>
              </w:rPr>
              <w:t xml:space="preserve">nable </w:t>
            </w:r>
            <w:r w:rsidR="00D35187">
              <w:rPr>
                <w:b/>
                <w:bCs/>
                <w:sz w:val="28"/>
                <w:szCs w:val="28"/>
              </w:rPr>
              <w:t>to Pay R</w:t>
            </w:r>
            <w:r w:rsidR="00F10DA6">
              <w:rPr>
                <w:b/>
                <w:bCs/>
                <w:sz w:val="28"/>
                <w:szCs w:val="28"/>
              </w:rPr>
              <w:t xml:space="preserve">ent by </w:t>
            </w:r>
            <w:r w:rsidR="00D35187">
              <w:rPr>
                <w:b/>
                <w:bCs/>
                <w:sz w:val="28"/>
                <w:szCs w:val="28"/>
              </w:rPr>
              <w:t>Ability to Pay Fine</w:t>
            </w:r>
          </w:p>
        </w:tc>
      </w:tr>
      <w:tr w:rsidR="00ED0DE1" w:rsidRPr="00C32252" w:rsidTr="00753621">
        <w:trPr>
          <w:cantSplit/>
        </w:trPr>
        <w:tc>
          <w:tcPr>
            <w:tcW w:w="325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pPr>
          </w:p>
        </w:tc>
        <w:tc>
          <w:tcPr>
            <w:tcW w:w="277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ind w:left="60" w:right="60"/>
              <w:jc w:val="center"/>
            </w:pPr>
            <w:r w:rsidRPr="00ED0DE1">
              <w:t>Did you have enough money to pay the fine?</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ind w:left="60" w:right="60"/>
              <w:jc w:val="center"/>
            </w:pPr>
            <w:r w:rsidRPr="00ED0DE1">
              <w:t>Total</w:t>
            </w:r>
          </w:p>
        </w:tc>
      </w:tr>
      <w:tr w:rsidR="00AF54F6" w:rsidRPr="00C32252" w:rsidTr="00753621">
        <w:trPr>
          <w:cantSplit/>
          <w:trHeight w:val="296"/>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ind w:left="60" w:right="60"/>
              <w:jc w:val="center"/>
            </w:pPr>
            <w:r w:rsidRPr="00ED0DE1">
              <w:t>Yes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ind w:left="60" w:right="60"/>
              <w:jc w:val="center"/>
            </w:pPr>
            <w:r w:rsidRPr="00ED0DE1">
              <w:t>No</w:t>
            </w:r>
          </w:p>
        </w:tc>
        <w:tc>
          <w:tcPr>
            <w:tcW w:w="207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ED0DE1" w:rsidRDefault="00752E82" w:rsidP="00924A5F">
            <w:pPr>
              <w:autoSpaceDE w:val="0"/>
              <w:autoSpaceDN w:val="0"/>
              <w:adjustRightInd w:val="0"/>
            </w:pPr>
          </w:p>
        </w:tc>
      </w:tr>
      <w:tr w:rsidR="00ED0DE1" w:rsidRPr="00C32252" w:rsidTr="00753621">
        <w:trPr>
          <w:cantSplit/>
        </w:trPr>
        <w:tc>
          <w:tcPr>
            <w:tcW w:w="2426" w:type="dxa"/>
            <w:vMerge w:val="restart"/>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ind w:left="60" w:right="60"/>
            </w:pPr>
            <w:r w:rsidRPr="00ED0DE1">
              <w:t>Impact of owing fines: unable to pay rent</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ind w:left="60" w:right="60"/>
            </w:pPr>
            <w:r w:rsidRPr="00ED0DE1">
              <w:t>Yes</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62</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66</w:t>
            </w:r>
          </w:p>
        </w:tc>
      </w:tr>
      <w:tr w:rsidR="00ED0DE1" w:rsidRPr="00C32252" w:rsidTr="00753621">
        <w:trPr>
          <w:cantSplit/>
        </w:trPr>
        <w:tc>
          <w:tcPr>
            <w:tcW w:w="2426" w:type="dxa"/>
            <w:vMerge/>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pPr>
          </w:p>
        </w:tc>
        <w:tc>
          <w:tcPr>
            <w:tcW w:w="831" w:type="dxa"/>
            <w:vMerge/>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4.9%</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28.1%</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21.8%</w:t>
            </w:r>
          </w:p>
        </w:tc>
      </w:tr>
      <w:tr w:rsidR="00ED0DE1" w:rsidRPr="00C32252" w:rsidTr="00753621">
        <w:trPr>
          <w:cantSplit/>
        </w:trPr>
        <w:tc>
          <w:tcPr>
            <w:tcW w:w="2426" w:type="dxa"/>
            <w:vMerge/>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pPr>
          </w:p>
        </w:tc>
        <w:tc>
          <w:tcPr>
            <w:tcW w:w="831" w:type="dxa"/>
            <w:vMerge w:val="restart"/>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ind w:left="60" w:right="60"/>
            </w:pPr>
            <w:r w:rsidRPr="00ED0DE1">
              <w:t>No</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78</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159</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237</w:t>
            </w:r>
          </w:p>
        </w:tc>
      </w:tr>
      <w:tr w:rsidR="00ED0DE1" w:rsidRPr="00C32252" w:rsidTr="00753621">
        <w:trPr>
          <w:cantSplit/>
          <w:trHeight w:val="296"/>
        </w:trPr>
        <w:tc>
          <w:tcPr>
            <w:tcW w:w="2426" w:type="dxa"/>
            <w:vMerge/>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pPr>
          </w:p>
        </w:tc>
        <w:tc>
          <w:tcPr>
            <w:tcW w:w="831" w:type="dxa"/>
            <w:vMerge/>
            <w:tcBorders>
              <w:top w:val="single" w:sz="4" w:space="0" w:color="auto"/>
              <w:left w:val="single" w:sz="4" w:space="0" w:color="auto"/>
              <w:bottom w:val="single" w:sz="4" w:space="0" w:color="auto"/>
              <w:right w:val="single" w:sz="4" w:space="0" w:color="auto"/>
            </w:tcBorders>
            <w:shd w:val="clear" w:color="auto" w:fill="E0E0E0"/>
          </w:tcPr>
          <w:p w:rsidR="00ED0DE1" w:rsidRPr="00ED0DE1" w:rsidRDefault="00ED0DE1" w:rsidP="00924A5F">
            <w:pPr>
              <w:autoSpaceDE w:val="0"/>
              <w:autoSpaceDN w:val="0"/>
              <w:adjustRightInd w:val="0"/>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95.1%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71.9%</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DE1" w:rsidRPr="00ED0DE1" w:rsidRDefault="00ED0DE1" w:rsidP="00924A5F">
            <w:pPr>
              <w:autoSpaceDE w:val="0"/>
              <w:autoSpaceDN w:val="0"/>
              <w:adjustRightInd w:val="0"/>
              <w:ind w:left="60" w:right="60"/>
              <w:jc w:val="right"/>
            </w:pPr>
            <w:r w:rsidRPr="00ED0DE1">
              <w:t>78.2%</w:t>
            </w:r>
          </w:p>
        </w:tc>
      </w:tr>
      <w:tr w:rsidR="00ED0DE1" w:rsidRPr="00C32252" w:rsidTr="00753621">
        <w:trPr>
          <w:cantSplit/>
          <w:trHeight w:val="325"/>
        </w:trPr>
        <w:tc>
          <w:tcPr>
            <w:tcW w:w="3257"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752E82" w:rsidRPr="00ED0DE1" w:rsidRDefault="00752E82" w:rsidP="00924A5F">
            <w:pPr>
              <w:autoSpaceDE w:val="0"/>
              <w:autoSpaceDN w:val="0"/>
              <w:adjustRightInd w:val="0"/>
              <w:ind w:left="60" w:right="60"/>
            </w:pPr>
            <w:r w:rsidRPr="00ED0DE1">
              <w:t>Total</w:t>
            </w:r>
          </w:p>
        </w:tc>
        <w:tc>
          <w:tcPr>
            <w:tcW w:w="30" w:type="dxa"/>
            <w:tcBorders>
              <w:top w:val="single" w:sz="4" w:space="0" w:color="auto"/>
              <w:left w:val="single" w:sz="4" w:space="0" w:color="auto"/>
              <w:bottom w:val="single" w:sz="4" w:space="0" w:color="auto"/>
              <w:right w:val="single" w:sz="4" w:space="0" w:color="auto"/>
            </w:tcBorders>
            <w:shd w:val="clear" w:color="auto" w:fill="E0E0E0"/>
          </w:tcPr>
          <w:p w:rsidR="00752E82" w:rsidRPr="00ED0DE1" w:rsidRDefault="00752E82" w:rsidP="00924A5F">
            <w:pPr>
              <w:autoSpaceDE w:val="0"/>
              <w:autoSpaceDN w:val="0"/>
              <w:adjustRightInd w:val="0"/>
              <w:ind w:left="60" w:right="60"/>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752E82" w:rsidRPr="00ED0DE1" w:rsidRDefault="00752E82" w:rsidP="00924A5F">
            <w:pPr>
              <w:autoSpaceDE w:val="0"/>
              <w:autoSpaceDN w:val="0"/>
              <w:adjustRightInd w:val="0"/>
              <w:ind w:left="60" w:right="60"/>
              <w:jc w:val="right"/>
            </w:pPr>
            <w:r w:rsidRPr="00ED0DE1">
              <w:t>82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52E82" w:rsidRPr="00ED0DE1" w:rsidRDefault="00752E82" w:rsidP="00924A5F">
            <w:pPr>
              <w:autoSpaceDE w:val="0"/>
              <w:autoSpaceDN w:val="0"/>
              <w:adjustRightInd w:val="0"/>
              <w:ind w:left="60" w:right="60"/>
              <w:jc w:val="right"/>
            </w:pPr>
            <w:r w:rsidRPr="00ED0DE1">
              <w:t>221</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752E82" w:rsidRPr="00ED0DE1" w:rsidRDefault="00752E82" w:rsidP="00924A5F">
            <w:pPr>
              <w:autoSpaceDE w:val="0"/>
              <w:autoSpaceDN w:val="0"/>
              <w:adjustRightInd w:val="0"/>
              <w:ind w:left="60" w:right="60"/>
              <w:jc w:val="right"/>
            </w:pPr>
            <w:r w:rsidRPr="00ED0DE1">
              <w:t>303</w:t>
            </w:r>
          </w:p>
        </w:tc>
      </w:tr>
      <w:tr w:rsidR="00ED0DE1" w:rsidRPr="00C32252" w:rsidTr="00753621">
        <w:trPr>
          <w:cantSplit/>
        </w:trPr>
        <w:tc>
          <w:tcPr>
            <w:tcW w:w="3257" w:type="dxa"/>
            <w:gridSpan w:val="2"/>
            <w:vMerge/>
            <w:tcBorders>
              <w:top w:val="single" w:sz="4" w:space="0" w:color="auto"/>
              <w:left w:val="single" w:sz="4" w:space="0" w:color="auto"/>
              <w:bottom w:val="single" w:sz="4" w:space="0" w:color="auto"/>
              <w:right w:val="single" w:sz="4" w:space="0" w:color="auto"/>
            </w:tcBorders>
            <w:shd w:val="clear" w:color="auto" w:fill="E0E0E0"/>
          </w:tcPr>
          <w:p w:rsidR="00752E82" w:rsidRPr="00C32252" w:rsidRDefault="00752E82" w:rsidP="00924A5F">
            <w:pPr>
              <w:autoSpaceDE w:val="0"/>
              <w:autoSpaceDN w:val="0"/>
              <w:adjustRightInd w:val="0"/>
              <w:rPr>
                <w:sz w:val="18"/>
                <w:szCs w:val="18"/>
              </w:rPr>
            </w:pPr>
          </w:p>
        </w:tc>
        <w:tc>
          <w:tcPr>
            <w:tcW w:w="30" w:type="dxa"/>
            <w:tcBorders>
              <w:top w:val="single" w:sz="4" w:space="0" w:color="auto"/>
              <w:left w:val="single" w:sz="4" w:space="0" w:color="auto"/>
              <w:bottom w:val="single" w:sz="4" w:space="0" w:color="auto"/>
              <w:right w:val="single" w:sz="4" w:space="0" w:color="auto"/>
            </w:tcBorders>
            <w:shd w:val="clear" w:color="auto" w:fill="E0E0E0"/>
          </w:tcPr>
          <w:p w:rsidR="00752E82" w:rsidRPr="00ED0DE1" w:rsidRDefault="00752E82" w:rsidP="00924A5F">
            <w:pPr>
              <w:autoSpaceDE w:val="0"/>
              <w:autoSpaceDN w:val="0"/>
              <w:adjustRightInd w:val="0"/>
              <w:ind w:left="60" w:right="60"/>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752E82" w:rsidRPr="00ED0DE1" w:rsidRDefault="00752E82" w:rsidP="00924A5F">
            <w:pPr>
              <w:autoSpaceDE w:val="0"/>
              <w:autoSpaceDN w:val="0"/>
              <w:adjustRightInd w:val="0"/>
              <w:ind w:left="60" w:right="60"/>
              <w:jc w:val="right"/>
            </w:pPr>
            <w:r w:rsidRPr="00ED0DE1">
              <w:t>100.0%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52E82" w:rsidRPr="00ED0DE1" w:rsidRDefault="00752E82" w:rsidP="00924A5F">
            <w:pPr>
              <w:autoSpaceDE w:val="0"/>
              <w:autoSpaceDN w:val="0"/>
              <w:adjustRightInd w:val="0"/>
              <w:ind w:left="60" w:right="60"/>
              <w:jc w:val="right"/>
            </w:pPr>
            <w:r w:rsidRPr="00ED0DE1">
              <w:t>100.0%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752E82" w:rsidRPr="00ED0DE1" w:rsidRDefault="00752E82" w:rsidP="00924A5F">
            <w:pPr>
              <w:autoSpaceDE w:val="0"/>
              <w:autoSpaceDN w:val="0"/>
              <w:adjustRightInd w:val="0"/>
              <w:ind w:left="60" w:right="60"/>
              <w:jc w:val="right"/>
            </w:pPr>
            <w:r w:rsidRPr="00ED0DE1">
              <w:t>100.0%</w:t>
            </w:r>
          </w:p>
        </w:tc>
      </w:tr>
    </w:tbl>
    <w:p w:rsidR="007C3BD3" w:rsidRDefault="007C3BD3" w:rsidP="001E68DA">
      <w:pPr>
        <w:autoSpaceDE w:val="0"/>
        <w:autoSpaceDN w:val="0"/>
        <w:adjustRightInd w:val="0"/>
        <w:spacing w:line="360" w:lineRule="auto"/>
      </w:pPr>
    </w:p>
    <w:p w:rsidR="00F71AF6" w:rsidRDefault="00D666B3" w:rsidP="001E68DA">
      <w:pPr>
        <w:autoSpaceDE w:val="0"/>
        <w:autoSpaceDN w:val="0"/>
        <w:adjustRightInd w:val="0"/>
        <w:spacing w:line="360" w:lineRule="auto"/>
      </w:pPr>
      <w:r>
        <w:lastRenderedPageBreak/>
        <w:t>Table 2.7</w:t>
      </w:r>
      <w:r w:rsidR="00F71AF6">
        <w:t xml:space="preserve"> </w:t>
      </w:r>
      <w:r w:rsidR="000C07BE">
        <w:t>shows, in general, that inability to license their vehicle was a less frequent impact of owing fines with 17.2% of respondents who did not have the money to pay their fines reporting that they were also unable to license their vehicle.</w:t>
      </w:r>
    </w:p>
    <w:p w:rsidR="000C07BE" w:rsidRPr="00C32252" w:rsidRDefault="000C07BE" w:rsidP="001E68DA">
      <w:pPr>
        <w:autoSpaceDE w:val="0"/>
        <w:autoSpaceDN w:val="0"/>
        <w:adjustRightInd w:val="0"/>
        <w:spacing w:line="360" w:lineRule="auto"/>
      </w:pPr>
    </w:p>
    <w:p w:rsidR="001E68DA" w:rsidRDefault="001E68DA">
      <w:r>
        <w:lastRenderedPageBreak/>
        <w:br w:type="page"/>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63"/>
        <w:gridCol w:w="1541"/>
        <w:gridCol w:w="1440"/>
        <w:gridCol w:w="1620"/>
      </w:tblGrid>
      <w:tr w:rsidR="00C32252" w:rsidRPr="00C32252" w:rsidTr="00753621">
        <w:trPr>
          <w:cantSplit/>
          <w:trHeight w:val="349"/>
        </w:trPr>
        <w:tc>
          <w:tcPr>
            <w:tcW w:w="7830" w:type="dxa"/>
            <w:gridSpan w:val="5"/>
            <w:tcBorders>
              <w:top w:val="nil"/>
              <w:left w:val="nil"/>
              <w:bottom w:val="single" w:sz="4" w:space="0" w:color="auto"/>
              <w:right w:val="nil"/>
            </w:tcBorders>
            <w:shd w:val="clear" w:color="auto" w:fill="FFFFFF"/>
            <w:vAlign w:val="center"/>
          </w:tcPr>
          <w:p w:rsidR="00752E82" w:rsidRPr="00C32252" w:rsidRDefault="003C76E0" w:rsidP="00D35187">
            <w:pPr>
              <w:autoSpaceDE w:val="0"/>
              <w:autoSpaceDN w:val="0"/>
              <w:adjustRightInd w:val="0"/>
              <w:ind w:left="60" w:right="60"/>
            </w:pPr>
            <w:r>
              <w:rPr>
                <w:b/>
                <w:bCs/>
                <w:sz w:val="28"/>
                <w:szCs w:val="28"/>
              </w:rPr>
              <w:lastRenderedPageBreak/>
              <w:t xml:space="preserve">Table </w:t>
            </w:r>
            <w:r w:rsidR="00D666B3">
              <w:rPr>
                <w:b/>
                <w:bCs/>
                <w:sz w:val="28"/>
              </w:rPr>
              <w:t>2.7</w:t>
            </w:r>
            <w:r w:rsidR="00C32252" w:rsidRPr="00C32252">
              <w:rPr>
                <w:b/>
                <w:bCs/>
                <w:sz w:val="28"/>
              </w:rPr>
              <w:t xml:space="preserve"> </w:t>
            </w:r>
            <w:r w:rsidR="00D35187">
              <w:rPr>
                <w:b/>
                <w:bCs/>
                <w:sz w:val="28"/>
              </w:rPr>
              <w:t>Impact of owing fines: Unable to License V</w:t>
            </w:r>
            <w:r w:rsidR="00752E82" w:rsidRPr="00C32252">
              <w:rPr>
                <w:b/>
                <w:bCs/>
                <w:sz w:val="28"/>
              </w:rPr>
              <w:t>eh</w:t>
            </w:r>
            <w:r w:rsidR="00D35187">
              <w:rPr>
                <w:b/>
                <w:bCs/>
                <w:sz w:val="28"/>
              </w:rPr>
              <w:t xml:space="preserve">icle </w:t>
            </w:r>
            <w:r w:rsidR="00D35187">
              <w:rPr>
                <w:b/>
                <w:bCs/>
                <w:sz w:val="28"/>
                <w:szCs w:val="28"/>
              </w:rPr>
              <w:t>by Ability to Pay Fine</w:t>
            </w:r>
          </w:p>
        </w:tc>
      </w:tr>
      <w:tr w:rsidR="00035337" w:rsidRPr="00C32252" w:rsidTr="00753621">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pP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ind w:left="60" w:right="60"/>
              <w:jc w:val="center"/>
            </w:pPr>
            <w:r w:rsidRPr="00035337">
              <w:t>Did you have enough money to pay the fine?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ind w:left="60" w:right="60"/>
              <w:jc w:val="center"/>
            </w:pPr>
            <w:r w:rsidRPr="00035337">
              <w:t>Total</w:t>
            </w:r>
          </w:p>
        </w:tc>
      </w:tr>
      <w:tr w:rsidR="00035337" w:rsidRPr="00C32252" w:rsidTr="00753621">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ind w:left="60" w:right="60"/>
              <w:jc w:val="center"/>
            </w:pPr>
            <w:r w:rsidRPr="00035337">
              <w:t>Yes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ind w:left="60" w:right="60"/>
              <w:jc w:val="center"/>
            </w:pPr>
            <w:r w:rsidRPr="00035337">
              <w:t>No</w:t>
            </w:r>
          </w:p>
        </w:tc>
        <w:tc>
          <w:tcPr>
            <w:tcW w:w="162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035337" w:rsidRDefault="00752E82" w:rsidP="00924A5F">
            <w:pPr>
              <w:autoSpaceDE w:val="0"/>
              <w:autoSpaceDN w:val="0"/>
              <w:adjustRightInd w:val="0"/>
            </w:pPr>
          </w:p>
        </w:tc>
      </w:tr>
      <w:tr w:rsidR="00035337" w:rsidRPr="00C32252" w:rsidTr="00753621">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ind w:left="60" w:right="60"/>
            </w:pPr>
            <w:r w:rsidRPr="00035337">
              <w:t>Impact of owing fines: unable to license vehicle</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ind w:left="60" w:right="60"/>
            </w:pPr>
            <w:r w:rsidRPr="00035337">
              <w:t>Yes</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38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43</w:t>
            </w:r>
          </w:p>
        </w:tc>
      </w:tr>
      <w:tr w:rsidR="00035337" w:rsidRPr="00C32252" w:rsidTr="00753621">
        <w:trPr>
          <w:cantSplit/>
          <w:trHeight w:val="297"/>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6.1%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17.2%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14.2%</w:t>
            </w:r>
          </w:p>
        </w:tc>
      </w:tr>
      <w:tr w:rsidR="00035337" w:rsidRPr="00C32252"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ind w:left="60" w:right="60"/>
            </w:pPr>
            <w:r w:rsidRPr="00035337">
              <w:t>No</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77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183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260</w:t>
            </w:r>
          </w:p>
        </w:tc>
      </w:tr>
      <w:tr w:rsidR="00035337" w:rsidRPr="00C32252"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93.9%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82.8%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85.8%</w:t>
            </w:r>
          </w:p>
        </w:tc>
      </w:tr>
      <w:tr w:rsidR="00035337" w:rsidRPr="00C32252" w:rsidTr="00753621">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ind w:left="60" w:right="60"/>
            </w:pPr>
            <w:r w:rsidRPr="00035337">
              <w:t>Total</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82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221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303</w:t>
            </w:r>
          </w:p>
        </w:tc>
      </w:tr>
      <w:tr w:rsidR="00035337" w:rsidRPr="00C32252" w:rsidTr="00753621">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E0E0E0"/>
          </w:tcPr>
          <w:p w:rsidR="00035337" w:rsidRPr="00035337" w:rsidRDefault="00035337" w:rsidP="00924A5F">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100.0%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100.0%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35337" w:rsidRPr="00035337" w:rsidRDefault="00035337" w:rsidP="00924A5F">
            <w:pPr>
              <w:autoSpaceDE w:val="0"/>
              <w:autoSpaceDN w:val="0"/>
              <w:adjustRightInd w:val="0"/>
              <w:ind w:left="60" w:right="60"/>
              <w:jc w:val="right"/>
            </w:pPr>
            <w:r w:rsidRPr="00035337">
              <w:t>100.0%</w:t>
            </w:r>
          </w:p>
        </w:tc>
      </w:tr>
    </w:tbl>
    <w:p w:rsidR="007C3BD3" w:rsidRDefault="007C3BD3" w:rsidP="008D1C14">
      <w:pPr>
        <w:autoSpaceDE w:val="0"/>
        <w:autoSpaceDN w:val="0"/>
        <w:adjustRightInd w:val="0"/>
        <w:spacing w:line="360" w:lineRule="auto"/>
      </w:pPr>
    </w:p>
    <w:p w:rsidR="00E32EC1" w:rsidRDefault="00E32EC1" w:rsidP="008D1C14">
      <w:pPr>
        <w:autoSpaceDE w:val="0"/>
        <w:autoSpaceDN w:val="0"/>
        <w:adjustRightInd w:val="0"/>
        <w:spacing w:line="360" w:lineRule="auto"/>
      </w:pPr>
      <w:r>
        <w:t>Table 2</w:t>
      </w:r>
      <w:r w:rsidR="00D666B3">
        <w:t>.8</w:t>
      </w:r>
      <w:r>
        <w:t xml:space="preserve"> indicates the number of respondents that lost time at work as a result of the fines received.</w:t>
      </w:r>
      <w:r w:rsidR="00AA5B12">
        <w:t xml:space="preserve"> </w:t>
      </w:r>
      <w:r>
        <w:t xml:space="preserve">For those who could afford to pay their fines, 30.5% missed some </w:t>
      </w:r>
      <w:r>
        <w:lastRenderedPageBreak/>
        <w:t>work to address fine payment and for those who could not afford to pay the fine, 26.2% missed work to address these outstanding fines.</w:t>
      </w:r>
    </w:p>
    <w:p w:rsidR="001E68DA" w:rsidRDefault="001E68DA" w:rsidP="008D1C14">
      <w:pPr>
        <w:autoSpaceDE w:val="0"/>
        <w:autoSpaceDN w:val="0"/>
        <w:adjustRightInd w:val="0"/>
        <w:spacing w:line="360" w:lineRule="auto"/>
      </w:pP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63"/>
        <w:gridCol w:w="1541"/>
        <w:gridCol w:w="1440"/>
        <w:gridCol w:w="1710"/>
      </w:tblGrid>
      <w:tr w:rsidR="00E32EC1" w:rsidRPr="00253961" w:rsidTr="00753621">
        <w:trPr>
          <w:cantSplit/>
        </w:trPr>
        <w:tc>
          <w:tcPr>
            <w:tcW w:w="7920" w:type="dxa"/>
            <w:gridSpan w:val="5"/>
            <w:tcBorders>
              <w:top w:val="nil"/>
              <w:left w:val="nil"/>
              <w:bottom w:val="single" w:sz="4" w:space="0" w:color="auto"/>
              <w:right w:val="nil"/>
            </w:tcBorders>
            <w:shd w:val="clear" w:color="auto" w:fill="FFFFFF"/>
            <w:vAlign w:val="center"/>
          </w:tcPr>
          <w:p w:rsidR="00E32EC1" w:rsidRPr="00D036EB" w:rsidRDefault="003C76E0" w:rsidP="00043875">
            <w:pPr>
              <w:autoSpaceDE w:val="0"/>
              <w:autoSpaceDN w:val="0"/>
              <w:adjustRightInd w:val="0"/>
              <w:ind w:left="60" w:right="60"/>
              <w:rPr>
                <w:sz w:val="28"/>
                <w:szCs w:val="28"/>
              </w:rPr>
            </w:pPr>
            <w:r>
              <w:rPr>
                <w:b/>
                <w:bCs/>
                <w:sz w:val="28"/>
                <w:szCs w:val="28"/>
              </w:rPr>
              <w:t xml:space="preserve">Table </w:t>
            </w:r>
            <w:r w:rsidR="00D666B3">
              <w:rPr>
                <w:b/>
                <w:bCs/>
                <w:sz w:val="28"/>
                <w:szCs w:val="28"/>
              </w:rPr>
              <w:t>2.8</w:t>
            </w:r>
            <w:r w:rsidR="00E32EC1" w:rsidRPr="00D036EB">
              <w:rPr>
                <w:b/>
                <w:bCs/>
                <w:sz w:val="28"/>
                <w:szCs w:val="28"/>
              </w:rPr>
              <w:t xml:space="preserve"> Impact of owing fines: Lost Time at Work by Ability to Pay Fine</w:t>
            </w:r>
          </w:p>
        </w:tc>
      </w:tr>
      <w:tr w:rsidR="00E32EC1" w:rsidRPr="00253961" w:rsidTr="00753621">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pP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ind w:left="60" w:right="60"/>
              <w:jc w:val="center"/>
            </w:pPr>
            <w:r w:rsidRPr="00253961">
              <w:t>Did you have enough money to pay the fine?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ind w:left="60" w:right="60"/>
              <w:jc w:val="center"/>
            </w:pPr>
            <w:r w:rsidRPr="00253961">
              <w:t>Total</w:t>
            </w:r>
          </w:p>
        </w:tc>
      </w:tr>
      <w:tr w:rsidR="00E32EC1" w:rsidRPr="00253961" w:rsidTr="00753621">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ind w:left="60" w:right="60"/>
              <w:jc w:val="center"/>
            </w:pPr>
            <w:r w:rsidRPr="00253961">
              <w:t>Yes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ind w:left="60" w:right="60"/>
              <w:jc w:val="center"/>
            </w:pPr>
            <w:r w:rsidRPr="00253961">
              <w:t>No</w:t>
            </w:r>
          </w:p>
        </w:tc>
        <w:tc>
          <w:tcPr>
            <w:tcW w:w="171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E32EC1" w:rsidRPr="00253961" w:rsidRDefault="00E32EC1" w:rsidP="00043875">
            <w:pPr>
              <w:autoSpaceDE w:val="0"/>
              <w:autoSpaceDN w:val="0"/>
              <w:adjustRightInd w:val="0"/>
            </w:pPr>
          </w:p>
        </w:tc>
      </w:tr>
      <w:tr w:rsidR="00E32EC1" w:rsidRPr="00253961" w:rsidTr="00753621">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ind w:left="60" w:right="60"/>
            </w:pPr>
            <w:r w:rsidRPr="00253961">
              <w:t>Impact of owing fines: lost time at work</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ind w:left="60" w:right="60"/>
            </w:pPr>
            <w:r w:rsidRPr="00253961">
              <w:t>Yes</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58</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83</w:t>
            </w:r>
          </w:p>
        </w:tc>
      </w:tr>
      <w:tr w:rsidR="00E32EC1"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30.5%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26.2%</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27.4%</w:t>
            </w:r>
          </w:p>
        </w:tc>
      </w:tr>
      <w:tr w:rsidR="00E32EC1"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ind w:left="60" w:right="60"/>
            </w:pPr>
            <w:r w:rsidRPr="00253961">
              <w:t>No</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57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163</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220</w:t>
            </w:r>
          </w:p>
        </w:tc>
      </w:tr>
      <w:tr w:rsidR="00E32EC1"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69.5%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73.8%</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72.6%</w:t>
            </w:r>
          </w:p>
        </w:tc>
      </w:tr>
      <w:tr w:rsidR="00E32EC1" w:rsidRPr="00253961" w:rsidTr="00753621">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ind w:left="60" w:right="60"/>
            </w:pPr>
            <w:r w:rsidRPr="00253961">
              <w:t>Total</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82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221</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303</w:t>
            </w:r>
          </w:p>
        </w:tc>
      </w:tr>
      <w:tr w:rsidR="00E32EC1" w:rsidRPr="00253961" w:rsidTr="00753621">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E0E0E0"/>
          </w:tcPr>
          <w:p w:rsidR="00E32EC1" w:rsidRPr="00253961" w:rsidRDefault="00E32EC1" w:rsidP="00043875">
            <w:pPr>
              <w:autoSpaceDE w:val="0"/>
              <w:autoSpaceDN w:val="0"/>
              <w:adjustRightInd w:val="0"/>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100.0%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100.0%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E32EC1" w:rsidRPr="00253961" w:rsidRDefault="00E32EC1" w:rsidP="00043875">
            <w:pPr>
              <w:autoSpaceDE w:val="0"/>
              <w:autoSpaceDN w:val="0"/>
              <w:adjustRightInd w:val="0"/>
              <w:ind w:left="60" w:right="60"/>
              <w:jc w:val="right"/>
            </w:pPr>
            <w:r w:rsidRPr="00253961">
              <w:t>100.0%</w:t>
            </w:r>
          </w:p>
        </w:tc>
      </w:tr>
    </w:tbl>
    <w:p w:rsidR="00355607" w:rsidRDefault="00355607" w:rsidP="001E68DA">
      <w:pPr>
        <w:autoSpaceDE w:val="0"/>
        <w:autoSpaceDN w:val="0"/>
        <w:adjustRightInd w:val="0"/>
        <w:spacing w:line="360" w:lineRule="auto"/>
      </w:pPr>
    </w:p>
    <w:p w:rsidR="001E68DA" w:rsidRDefault="001E68DA" w:rsidP="001E68DA">
      <w:pPr>
        <w:autoSpaceDE w:val="0"/>
        <w:autoSpaceDN w:val="0"/>
        <w:adjustRightInd w:val="0"/>
        <w:spacing w:line="360" w:lineRule="auto"/>
        <w:ind w:left="60" w:right="60"/>
        <w:rPr>
          <w:bCs/>
        </w:rPr>
      </w:pPr>
      <w:r>
        <w:rPr>
          <w:bCs/>
        </w:rPr>
        <w:lastRenderedPageBreak/>
        <w:t>Table 2.9</w:t>
      </w:r>
      <w:r w:rsidRPr="00864653">
        <w:rPr>
          <w:bCs/>
        </w:rPr>
        <w:t xml:space="preserve"> shows the number of respondents who reported adverse employment outcomes because of the fines they had received.</w:t>
      </w:r>
      <w:r>
        <w:rPr>
          <w:bCs/>
        </w:rPr>
        <w:t xml:space="preserve"> </w:t>
      </w:r>
      <w:r w:rsidRPr="00864653">
        <w:rPr>
          <w:bCs/>
        </w:rPr>
        <w:t>14.9% of respondents indicated that they lost their job as a result of the fines that they received over the last year.</w:t>
      </w:r>
      <w:r>
        <w:rPr>
          <w:bCs/>
        </w:rPr>
        <w:t xml:space="preserve"> </w:t>
      </w:r>
      <w:r w:rsidRPr="00864653">
        <w:rPr>
          <w:bCs/>
        </w:rPr>
        <w:t>It is unclear</w:t>
      </w:r>
      <w:r w:rsidR="00F60C24">
        <w:rPr>
          <w:bCs/>
        </w:rPr>
        <w:t xml:space="preserve"> what</w:t>
      </w:r>
      <w:r w:rsidRPr="00864653">
        <w:rPr>
          <w:bCs/>
        </w:rPr>
        <w:t xml:space="preserve"> the mechanisms </w:t>
      </w:r>
      <w:r w:rsidR="00F60C24">
        <w:rPr>
          <w:bCs/>
        </w:rPr>
        <w:lastRenderedPageBreak/>
        <w:t xml:space="preserve">are </w:t>
      </w:r>
      <w:r w:rsidRPr="00864653">
        <w:rPr>
          <w:bCs/>
        </w:rPr>
        <w:t>by which the fines resulted in job loss for these respondents.</w:t>
      </w:r>
      <w:r>
        <w:rPr>
          <w:bCs/>
        </w:rPr>
        <w:t xml:space="preserve"> </w:t>
      </w:r>
      <w:r w:rsidRPr="00864653">
        <w:rPr>
          <w:bCs/>
        </w:rPr>
        <w:t>One possible scenario is that those who were unable to pay their fines and who ended up with arrest warrants and in remand/other correctional facility may have faced employment challenges.</w:t>
      </w:r>
    </w:p>
    <w:p w:rsidR="001E68DA" w:rsidRDefault="001E68DA" w:rsidP="001E68DA">
      <w:pPr>
        <w:autoSpaceDE w:val="0"/>
        <w:autoSpaceDN w:val="0"/>
        <w:adjustRightInd w:val="0"/>
        <w:spacing w:line="360" w:lineRule="auto"/>
      </w:pPr>
    </w:p>
    <w:p w:rsidR="006B0179" w:rsidRDefault="006B0179">
      <w:r>
        <w:br w:type="page"/>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5"/>
        <w:gridCol w:w="750"/>
        <w:gridCol w:w="1735"/>
        <w:gridCol w:w="1800"/>
        <w:gridCol w:w="1440"/>
      </w:tblGrid>
      <w:tr w:rsidR="00355607" w:rsidRPr="00D036EB" w:rsidTr="00753621">
        <w:trPr>
          <w:cantSplit/>
        </w:trPr>
        <w:tc>
          <w:tcPr>
            <w:tcW w:w="8190" w:type="dxa"/>
            <w:gridSpan w:val="5"/>
            <w:tcBorders>
              <w:top w:val="nil"/>
              <w:left w:val="nil"/>
              <w:bottom w:val="single" w:sz="4" w:space="0" w:color="auto"/>
              <w:right w:val="nil"/>
            </w:tcBorders>
            <w:shd w:val="clear" w:color="auto" w:fill="FFFFFF"/>
            <w:vAlign w:val="center"/>
          </w:tcPr>
          <w:p w:rsidR="00355607" w:rsidRPr="00D036EB" w:rsidRDefault="003C76E0" w:rsidP="00043875">
            <w:pPr>
              <w:autoSpaceDE w:val="0"/>
              <w:autoSpaceDN w:val="0"/>
              <w:adjustRightInd w:val="0"/>
              <w:ind w:left="60" w:right="60"/>
              <w:rPr>
                <w:sz w:val="28"/>
                <w:szCs w:val="28"/>
              </w:rPr>
            </w:pPr>
            <w:r>
              <w:rPr>
                <w:b/>
                <w:bCs/>
                <w:sz w:val="28"/>
                <w:szCs w:val="28"/>
              </w:rPr>
              <w:lastRenderedPageBreak/>
              <w:t xml:space="preserve">Table </w:t>
            </w:r>
            <w:r w:rsidR="00D666B3">
              <w:rPr>
                <w:b/>
                <w:bCs/>
                <w:sz w:val="28"/>
                <w:szCs w:val="28"/>
              </w:rPr>
              <w:t>2.9</w:t>
            </w:r>
            <w:r w:rsidR="00753621">
              <w:rPr>
                <w:b/>
                <w:bCs/>
                <w:sz w:val="28"/>
                <w:szCs w:val="28"/>
              </w:rPr>
              <w:t xml:space="preserve"> Impact of Owing F</w:t>
            </w:r>
            <w:r w:rsidR="00355607" w:rsidRPr="00D036EB">
              <w:rPr>
                <w:b/>
                <w:bCs/>
                <w:sz w:val="28"/>
                <w:szCs w:val="28"/>
              </w:rPr>
              <w:t>ines: Lost Job by Ability to Pay Fine</w:t>
            </w:r>
          </w:p>
        </w:tc>
      </w:tr>
      <w:tr w:rsidR="00355607" w:rsidRPr="00253961" w:rsidTr="00753621">
        <w:trPr>
          <w:cantSplit/>
        </w:trPr>
        <w:tc>
          <w:tcPr>
            <w:tcW w:w="3215" w:type="dxa"/>
            <w:gridSpan w:val="2"/>
            <w:vMerge w:val="restart"/>
            <w:tcBorders>
              <w:top w:val="single" w:sz="4" w:space="0" w:color="auto"/>
            </w:tcBorders>
            <w:shd w:val="clear" w:color="auto" w:fill="FFFFFF"/>
            <w:vAlign w:val="bottom"/>
          </w:tcPr>
          <w:p w:rsidR="00355607" w:rsidRPr="00253961" w:rsidRDefault="00355607" w:rsidP="00043875">
            <w:pPr>
              <w:autoSpaceDE w:val="0"/>
              <w:autoSpaceDN w:val="0"/>
              <w:adjustRightInd w:val="0"/>
            </w:pPr>
          </w:p>
        </w:tc>
        <w:tc>
          <w:tcPr>
            <w:tcW w:w="3535" w:type="dxa"/>
            <w:gridSpan w:val="2"/>
            <w:tcBorders>
              <w:top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Did you have enough money to pay the fine?</w:t>
            </w:r>
          </w:p>
        </w:tc>
        <w:tc>
          <w:tcPr>
            <w:tcW w:w="1440" w:type="dxa"/>
            <w:vMerge w:val="restart"/>
            <w:tcBorders>
              <w:top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Total</w:t>
            </w:r>
          </w:p>
        </w:tc>
      </w:tr>
      <w:tr w:rsidR="00355607" w:rsidRPr="00253961" w:rsidTr="00753621">
        <w:trPr>
          <w:cantSplit/>
        </w:trPr>
        <w:tc>
          <w:tcPr>
            <w:tcW w:w="3215" w:type="dxa"/>
            <w:gridSpan w:val="2"/>
            <w:vMerge/>
            <w:shd w:val="clear" w:color="auto" w:fill="FFFFFF"/>
            <w:vAlign w:val="bottom"/>
          </w:tcPr>
          <w:p w:rsidR="00355607" w:rsidRPr="00253961" w:rsidRDefault="00355607" w:rsidP="00043875">
            <w:pPr>
              <w:autoSpaceDE w:val="0"/>
              <w:autoSpaceDN w:val="0"/>
              <w:adjustRightInd w:val="0"/>
            </w:pPr>
          </w:p>
        </w:tc>
        <w:tc>
          <w:tcPr>
            <w:tcW w:w="1735" w:type="dxa"/>
            <w:shd w:val="clear" w:color="auto" w:fill="FFFFFF"/>
            <w:vAlign w:val="bottom"/>
          </w:tcPr>
          <w:p w:rsidR="00355607" w:rsidRPr="00253961" w:rsidRDefault="00355607" w:rsidP="00043875">
            <w:pPr>
              <w:autoSpaceDE w:val="0"/>
              <w:autoSpaceDN w:val="0"/>
              <w:adjustRightInd w:val="0"/>
              <w:ind w:left="60" w:right="60"/>
              <w:jc w:val="center"/>
            </w:pPr>
            <w:r w:rsidRPr="00253961">
              <w:t>Yes</w:t>
            </w:r>
          </w:p>
        </w:tc>
        <w:tc>
          <w:tcPr>
            <w:tcW w:w="1800" w:type="dxa"/>
            <w:shd w:val="clear" w:color="auto" w:fill="FFFFFF"/>
            <w:vAlign w:val="bottom"/>
          </w:tcPr>
          <w:p w:rsidR="00355607" w:rsidRPr="00253961" w:rsidRDefault="00355607" w:rsidP="00043875">
            <w:pPr>
              <w:autoSpaceDE w:val="0"/>
              <w:autoSpaceDN w:val="0"/>
              <w:adjustRightInd w:val="0"/>
              <w:ind w:left="60" w:right="60"/>
              <w:jc w:val="center"/>
            </w:pPr>
            <w:r w:rsidRPr="00253961">
              <w:t>No</w:t>
            </w:r>
          </w:p>
        </w:tc>
        <w:tc>
          <w:tcPr>
            <w:tcW w:w="1440" w:type="dxa"/>
            <w:vMerge/>
            <w:shd w:val="clear" w:color="auto" w:fill="FFFFFF"/>
            <w:vAlign w:val="bottom"/>
          </w:tcPr>
          <w:p w:rsidR="00355607" w:rsidRPr="00253961" w:rsidRDefault="00355607" w:rsidP="00043875">
            <w:pPr>
              <w:autoSpaceDE w:val="0"/>
              <w:autoSpaceDN w:val="0"/>
              <w:adjustRightInd w:val="0"/>
            </w:pPr>
          </w:p>
        </w:tc>
      </w:tr>
      <w:tr w:rsidR="00355607" w:rsidRPr="00253961" w:rsidTr="00753621">
        <w:trPr>
          <w:cantSplit/>
        </w:trPr>
        <w:tc>
          <w:tcPr>
            <w:tcW w:w="2465" w:type="dxa"/>
            <w:vMerge w:val="restart"/>
            <w:shd w:val="clear" w:color="auto" w:fill="E0E0E0"/>
          </w:tcPr>
          <w:p w:rsidR="00355607" w:rsidRPr="00253961" w:rsidRDefault="00355607" w:rsidP="00043875">
            <w:pPr>
              <w:autoSpaceDE w:val="0"/>
              <w:autoSpaceDN w:val="0"/>
              <w:adjustRightInd w:val="0"/>
              <w:ind w:left="60" w:right="60"/>
            </w:pPr>
            <w:r w:rsidRPr="00253961">
              <w:t>Impact of owing fines: lost job</w:t>
            </w:r>
          </w:p>
        </w:tc>
        <w:tc>
          <w:tcPr>
            <w:tcW w:w="750" w:type="dxa"/>
            <w:vMerge w:val="restart"/>
            <w:shd w:val="clear" w:color="auto" w:fill="E0E0E0"/>
          </w:tcPr>
          <w:p w:rsidR="00355607" w:rsidRPr="00253961" w:rsidRDefault="00355607" w:rsidP="00043875">
            <w:pPr>
              <w:autoSpaceDE w:val="0"/>
              <w:autoSpaceDN w:val="0"/>
              <w:adjustRightInd w:val="0"/>
              <w:ind w:left="60" w:right="60"/>
            </w:pPr>
            <w:r w:rsidRPr="00253961">
              <w:t>Yes</w:t>
            </w:r>
          </w:p>
        </w:tc>
        <w:tc>
          <w:tcPr>
            <w:tcW w:w="1735" w:type="dxa"/>
            <w:shd w:val="clear" w:color="auto" w:fill="FFFFFF"/>
          </w:tcPr>
          <w:p w:rsidR="00355607" w:rsidRPr="00253961" w:rsidRDefault="00355607" w:rsidP="00043875">
            <w:pPr>
              <w:autoSpaceDE w:val="0"/>
              <w:autoSpaceDN w:val="0"/>
              <w:adjustRightInd w:val="0"/>
              <w:ind w:left="60" w:right="60"/>
              <w:jc w:val="right"/>
            </w:pPr>
            <w:r w:rsidRPr="00253961">
              <w:t>1</w:t>
            </w:r>
          </w:p>
        </w:tc>
        <w:tc>
          <w:tcPr>
            <w:tcW w:w="1800" w:type="dxa"/>
            <w:shd w:val="clear" w:color="auto" w:fill="FFFFFF"/>
          </w:tcPr>
          <w:p w:rsidR="00355607" w:rsidRPr="00253961" w:rsidRDefault="00355607" w:rsidP="00043875">
            <w:pPr>
              <w:autoSpaceDE w:val="0"/>
              <w:autoSpaceDN w:val="0"/>
              <w:adjustRightInd w:val="0"/>
              <w:ind w:left="60" w:right="60"/>
              <w:jc w:val="right"/>
            </w:pPr>
            <w:r w:rsidRPr="00253961">
              <w:t>33</w:t>
            </w:r>
          </w:p>
        </w:tc>
        <w:tc>
          <w:tcPr>
            <w:tcW w:w="1440" w:type="dxa"/>
            <w:shd w:val="clear" w:color="auto" w:fill="FFFFFF"/>
          </w:tcPr>
          <w:p w:rsidR="00355607" w:rsidRPr="00253961" w:rsidRDefault="00355607" w:rsidP="00043875">
            <w:pPr>
              <w:autoSpaceDE w:val="0"/>
              <w:autoSpaceDN w:val="0"/>
              <w:adjustRightInd w:val="0"/>
              <w:ind w:left="60" w:right="60"/>
              <w:jc w:val="right"/>
            </w:pPr>
            <w:r w:rsidRPr="00253961">
              <w:t>34</w:t>
            </w:r>
          </w:p>
        </w:tc>
      </w:tr>
      <w:tr w:rsidR="00355607" w:rsidRPr="00253961" w:rsidTr="00753621">
        <w:trPr>
          <w:cantSplit/>
        </w:trPr>
        <w:tc>
          <w:tcPr>
            <w:tcW w:w="2465" w:type="dxa"/>
            <w:vMerge/>
            <w:shd w:val="clear" w:color="auto" w:fill="E0E0E0"/>
          </w:tcPr>
          <w:p w:rsidR="00355607" w:rsidRPr="00253961" w:rsidRDefault="00355607" w:rsidP="00043875">
            <w:pPr>
              <w:autoSpaceDE w:val="0"/>
              <w:autoSpaceDN w:val="0"/>
              <w:adjustRightInd w:val="0"/>
            </w:pPr>
          </w:p>
        </w:tc>
        <w:tc>
          <w:tcPr>
            <w:tcW w:w="750" w:type="dxa"/>
            <w:vMerge/>
            <w:shd w:val="clear" w:color="auto" w:fill="E0E0E0"/>
          </w:tcPr>
          <w:p w:rsidR="00355607" w:rsidRPr="00253961" w:rsidRDefault="00355607" w:rsidP="00043875">
            <w:pPr>
              <w:autoSpaceDE w:val="0"/>
              <w:autoSpaceDN w:val="0"/>
              <w:adjustRightInd w:val="0"/>
            </w:pPr>
          </w:p>
        </w:tc>
        <w:tc>
          <w:tcPr>
            <w:tcW w:w="1735" w:type="dxa"/>
            <w:shd w:val="clear" w:color="auto" w:fill="FFFFFF"/>
          </w:tcPr>
          <w:p w:rsidR="00355607" w:rsidRPr="00253961" w:rsidRDefault="00355607" w:rsidP="00043875">
            <w:pPr>
              <w:autoSpaceDE w:val="0"/>
              <w:autoSpaceDN w:val="0"/>
              <w:adjustRightInd w:val="0"/>
              <w:ind w:left="60" w:right="60"/>
              <w:jc w:val="right"/>
            </w:pPr>
            <w:r w:rsidRPr="00253961">
              <w:t>1.2%</w:t>
            </w:r>
          </w:p>
        </w:tc>
        <w:tc>
          <w:tcPr>
            <w:tcW w:w="1800" w:type="dxa"/>
            <w:shd w:val="clear" w:color="auto" w:fill="FFFFFF"/>
          </w:tcPr>
          <w:p w:rsidR="00355607" w:rsidRPr="00253961" w:rsidRDefault="00355607" w:rsidP="00043875">
            <w:pPr>
              <w:autoSpaceDE w:val="0"/>
              <w:autoSpaceDN w:val="0"/>
              <w:adjustRightInd w:val="0"/>
              <w:ind w:left="60" w:right="60"/>
              <w:jc w:val="right"/>
            </w:pPr>
            <w:r w:rsidRPr="00253961">
              <w:t>14.9%</w:t>
            </w:r>
          </w:p>
        </w:tc>
        <w:tc>
          <w:tcPr>
            <w:tcW w:w="1440" w:type="dxa"/>
            <w:shd w:val="clear" w:color="auto" w:fill="FFFFFF"/>
          </w:tcPr>
          <w:p w:rsidR="00355607" w:rsidRPr="00253961" w:rsidRDefault="00355607" w:rsidP="00043875">
            <w:pPr>
              <w:autoSpaceDE w:val="0"/>
              <w:autoSpaceDN w:val="0"/>
              <w:adjustRightInd w:val="0"/>
              <w:ind w:left="60" w:right="60"/>
              <w:jc w:val="right"/>
            </w:pPr>
            <w:r w:rsidRPr="00253961">
              <w:t>11.2%</w:t>
            </w:r>
          </w:p>
        </w:tc>
      </w:tr>
      <w:tr w:rsidR="00355607" w:rsidRPr="00253961" w:rsidTr="00753621">
        <w:trPr>
          <w:cantSplit/>
        </w:trPr>
        <w:tc>
          <w:tcPr>
            <w:tcW w:w="2465" w:type="dxa"/>
            <w:vMerge/>
            <w:shd w:val="clear" w:color="auto" w:fill="E0E0E0"/>
          </w:tcPr>
          <w:p w:rsidR="00355607" w:rsidRPr="00253961" w:rsidRDefault="00355607" w:rsidP="00043875">
            <w:pPr>
              <w:autoSpaceDE w:val="0"/>
              <w:autoSpaceDN w:val="0"/>
              <w:adjustRightInd w:val="0"/>
            </w:pPr>
          </w:p>
        </w:tc>
        <w:tc>
          <w:tcPr>
            <w:tcW w:w="750" w:type="dxa"/>
            <w:vMerge w:val="restart"/>
            <w:shd w:val="clear" w:color="auto" w:fill="E0E0E0"/>
          </w:tcPr>
          <w:p w:rsidR="00355607" w:rsidRPr="00253961" w:rsidRDefault="00355607" w:rsidP="00043875">
            <w:pPr>
              <w:autoSpaceDE w:val="0"/>
              <w:autoSpaceDN w:val="0"/>
              <w:adjustRightInd w:val="0"/>
              <w:ind w:left="60" w:right="60"/>
            </w:pPr>
            <w:r w:rsidRPr="00253961">
              <w:t>No</w:t>
            </w:r>
          </w:p>
        </w:tc>
        <w:tc>
          <w:tcPr>
            <w:tcW w:w="1735" w:type="dxa"/>
            <w:shd w:val="clear" w:color="auto" w:fill="FFFFFF"/>
          </w:tcPr>
          <w:p w:rsidR="00355607" w:rsidRPr="00253961" w:rsidRDefault="00355607" w:rsidP="00043875">
            <w:pPr>
              <w:autoSpaceDE w:val="0"/>
              <w:autoSpaceDN w:val="0"/>
              <w:adjustRightInd w:val="0"/>
              <w:ind w:left="60" w:right="60"/>
              <w:jc w:val="right"/>
            </w:pPr>
            <w:r w:rsidRPr="00253961">
              <w:t>81</w:t>
            </w:r>
          </w:p>
        </w:tc>
        <w:tc>
          <w:tcPr>
            <w:tcW w:w="1800" w:type="dxa"/>
            <w:shd w:val="clear" w:color="auto" w:fill="FFFFFF"/>
          </w:tcPr>
          <w:p w:rsidR="00355607" w:rsidRPr="00253961" w:rsidRDefault="00355607" w:rsidP="00043875">
            <w:pPr>
              <w:autoSpaceDE w:val="0"/>
              <w:autoSpaceDN w:val="0"/>
              <w:adjustRightInd w:val="0"/>
              <w:ind w:left="60" w:right="60"/>
              <w:jc w:val="right"/>
            </w:pPr>
            <w:r w:rsidRPr="00253961">
              <w:t>188</w:t>
            </w:r>
          </w:p>
        </w:tc>
        <w:tc>
          <w:tcPr>
            <w:tcW w:w="1440" w:type="dxa"/>
            <w:shd w:val="clear" w:color="auto" w:fill="FFFFFF"/>
          </w:tcPr>
          <w:p w:rsidR="00355607" w:rsidRPr="00253961" w:rsidRDefault="00355607" w:rsidP="00043875">
            <w:pPr>
              <w:autoSpaceDE w:val="0"/>
              <w:autoSpaceDN w:val="0"/>
              <w:adjustRightInd w:val="0"/>
              <w:ind w:left="60" w:right="60"/>
              <w:jc w:val="right"/>
            </w:pPr>
            <w:r w:rsidRPr="00253961">
              <w:t>269</w:t>
            </w:r>
          </w:p>
        </w:tc>
      </w:tr>
      <w:tr w:rsidR="00355607" w:rsidRPr="00253961" w:rsidTr="00753621">
        <w:trPr>
          <w:cantSplit/>
        </w:trPr>
        <w:tc>
          <w:tcPr>
            <w:tcW w:w="2465" w:type="dxa"/>
            <w:vMerge/>
            <w:shd w:val="clear" w:color="auto" w:fill="E0E0E0"/>
          </w:tcPr>
          <w:p w:rsidR="00355607" w:rsidRPr="00253961" w:rsidRDefault="00355607" w:rsidP="00043875">
            <w:pPr>
              <w:autoSpaceDE w:val="0"/>
              <w:autoSpaceDN w:val="0"/>
              <w:adjustRightInd w:val="0"/>
            </w:pPr>
          </w:p>
        </w:tc>
        <w:tc>
          <w:tcPr>
            <w:tcW w:w="750" w:type="dxa"/>
            <w:vMerge/>
            <w:shd w:val="clear" w:color="auto" w:fill="E0E0E0"/>
          </w:tcPr>
          <w:p w:rsidR="00355607" w:rsidRPr="00253961" w:rsidRDefault="00355607" w:rsidP="00043875">
            <w:pPr>
              <w:autoSpaceDE w:val="0"/>
              <w:autoSpaceDN w:val="0"/>
              <w:adjustRightInd w:val="0"/>
            </w:pPr>
          </w:p>
        </w:tc>
        <w:tc>
          <w:tcPr>
            <w:tcW w:w="1735" w:type="dxa"/>
            <w:shd w:val="clear" w:color="auto" w:fill="FFFFFF"/>
          </w:tcPr>
          <w:p w:rsidR="00355607" w:rsidRPr="00253961" w:rsidRDefault="00355607" w:rsidP="00043875">
            <w:pPr>
              <w:autoSpaceDE w:val="0"/>
              <w:autoSpaceDN w:val="0"/>
              <w:adjustRightInd w:val="0"/>
              <w:ind w:left="60" w:right="60"/>
              <w:jc w:val="right"/>
            </w:pPr>
            <w:r w:rsidRPr="00253961">
              <w:t>98.8%</w:t>
            </w:r>
          </w:p>
        </w:tc>
        <w:tc>
          <w:tcPr>
            <w:tcW w:w="1800" w:type="dxa"/>
            <w:shd w:val="clear" w:color="auto" w:fill="FFFFFF"/>
          </w:tcPr>
          <w:p w:rsidR="00355607" w:rsidRPr="00253961" w:rsidRDefault="00355607" w:rsidP="00043875">
            <w:pPr>
              <w:autoSpaceDE w:val="0"/>
              <w:autoSpaceDN w:val="0"/>
              <w:adjustRightInd w:val="0"/>
              <w:ind w:left="60" w:right="60"/>
              <w:jc w:val="right"/>
            </w:pPr>
            <w:r w:rsidRPr="00253961">
              <w:t>85.1%</w:t>
            </w:r>
          </w:p>
        </w:tc>
        <w:tc>
          <w:tcPr>
            <w:tcW w:w="1440" w:type="dxa"/>
            <w:shd w:val="clear" w:color="auto" w:fill="FFFFFF"/>
          </w:tcPr>
          <w:p w:rsidR="00355607" w:rsidRPr="00253961" w:rsidRDefault="00355607" w:rsidP="00043875">
            <w:pPr>
              <w:autoSpaceDE w:val="0"/>
              <w:autoSpaceDN w:val="0"/>
              <w:adjustRightInd w:val="0"/>
              <w:ind w:left="60" w:right="60"/>
              <w:jc w:val="right"/>
            </w:pPr>
            <w:r w:rsidRPr="00253961">
              <w:t>88.8%</w:t>
            </w:r>
          </w:p>
        </w:tc>
      </w:tr>
      <w:tr w:rsidR="00355607" w:rsidRPr="00253961" w:rsidTr="00753621">
        <w:trPr>
          <w:cantSplit/>
        </w:trPr>
        <w:tc>
          <w:tcPr>
            <w:tcW w:w="3215" w:type="dxa"/>
            <w:gridSpan w:val="2"/>
            <w:vMerge w:val="restart"/>
            <w:shd w:val="clear" w:color="auto" w:fill="E0E0E0"/>
          </w:tcPr>
          <w:p w:rsidR="00355607" w:rsidRPr="00253961" w:rsidRDefault="00355607" w:rsidP="00043875">
            <w:pPr>
              <w:autoSpaceDE w:val="0"/>
              <w:autoSpaceDN w:val="0"/>
              <w:adjustRightInd w:val="0"/>
              <w:ind w:left="60" w:right="60"/>
            </w:pPr>
            <w:r w:rsidRPr="00253961">
              <w:t>Total</w:t>
            </w:r>
          </w:p>
        </w:tc>
        <w:tc>
          <w:tcPr>
            <w:tcW w:w="1735" w:type="dxa"/>
            <w:shd w:val="clear" w:color="auto" w:fill="FFFFFF"/>
          </w:tcPr>
          <w:p w:rsidR="00355607" w:rsidRPr="00253961" w:rsidRDefault="00355607" w:rsidP="00043875">
            <w:pPr>
              <w:autoSpaceDE w:val="0"/>
              <w:autoSpaceDN w:val="0"/>
              <w:adjustRightInd w:val="0"/>
              <w:ind w:left="60" w:right="60"/>
              <w:jc w:val="right"/>
            </w:pPr>
            <w:r w:rsidRPr="00253961">
              <w:t>82</w:t>
            </w:r>
          </w:p>
        </w:tc>
        <w:tc>
          <w:tcPr>
            <w:tcW w:w="1800" w:type="dxa"/>
            <w:shd w:val="clear" w:color="auto" w:fill="FFFFFF"/>
          </w:tcPr>
          <w:p w:rsidR="00355607" w:rsidRPr="00253961" w:rsidRDefault="00355607" w:rsidP="00043875">
            <w:pPr>
              <w:autoSpaceDE w:val="0"/>
              <w:autoSpaceDN w:val="0"/>
              <w:adjustRightInd w:val="0"/>
              <w:ind w:left="60" w:right="60"/>
              <w:jc w:val="right"/>
            </w:pPr>
            <w:r w:rsidRPr="00253961">
              <w:t>221</w:t>
            </w:r>
          </w:p>
        </w:tc>
        <w:tc>
          <w:tcPr>
            <w:tcW w:w="1440" w:type="dxa"/>
            <w:shd w:val="clear" w:color="auto" w:fill="FFFFFF"/>
          </w:tcPr>
          <w:p w:rsidR="00355607" w:rsidRPr="00253961" w:rsidRDefault="00355607" w:rsidP="00043875">
            <w:pPr>
              <w:autoSpaceDE w:val="0"/>
              <w:autoSpaceDN w:val="0"/>
              <w:adjustRightInd w:val="0"/>
              <w:ind w:left="60" w:right="60"/>
              <w:jc w:val="right"/>
            </w:pPr>
            <w:r w:rsidRPr="00253961">
              <w:t>303</w:t>
            </w:r>
          </w:p>
        </w:tc>
      </w:tr>
      <w:tr w:rsidR="00355607" w:rsidRPr="00253961" w:rsidTr="00753621">
        <w:trPr>
          <w:cantSplit/>
          <w:trHeight w:val="297"/>
        </w:trPr>
        <w:tc>
          <w:tcPr>
            <w:tcW w:w="3215" w:type="dxa"/>
            <w:gridSpan w:val="2"/>
            <w:vMerge/>
            <w:shd w:val="clear" w:color="auto" w:fill="E0E0E0"/>
          </w:tcPr>
          <w:p w:rsidR="00355607" w:rsidRPr="00253961" w:rsidRDefault="00355607" w:rsidP="00043875">
            <w:pPr>
              <w:autoSpaceDE w:val="0"/>
              <w:autoSpaceDN w:val="0"/>
              <w:adjustRightInd w:val="0"/>
            </w:pPr>
          </w:p>
        </w:tc>
        <w:tc>
          <w:tcPr>
            <w:tcW w:w="1735" w:type="dxa"/>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800" w:type="dxa"/>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440" w:type="dxa"/>
            <w:shd w:val="clear" w:color="auto" w:fill="FFFFFF"/>
          </w:tcPr>
          <w:p w:rsidR="00355607" w:rsidRPr="00253961" w:rsidRDefault="00355607" w:rsidP="00043875">
            <w:pPr>
              <w:autoSpaceDE w:val="0"/>
              <w:autoSpaceDN w:val="0"/>
              <w:adjustRightInd w:val="0"/>
              <w:ind w:left="60" w:right="60"/>
              <w:jc w:val="right"/>
            </w:pPr>
            <w:r w:rsidRPr="00253961">
              <w:t>100.0%</w:t>
            </w:r>
          </w:p>
        </w:tc>
      </w:tr>
    </w:tbl>
    <w:p w:rsidR="00355607" w:rsidRDefault="00355607" w:rsidP="00924A5F">
      <w:pPr>
        <w:autoSpaceDE w:val="0"/>
        <w:autoSpaceDN w:val="0"/>
        <w:adjustRightInd w:val="0"/>
      </w:pPr>
    </w:p>
    <w:p w:rsidR="00FD2614" w:rsidRDefault="00FD2614" w:rsidP="006B0179">
      <w:pPr>
        <w:autoSpaceDE w:val="0"/>
        <w:autoSpaceDN w:val="0"/>
        <w:adjustRightInd w:val="0"/>
        <w:spacing w:line="360" w:lineRule="auto"/>
      </w:pPr>
    </w:p>
    <w:p w:rsidR="006B0179" w:rsidRDefault="006B0179" w:rsidP="006B0179">
      <w:pPr>
        <w:autoSpaceDE w:val="0"/>
        <w:autoSpaceDN w:val="0"/>
        <w:adjustRightInd w:val="0"/>
        <w:spacing w:line="360" w:lineRule="auto"/>
      </w:pPr>
      <w:r>
        <w:t xml:space="preserve">Table 2.10 shows the number of respondents that indicated having to complete community services as a result of the fines they had received. The vast majority of respondents </w:t>
      </w:r>
      <w:r>
        <w:lastRenderedPageBreak/>
        <w:t xml:space="preserve">did not have community service as an impact of the fines they had received over the past year. This was true for both those who could pay their fines (98.8%) and those who could not (82.8%). Despite this, it was clear the slightly more respondents who could not pay their fines </w:t>
      </w:r>
      <w:r>
        <w:lastRenderedPageBreak/>
        <w:t xml:space="preserve">were involved in some form of community service as a result of their fines. </w:t>
      </w:r>
    </w:p>
    <w:p w:rsidR="00FD2614" w:rsidRDefault="00FD2614" w:rsidP="006B0179">
      <w:pPr>
        <w:autoSpaceDE w:val="0"/>
        <w:autoSpaceDN w:val="0"/>
        <w:adjustRightInd w:val="0"/>
        <w:spacing w:line="360" w:lineRule="auto"/>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95"/>
        <w:gridCol w:w="1689"/>
        <w:gridCol w:w="1800"/>
        <w:gridCol w:w="1440"/>
      </w:tblGrid>
      <w:tr w:rsidR="006B0179" w:rsidRPr="006B0179" w:rsidTr="00753621">
        <w:trPr>
          <w:cantSplit/>
        </w:trPr>
        <w:tc>
          <w:tcPr>
            <w:tcW w:w="8190" w:type="dxa"/>
            <w:gridSpan w:val="5"/>
            <w:tcBorders>
              <w:top w:val="nil"/>
              <w:left w:val="nil"/>
              <w:bottom w:val="nil"/>
              <w:right w:val="nil"/>
            </w:tcBorders>
            <w:shd w:val="clear" w:color="auto" w:fill="FFFFFF"/>
            <w:vAlign w:val="center"/>
          </w:tcPr>
          <w:p w:rsidR="006B0179" w:rsidRPr="006B0179" w:rsidRDefault="003C76E0" w:rsidP="006B0179">
            <w:pPr>
              <w:autoSpaceDE w:val="0"/>
              <w:autoSpaceDN w:val="0"/>
              <w:adjustRightInd w:val="0"/>
              <w:rPr>
                <w:b/>
                <w:sz w:val="28"/>
              </w:rPr>
            </w:pPr>
            <w:r>
              <w:rPr>
                <w:b/>
                <w:bCs/>
                <w:sz w:val="28"/>
                <w:szCs w:val="28"/>
              </w:rPr>
              <w:t xml:space="preserve">Table </w:t>
            </w:r>
            <w:r w:rsidR="00753621">
              <w:rPr>
                <w:b/>
                <w:sz w:val="28"/>
              </w:rPr>
              <w:t>2.10 Impact of Owing Fines: Community S</w:t>
            </w:r>
            <w:r w:rsidR="006B0179" w:rsidRPr="006B0179">
              <w:rPr>
                <w:b/>
                <w:sz w:val="28"/>
              </w:rPr>
              <w:t>ervice by Ability to Pay Fine</w:t>
            </w:r>
          </w:p>
        </w:tc>
      </w:tr>
      <w:tr w:rsidR="006B0179" w:rsidRPr="00E87012" w:rsidTr="00753621">
        <w:trPr>
          <w:cantSplit/>
          <w:trHeight w:val="255"/>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pPr>
          </w:p>
        </w:tc>
        <w:tc>
          <w:tcPr>
            <w:tcW w:w="34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ind w:left="60" w:right="60"/>
              <w:jc w:val="center"/>
            </w:pPr>
            <w:r w:rsidRPr="00E87012">
              <w:t>Did you have enough money to pay the fine?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ind w:left="60" w:right="60"/>
              <w:jc w:val="center"/>
            </w:pPr>
            <w:r w:rsidRPr="00E87012">
              <w:t>Total</w:t>
            </w:r>
          </w:p>
        </w:tc>
      </w:tr>
      <w:tr w:rsidR="006B0179" w:rsidRPr="00E87012" w:rsidTr="00753621">
        <w:trPr>
          <w:cantSplit/>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pPr>
          </w:p>
        </w:tc>
        <w:tc>
          <w:tcPr>
            <w:tcW w:w="1689" w:type="dxa"/>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ind w:left="60" w:right="60"/>
              <w:jc w:val="center"/>
            </w:pPr>
            <w:r w:rsidRPr="00E87012">
              <w:t>Yes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ind w:left="60" w:right="60"/>
              <w:jc w:val="center"/>
            </w:pPr>
            <w:r w:rsidRPr="00E87012">
              <w:t>No</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E87012" w:rsidRDefault="006B0179" w:rsidP="006B0179">
            <w:pPr>
              <w:autoSpaceDE w:val="0"/>
              <w:autoSpaceDN w:val="0"/>
              <w:adjustRightInd w:val="0"/>
            </w:pPr>
          </w:p>
        </w:tc>
      </w:tr>
      <w:tr w:rsidR="006B0179" w:rsidRPr="00E87012" w:rsidTr="00753621">
        <w:trPr>
          <w:cantSplit/>
        </w:trPr>
        <w:tc>
          <w:tcPr>
            <w:tcW w:w="2466" w:type="dxa"/>
            <w:vMerge w:val="restart"/>
            <w:tcBorders>
              <w:top w:val="single" w:sz="4" w:space="0" w:color="auto"/>
              <w:left w:val="nil"/>
              <w:bottom w:val="single" w:sz="4" w:space="0" w:color="auto"/>
              <w:right w:val="single" w:sz="4" w:space="0" w:color="auto"/>
            </w:tcBorders>
            <w:shd w:val="clear" w:color="auto" w:fill="E0E0E0"/>
          </w:tcPr>
          <w:p w:rsidR="006B0179" w:rsidRPr="00E87012" w:rsidRDefault="006B0179" w:rsidP="006B0179">
            <w:pPr>
              <w:autoSpaceDE w:val="0"/>
              <w:autoSpaceDN w:val="0"/>
              <w:adjustRightInd w:val="0"/>
              <w:ind w:left="60" w:right="60"/>
            </w:pPr>
            <w:r w:rsidRPr="00E87012">
              <w:t>Impact of owing fines: time doing community service</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tcPr>
          <w:p w:rsidR="006B0179" w:rsidRPr="00E87012" w:rsidRDefault="006B0179" w:rsidP="006B0179">
            <w:pPr>
              <w:autoSpaceDE w:val="0"/>
              <w:autoSpaceDN w:val="0"/>
              <w:adjustRightInd w:val="0"/>
              <w:ind w:left="60" w:right="60"/>
            </w:pPr>
            <w:r w:rsidRPr="00E87012">
              <w:t>Yes</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38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39</w:t>
            </w:r>
          </w:p>
        </w:tc>
      </w:tr>
      <w:tr w:rsidR="006B0179" w:rsidRPr="00E87012" w:rsidTr="00753621">
        <w:trPr>
          <w:cantSplit/>
        </w:trPr>
        <w:tc>
          <w:tcPr>
            <w:tcW w:w="2466" w:type="dxa"/>
            <w:vMerge/>
            <w:tcBorders>
              <w:top w:val="single" w:sz="4" w:space="0" w:color="auto"/>
              <w:left w:val="nil"/>
              <w:bottom w:val="single" w:sz="4" w:space="0" w:color="auto"/>
              <w:right w:val="single" w:sz="4" w:space="0" w:color="auto"/>
            </w:tcBorders>
            <w:shd w:val="clear" w:color="auto" w:fill="E0E0E0"/>
          </w:tcPr>
          <w:p w:rsidR="006B0179" w:rsidRPr="00E87012" w:rsidRDefault="006B0179" w:rsidP="006B0179">
            <w:pPr>
              <w:autoSpaceDE w:val="0"/>
              <w:autoSpaceDN w:val="0"/>
              <w:adjustRightInd w:val="0"/>
            </w:pPr>
          </w:p>
        </w:tc>
        <w:tc>
          <w:tcPr>
            <w:tcW w:w="795" w:type="dxa"/>
            <w:vMerge/>
            <w:tcBorders>
              <w:top w:val="single" w:sz="4" w:space="0" w:color="auto"/>
              <w:left w:val="single" w:sz="4" w:space="0" w:color="auto"/>
              <w:bottom w:val="single" w:sz="4" w:space="0" w:color="auto"/>
              <w:right w:val="single" w:sz="4" w:space="0" w:color="auto"/>
            </w:tcBorders>
            <w:shd w:val="clear" w:color="auto" w:fill="E0E0E0"/>
          </w:tcPr>
          <w:p w:rsidR="006B0179" w:rsidRPr="00E87012" w:rsidRDefault="006B0179" w:rsidP="006B0179">
            <w:pPr>
              <w:autoSpaceDE w:val="0"/>
              <w:autoSpaceDN w:val="0"/>
              <w:adjustRightInd w:val="0"/>
            </w:pP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17.2%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12.9%</w:t>
            </w:r>
          </w:p>
        </w:tc>
      </w:tr>
      <w:tr w:rsidR="006B0179" w:rsidRPr="00E87012" w:rsidTr="00753621">
        <w:trPr>
          <w:cantSplit/>
        </w:trPr>
        <w:tc>
          <w:tcPr>
            <w:tcW w:w="2466" w:type="dxa"/>
            <w:vMerge/>
            <w:tcBorders>
              <w:top w:val="single" w:sz="4" w:space="0" w:color="auto"/>
              <w:left w:val="nil"/>
              <w:bottom w:val="single" w:sz="4" w:space="0" w:color="auto"/>
              <w:right w:val="single" w:sz="4" w:space="0" w:color="auto"/>
            </w:tcBorders>
            <w:shd w:val="clear" w:color="auto" w:fill="E0E0E0"/>
          </w:tcPr>
          <w:p w:rsidR="006B0179" w:rsidRPr="00E87012" w:rsidRDefault="006B0179" w:rsidP="006B0179">
            <w:pPr>
              <w:autoSpaceDE w:val="0"/>
              <w:autoSpaceDN w:val="0"/>
              <w:adjustRightInd w:val="0"/>
            </w:pP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tcPr>
          <w:p w:rsidR="006B0179" w:rsidRPr="00E87012" w:rsidRDefault="006B0179" w:rsidP="006B0179">
            <w:pPr>
              <w:autoSpaceDE w:val="0"/>
              <w:autoSpaceDN w:val="0"/>
              <w:adjustRightInd w:val="0"/>
              <w:ind w:left="60" w:right="60"/>
            </w:pPr>
            <w:r w:rsidRPr="00E87012">
              <w:t>No</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81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183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264</w:t>
            </w:r>
          </w:p>
        </w:tc>
      </w:tr>
      <w:tr w:rsidR="006B0179" w:rsidRPr="00E87012" w:rsidTr="00753621">
        <w:trPr>
          <w:cantSplit/>
        </w:trPr>
        <w:tc>
          <w:tcPr>
            <w:tcW w:w="2466" w:type="dxa"/>
            <w:vMerge/>
            <w:tcBorders>
              <w:top w:val="single" w:sz="4" w:space="0" w:color="auto"/>
              <w:left w:val="nil"/>
              <w:bottom w:val="single" w:sz="4" w:space="0" w:color="auto"/>
              <w:right w:val="single" w:sz="4" w:space="0" w:color="auto"/>
            </w:tcBorders>
            <w:shd w:val="clear" w:color="auto" w:fill="E0E0E0"/>
          </w:tcPr>
          <w:p w:rsidR="006B0179" w:rsidRPr="00E87012" w:rsidRDefault="006B0179" w:rsidP="006B0179">
            <w:pPr>
              <w:autoSpaceDE w:val="0"/>
              <w:autoSpaceDN w:val="0"/>
              <w:adjustRightInd w:val="0"/>
            </w:pPr>
          </w:p>
        </w:tc>
        <w:tc>
          <w:tcPr>
            <w:tcW w:w="795" w:type="dxa"/>
            <w:vMerge/>
            <w:tcBorders>
              <w:top w:val="single" w:sz="4" w:space="0" w:color="auto"/>
              <w:left w:val="single" w:sz="4" w:space="0" w:color="auto"/>
              <w:bottom w:val="single" w:sz="4" w:space="0" w:color="auto"/>
              <w:right w:val="single" w:sz="4" w:space="0" w:color="auto"/>
            </w:tcBorders>
            <w:shd w:val="clear" w:color="auto" w:fill="E0E0E0"/>
          </w:tcPr>
          <w:p w:rsidR="006B0179" w:rsidRPr="00E87012" w:rsidRDefault="006B0179" w:rsidP="006B0179">
            <w:pPr>
              <w:autoSpaceDE w:val="0"/>
              <w:autoSpaceDN w:val="0"/>
              <w:adjustRightInd w:val="0"/>
            </w:pP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98.8%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82.8%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87.1%</w:t>
            </w:r>
          </w:p>
        </w:tc>
      </w:tr>
      <w:tr w:rsidR="006B0179" w:rsidRPr="00E87012" w:rsidTr="00753621">
        <w:trPr>
          <w:cantSplit/>
        </w:trPr>
        <w:tc>
          <w:tcPr>
            <w:tcW w:w="3261" w:type="dxa"/>
            <w:gridSpan w:val="2"/>
            <w:vMerge w:val="restart"/>
            <w:tcBorders>
              <w:top w:val="single" w:sz="4" w:space="0" w:color="auto"/>
              <w:left w:val="nil"/>
              <w:bottom w:val="single" w:sz="4" w:space="0" w:color="auto"/>
              <w:right w:val="single" w:sz="4" w:space="0" w:color="auto"/>
            </w:tcBorders>
            <w:shd w:val="clear" w:color="auto" w:fill="E0E0E0"/>
          </w:tcPr>
          <w:p w:rsidR="006B0179" w:rsidRPr="00E87012" w:rsidRDefault="006B0179" w:rsidP="006B0179">
            <w:pPr>
              <w:autoSpaceDE w:val="0"/>
              <w:autoSpaceDN w:val="0"/>
              <w:adjustRightInd w:val="0"/>
              <w:ind w:left="60" w:right="60"/>
            </w:pPr>
            <w:r w:rsidRPr="00E87012">
              <w:t>Total</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82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221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303</w:t>
            </w:r>
          </w:p>
        </w:tc>
      </w:tr>
      <w:tr w:rsidR="006B0179" w:rsidRPr="00E87012" w:rsidTr="00753621">
        <w:trPr>
          <w:cantSplit/>
        </w:trPr>
        <w:tc>
          <w:tcPr>
            <w:tcW w:w="3261" w:type="dxa"/>
            <w:gridSpan w:val="2"/>
            <w:vMerge/>
            <w:tcBorders>
              <w:top w:val="single" w:sz="4" w:space="0" w:color="auto"/>
              <w:left w:val="nil"/>
              <w:bottom w:val="single" w:sz="4" w:space="0" w:color="auto"/>
              <w:right w:val="single" w:sz="4" w:space="0" w:color="auto"/>
            </w:tcBorders>
            <w:shd w:val="clear" w:color="auto" w:fill="E0E0E0"/>
          </w:tcPr>
          <w:p w:rsidR="006B0179" w:rsidRPr="00E87012" w:rsidRDefault="006B0179" w:rsidP="006B0179">
            <w:pPr>
              <w:autoSpaceDE w:val="0"/>
              <w:autoSpaceDN w:val="0"/>
              <w:adjustRightInd w:val="0"/>
            </w:pPr>
          </w:p>
        </w:tc>
        <w:tc>
          <w:tcPr>
            <w:tcW w:w="1689"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100.0%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E87012" w:rsidRDefault="006B0179" w:rsidP="006B0179">
            <w:pPr>
              <w:autoSpaceDE w:val="0"/>
              <w:autoSpaceDN w:val="0"/>
              <w:adjustRightInd w:val="0"/>
              <w:ind w:left="60" w:right="60"/>
              <w:jc w:val="right"/>
            </w:pPr>
            <w:r w:rsidRPr="00E87012">
              <w:t>100.0%</w:t>
            </w:r>
          </w:p>
        </w:tc>
      </w:tr>
    </w:tbl>
    <w:p w:rsidR="00FD2614" w:rsidRDefault="00FD2614" w:rsidP="006B0179">
      <w:pPr>
        <w:autoSpaceDE w:val="0"/>
        <w:autoSpaceDN w:val="0"/>
        <w:adjustRightInd w:val="0"/>
        <w:spacing w:line="360" w:lineRule="auto"/>
      </w:pPr>
    </w:p>
    <w:p w:rsidR="006B0179" w:rsidRDefault="006B0179" w:rsidP="006B0179">
      <w:pPr>
        <w:autoSpaceDE w:val="0"/>
        <w:autoSpaceDN w:val="0"/>
        <w:adjustRightInd w:val="0"/>
        <w:spacing w:line="360" w:lineRule="auto"/>
      </w:pPr>
      <w:r>
        <w:t xml:space="preserve">Table 2.11 shows the number of respondents that indicated </w:t>
      </w:r>
      <w:r>
        <w:lastRenderedPageBreak/>
        <w:t xml:space="preserve">a warrant of their arrest had been issued by their ability to pay the fine. Not surprisingly, there were considerable differences between respondents who could and could not afford to pay their fines. 8.5% respondents that reported they could afford to pay their fines had a warrant, while </w:t>
      </w:r>
      <w:r>
        <w:lastRenderedPageBreak/>
        <w:t>48.0% of respondents that indicated they could not afford to pay their fines had a warrant issued for their arrest.</w:t>
      </w:r>
    </w:p>
    <w:p w:rsidR="006B0179" w:rsidRDefault="006B0179" w:rsidP="006B0179">
      <w:pPr>
        <w:autoSpaceDE w:val="0"/>
        <w:autoSpaceDN w:val="0"/>
        <w:adjustRightInd w:val="0"/>
        <w:spacing w:line="360" w:lineRule="auto"/>
      </w:pPr>
    </w:p>
    <w:p w:rsidR="006B0179" w:rsidRDefault="006B0179">
      <w:r>
        <w:br w:type="page"/>
      </w: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63"/>
        <w:gridCol w:w="1721"/>
        <w:gridCol w:w="1710"/>
        <w:gridCol w:w="1440"/>
      </w:tblGrid>
      <w:tr w:rsidR="006B0179" w:rsidRPr="006B0179" w:rsidTr="00753621">
        <w:trPr>
          <w:cantSplit/>
        </w:trPr>
        <w:tc>
          <w:tcPr>
            <w:tcW w:w="8100" w:type="dxa"/>
            <w:gridSpan w:val="5"/>
            <w:tcBorders>
              <w:top w:val="nil"/>
              <w:left w:val="nil"/>
              <w:bottom w:val="nil"/>
              <w:right w:val="nil"/>
            </w:tcBorders>
            <w:shd w:val="clear" w:color="auto" w:fill="FFFFFF"/>
            <w:vAlign w:val="center"/>
          </w:tcPr>
          <w:p w:rsidR="006B0179" w:rsidRPr="006B0179" w:rsidRDefault="003C76E0" w:rsidP="006B0179">
            <w:pPr>
              <w:autoSpaceDE w:val="0"/>
              <w:autoSpaceDN w:val="0"/>
              <w:adjustRightInd w:val="0"/>
              <w:ind w:right="60"/>
              <w:rPr>
                <w:b/>
                <w:bCs/>
                <w:sz w:val="28"/>
              </w:rPr>
            </w:pPr>
            <w:r>
              <w:rPr>
                <w:b/>
                <w:bCs/>
                <w:sz w:val="28"/>
                <w:szCs w:val="28"/>
              </w:rPr>
              <w:lastRenderedPageBreak/>
              <w:t xml:space="preserve">Table </w:t>
            </w:r>
            <w:r w:rsidR="006B0179" w:rsidRPr="006B0179">
              <w:rPr>
                <w:b/>
                <w:bCs/>
                <w:sz w:val="28"/>
              </w:rPr>
              <w:t>2.11</w:t>
            </w:r>
            <w:r w:rsidR="00753621">
              <w:rPr>
                <w:b/>
                <w:bCs/>
                <w:sz w:val="28"/>
              </w:rPr>
              <w:t xml:space="preserve"> Impact of Owing F</w:t>
            </w:r>
            <w:r w:rsidR="006B0179" w:rsidRPr="006B0179">
              <w:rPr>
                <w:b/>
                <w:bCs/>
                <w:sz w:val="28"/>
              </w:rPr>
              <w:t>ines: Warrant Issued for Arrest by Ability to Pay Fine</w:t>
            </w:r>
          </w:p>
        </w:tc>
      </w:tr>
      <w:tr w:rsidR="006B0179" w:rsidRPr="00253961" w:rsidTr="00753621">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pPr>
          </w:p>
        </w:tc>
        <w:tc>
          <w:tcPr>
            <w:tcW w:w="34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ind w:left="60" w:right="60"/>
              <w:jc w:val="center"/>
            </w:pPr>
            <w:r w:rsidRPr="00253961">
              <w:t>Did you have enough money to pay the fine?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ind w:left="60" w:right="60"/>
              <w:jc w:val="center"/>
            </w:pPr>
            <w:r w:rsidRPr="00253961">
              <w:t>Total</w:t>
            </w:r>
          </w:p>
        </w:tc>
      </w:tr>
      <w:tr w:rsidR="006B0179" w:rsidRPr="00253961" w:rsidTr="00753621">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ind w:left="60" w:right="60"/>
              <w:jc w:val="center"/>
            </w:pPr>
            <w:r w:rsidRPr="00253961">
              <w:t>Yes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ind w:left="60" w:right="60"/>
              <w:jc w:val="center"/>
            </w:pPr>
            <w:r w:rsidRPr="00253961">
              <w:t>No</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B0179" w:rsidRPr="00253961" w:rsidRDefault="006B0179" w:rsidP="006B0179">
            <w:pPr>
              <w:autoSpaceDE w:val="0"/>
              <w:autoSpaceDN w:val="0"/>
              <w:adjustRightInd w:val="0"/>
            </w:pPr>
          </w:p>
        </w:tc>
      </w:tr>
      <w:tr w:rsidR="006B0179" w:rsidRPr="00253961" w:rsidTr="00753621">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ind w:left="60" w:right="60"/>
            </w:pPr>
            <w:r w:rsidRPr="00253961">
              <w:t>Impact of owing fines: warrant issued for arrest</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ind w:left="60" w:right="60"/>
            </w:pPr>
            <w:r w:rsidRPr="00253961">
              <w:t>Yes</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7</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113</w:t>
            </w:r>
          </w:p>
        </w:tc>
      </w:tr>
      <w:tr w:rsidR="006B0179"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8.5%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48.0%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37.3%</w:t>
            </w:r>
          </w:p>
        </w:tc>
      </w:tr>
      <w:tr w:rsidR="006B0179"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ind w:left="60" w:right="60"/>
            </w:pPr>
            <w:r w:rsidRPr="00253961">
              <w:t>No</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75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115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190</w:t>
            </w:r>
          </w:p>
        </w:tc>
      </w:tr>
      <w:tr w:rsidR="006B0179" w:rsidRPr="00253961" w:rsidTr="00753621">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pPr>
          </w:p>
        </w:tc>
        <w:tc>
          <w:tcPr>
            <w:tcW w:w="763" w:type="dxa"/>
            <w:vMerge/>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91.5%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52.0%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62.7%</w:t>
            </w:r>
          </w:p>
        </w:tc>
      </w:tr>
      <w:tr w:rsidR="006B0179" w:rsidRPr="00253961" w:rsidTr="00753621">
        <w:trPr>
          <w:cantSplit/>
        </w:trPr>
        <w:tc>
          <w:tcPr>
            <w:tcW w:w="3229"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ind w:left="60" w:right="60"/>
            </w:pPr>
            <w:r w:rsidRPr="00253961">
              <w:t>Total</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82</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221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303</w:t>
            </w:r>
          </w:p>
        </w:tc>
      </w:tr>
      <w:tr w:rsidR="006B0179" w:rsidRPr="00253961" w:rsidTr="00753621">
        <w:trPr>
          <w:cantSplit/>
        </w:trPr>
        <w:tc>
          <w:tcPr>
            <w:tcW w:w="3229" w:type="dxa"/>
            <w:gridSpan w:val="2"/>
            <w:vMerge/>
            <w:tcBorders>
              <w:top w:val="single" w:sz="4" w:space="0" w:color="auto"/>
              <w:left w:val="single" w:sz="4" w:space="0" w:color="auto"/>
              <w:bottom w:val="single" w:sz="4" w:space="0" w:color="auto"/>
              <w:right w:val="single" w:sz="4" w:space="0" w:color="auto"/>
            </w:tcBorders>
            <w:shd w:val="clear" w:color="auto" w:fill="E0E0E0"/>
          </w:tcPr>
          <w:p w:rsidR="006B0179" w:rsidRPr="00253961" w:rsidRDefault="006B0179" w:rsidP="006B0179">
            <w:pPr>
              <w:autoSpaceDE w:val="0"/>
              <w:autoSpaceDN w:val="0"/>
              <w:adjustRightInd w:val="0"/>
            </w:pP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100.0%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B0179" w:rsidRPr="00253961" w:rsidRDefault="006B0179" w:rsidP="006B0179">
            <w:pPr>
              <w:autoSpaceDE w:val="0"/>
              <w:autoSpaceDN w:val="0"/>
              <w:adjustRightInd w:val="0"/>
              <w:ind w:left="60" w:right="60"/>
              <w:jc w:val="right"/>
            </w:pPr>
            <w:r w:rsidRPr="00253961">
              <w:t>100.0%</w:t>
            </w:r>
          </w:p>
        </w:tc>
      </w:tr>
    </w:tbl>
    <w:p w:rsidR="006B0179" w:rsidRDefault="006B0179" w:rsidP="006B0179">
      <w:pPr>
        <w:autoSpaceDE w:val="0"/>
        <w:autoSpaceDN w:val="0"/>
        <w:adjustRightInd w:val="0"/>
        <w:spacing w:line="360" w:lineRule="auto"/>
        <w:ind w:right="60"/>
      </w:pPr>
    </w:p>
    <w:p w:rsidR="006B0179" w:rsidRDefault="006B0179" w:rsidP="006B0179">
      <w:pPr>
        <w:autoSpaceDE w:val="0"/>
        <w:autoSpaceDN w:val="0"/>
        <w:adjustRightInd w:val="0"/>
        <w:spacing w:line="360" w:lineRule="auto"/>
        <w:ind w:right="60"/>
        <w:rPr>
          <w:bCs/>
        </w:rPr>
      </w:pPr>
      <w:r>
        <w:rPr>
          <w:bCs/>
        </w:rPr>
        <w:t xml:space="preserve">Table 2.12 shows the number of respondents that reported spending time in a remand or other correctional facility as a result of the fines they had </w:t>
      </w:r>
      <w:r>
        <w:rPr>
          <w:bCs/>
        </w:rPr>
        <w:lastRenderedPageBreak/>
        <w:t xml:space="preserve">received. 57 respondents reported spending time in remand or another correctional facility due to the fines they had received. A non-trivial number, 24.0% of respondents that reported being unable to pay their fines also reported being held in remand </w:t>
      </w:r>
      <w:r>
        <w:rPr>
          <w:bCs/>
        </w:rPr>
        <w:lastRenderedPageBreak/>
        <w:t>or another correctional facility as result of their fines.</w:t>
      </w:r>
    </w:p>
    <w:p w:rsidR="006B0179" w:rsidRDefault="006B0179" w:rsidP="006B0179">
      <w:pPr>
        <w:autoSpaceDE w:val="0"/>
        <w:autoSpaceDN w:val="0"/>
        <w:adjustRightInd w:val="0"/>
        <w:spacing w:line="360" w:lineRule="auto"/>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4"/>
        <w:gridCol w:w="795"/>
        <w:gridCol w:w="1691"/>
        <w:gridCol w:w="1710"/>
        <w:gridCol w:w="1440"/>
      </w:tblGrid>
      <w:tr w:rsidR="00C32252" w:rsidRPr="00C32252" w:rsidTr="00EE4AF5">
        <w:trPr>
          <w:cantSplit/>
        </w:trPr>
        <w:tc>
          <w:tcPr>
            <w:tcW w:w="8100" w:type="dxa"/>
            <w:gridSpan w:val="5"/>
            <w:tcBorders>
              <w:top w:val="nil"/>
              <w:left w:val="nil"/>
              <w:bottom w:val="nil"/>
              <w:right w:val="nil"/>
            </w:tcBorders>
            <w:shd w:val="clear" w:color="auto" w:fill="FFFFFF"/>
            <w:vAlign w:val="center"/>
          </w:tcPr>
          <w:p w:rsidR="00752E82" w:rsidRPr="00C32252" w:rsidRDefault="003C76E0" w:rsidP="006B0179">
            <w:pPr>
              <w:autoSpaceDE w:val="0"/>
              <w:autoSpaceDN w:val="0"/>
              <w:adjustRightInd w:val="0"/>
              <w:ind w:right="60"/>
              <w:rPr>
                <w:sz w:val="28"/>
              </w:rPr>
            </w:pPr>
            <w:r>
              <w:rPr>
                <w:b/>
                <w:bCs/>
                <w:sz w:val="28"/>
                <w:szCs w:val="28"/>
              </w:rPr>
              <w:t xml:space="preserve">Table </w:t>
            </w:r>
            <w:r w:rsidR="00D666B3">
              <w:rPr>
                <w:b/>
                <w:bCs/>
                <w:sz w:val="28"/>
              </w:rPr>
              <w:t>2.12</w:t>
            </w:r>
            <w:r w:rsidR="00C32252" w:rsidRPr="00C32252">
              <w:rPr>
                <w:b/>
                <w:bCs/>
                <w:sz w:val="28"/>
              </w:rPr>
              <w:t xml:space="preserve"> </w:t>
            </w:r>
            <w:r w:rsidR="00D35187">
              <w:rPr>
                <w:b/>
                <w:bCs/>
                <w:sz w:val="28"/>
              </w:rPr>
              <w:t>Impact</w:t>
            </w:r>
            <w:r w:rsidR="00753621">
              <w:rPr>
                <w:b/>
                <w:bCs/>
                <w:sz w:val="28"/>
              </w:rPr>
              <w:t xml:space="preserve"> of Owing F</w:t>
            </w:r>
            <w:r w:rsidR="00D35187">
              <w:rPr>
                <w:b/>
                <w:bCs/>
                <w:sz w:val="28"/>
              </w:rPr>
              <w:t>ines: Time in Remand or Other Correctional I</w:t>
            </w:r>
            <w:r w:rsidR="00752E82" w:rsidRPr="00C32252">
              <w:rPr>
                <w:b/>
                <w:bCs/>
                <w:sz w:val="28"/>
              </w:rPr>
              <w:t xml:space="preserve">nstitution </w:t>
            </w:r>
            <w:r w:rsidR="00D35187">
              <w:rPr>
                <w:b/>
                <w:bCs/>
                <w:sz w:val="28"/>
                <w:szCs w:val="28"/>
              </w:rPr>
              <w:t>by Ability to Pay Fine</w:t>
            </w:r>
          </w:p>
        </w:tc>
      </w:tr>
      <w:tr w:rsidR="00115BB4" w:rsidRPr="00C32252" w:rsidTr="00EE4AF5">
        <w:trPr>
          <w:cantSplit/>
          <w:trHeight w:val="227"/>
        </w:trPr>
        <w:tc>
          <w:tcPr>
            <w:tcW w:w="32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pP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ind w:left="60" w:right="60"/>
              <w:jc w:val="center"/>
            </w:pPr>
            <w:r w:rsidRPr="00115BB4">
              <w:t>Did you have enough money to pay the fine?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ind w:left="60" w:right="60"/>
              <w:jc w:val="center"/>
            </w:pPr>
            <w:r w:rsidRPr="00115BB4">
              <w:t>Total</w:t>
            </w:r>
          </w:p>
        </w:tc>
      </w:tr>
      <w:tr w:rsidR="008419BE" w:rsidRPr="00C32252" w:rsidTr="00EE4AF5">
        <w:trPr>
          <w:cantSplit/>
        </w:trPr>
        <w:tc>
          <w:tcPr>
            <w:tcW w:w="325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ind w:left="60" w:right="60"/>
              <w:jc w:val="center"/>
            </w:pPr>
            <w:r w:rsidRPr="00115BB4">
              <w:t>Yes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ind w:left="60" w:right="60"/>
              <w:jc w:val="center"/>
            </w:pPr>
            <w:r w:rsidRPr="00115BB4">
              <w:t>No</w:t>
            </w: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752E82" w:rsidRPr="00115BB4" w:rsidRDefault="00752E82" w:rsidP="00924A5F">
            <w:pPr>
              <w:autoSpaceDE w:val="0"/>
              <w:autoSpaceDN w:val="0"/>
              <w:adjustRightInd w:val="0"/>
            </w:pPr>
          </w:p>
        </w:tc>
      </w:tr>
      <w:tr w:rsidR="008419BE" w:rsidRPr="00C32252" w:rsidTr="00EE4AF5">
        <w:trPr>
          <w:cantSplit/>
        </w:trPr>
        <w:tc>
          <w:tcPr>
            <w:tcW w:w="2464" w:type="dxa"/>
            <w:vMerge w:val="restart"/>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ind w:left="60" w:right="60"/>
            </w:pPr>
            <w:r w:rsidRPr="00115BB4">
              <w:t>Impact of owing fines: time in remand or other correctional institution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ind w:left="60" w:right="60"/>
            </w:pPr>
            <w:r w:rsidRPr="00115BB4">
              <w:t>Yes</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4</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53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57</w:t>
            </w:r>
          </w:p>
        </w:tc>
      </w:tr>
      <w:tr w:rsidR="008419BE" w:rsidRPr="00C32252" w:rsidTr="00EE4AF5">
        <w:trPr>
          <w:cantSplit/>
        </w:trPr>
        <w:tc>
          <w:tcPr>
            <w:tcW w:w="2464" w:type="dxa"/>
            <w:vMerge/>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pPr>
          </w:p>
        </w:tc>
        <w:tc>
          <w:tcPr>
            <w:tcW w:w="795" w:type="dxa"/>
            <w:vMerge/>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pP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4.9%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24.0%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18.8%</w:t>
            </w:r>
          </w:p>
        </w:tc>
      </w:tr>
      <w:tr w:rsidR="008419BE" w:rsidRPr="00C32252" w:rsidTr="00EE4AF5">
        <w:trPr>
          <w:cantSplit/>
        </w:trPr>
        <w:tc>
          <w:tcPr>
            <w:tcW w:w="2464" w:type="dxa"/>
            <w:vMerge/>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pPr>
          </w:p>
        </w:tc>
        <w:tc>
          <w:tcPr>
            <w:tcW w:w="795" w:type="dxa"/>
            <w:vMerge w:val="restart"/>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ind w:left="60" w:right="60"/>
            </w:pPr>
            <w:r w:rsidRPr="00115BB4">
              <w:t>No</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78</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168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246</w:t>
            </w:r>
          </w:p>
        </w:tc>
      </w:tr>
      <w:tr w:rsidR="008419BE" w:rsidRPr="00C32252" w:rsidTr="00EE4AF5">
        <w:trPr>
          <w:cantSplit/>
        </w:trPr>
        <w:tc>
          <w:tcPr>
            <w:tcW w:w="2464" w:type="dxa"/>
            <w:vMerge/>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pPr>
          </w:p>
        </w:tc>
        <w:tc>
          <w:tcPr>
            <w:tcW w:w="795" w:type="dxa"/>
            <w:vMerge/>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pP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95.1%</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76.0%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81.2%</w:t>
            </w:r>
          </w:p>
        </w:tc>
      </w:tr>
      <w:tr w:rsidR="008419BE" w:rsidRPr="00C32252" w:rsidTr="00EE4AF5">
        <w:trPr>
          <w:cantSplit/>
        </w:trPr>
        <w:tc>
          <w:tcPr>
            <w:tcW w:w="3259"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ind w:left="60" w:right="60"/>
            </w:pPr>
            <w:r w:rsidRPr="00115BB4">
              <w:t>Total</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82</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221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303</w:t>
            </w:r>
          </w:p>
        </w:tc>
      </w:tr>
      <w:tr w:rsidR="008419BE" w:rsidRPr="00C32252" w:rsidTr="00EE4AF5">
        <w:trPr>
          <w:cantSplit/>
        </w:trPr>
        <w:tc>
          <w:tcPr>
            <w:tcW w:w="3259" w:type="dxa"/>
            <w:gridSpan w:val="2"/>
            <w:vMerge/>
            <w:tcBorders>
              <w:top w:val="single" w:sz="4" w:space="0" w:color="auto"/>
              <w:left w:val="single" w:sz="4" w:space="0" w:color="auto"/>
              <w:bottom w:val="single" w:sz="4" w:space="0" w:color="auto"/>
              <w:right w:val="single" w:sz="4" w:space="0" w:color="auto"/>
            </w:tcBorders>
            <w:shd w:val="clear" w:color="auto" w:fill="E0E0E0"/>
          </w:tcPr>
          <w:p w:rsidR="00115BB4" w:rsidRPr="00115BB4" w:rsidRDefault="00115BB4" w:rsidP="00924A5F">
            <w:pPr>
              <w:autoSpaceDE w:val="0"/>
              <w:autoSpaceDN w:val="0"/>
              <w:adjustRightInd w:val="0"/>
            </w:pP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100.0%</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100.0%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15BB4" w:rsidRPr="00115BB4" w:rsidRDefault="00115BB4" w:rsidP="00924A5F">
            <w:pPr>
              <w:autoSpaceDE w:val="0"/>
              <w:autoSpaceDN w:val="0"/>
              <w:adjustRightInd w:val="0"/>
              <w:ind w:left="60" w:right="60"/>
              <w:jc w:val="right"/>
            </w:pPr>
            <w:r w:rsidRPr="00115BB4">
              <w:t>100.0%</w:t>
            </w:r>
          </w:p>
        </w:tc>
      </w:tr>
    </w:tbl>
    <w:p w:rsidR="00752E82" w:rsidRDefault="00752E82" w:rsidP="006B0179">
      <w:pPr>
        <w:autoSpaceDE w:val="0"/>
        <w:autoSpaceDN w:val="0"/>
        <w:adjustRightInd w:val="0"/>
        <w:spacing w:line="360" w:lineRule="auto"/>
      </w:pPr>
    </w:p>
    <w:p w:rsidR="00BB3B56" w:rsidRPr="006B0179" w:rsidRDefault="00BB3B56" w:rsidP="006B0179">
      <w:pPr>
        <w:autoSpaceDE w:val="0"/>
        <w:autoSpaceDN w:val="0"/>
        <w:adjustRightInd w:val="0"/>
        <w:spacing w:line="360" w:lineRule="auto"/>
      </w:pPr>
      <w:r>
        <w:t xml:space="preserve">In order to get a better picture of the impact of being held in </w:t>
      </w:r>
      <w:r>
        <w:lastRenderedPageBreak/>
        <w:t>remand or another correctional facility respondents were asked to indicate the lengths of time they had spent incarcerated.</w:t>
      </w:r>
      <w:r w:rsidR="00AA5B12">
        <w:t xml:space="preserve"> </w:t>
      </w:r>
      <w:r>
        <w:t xml:space="preserve">Respondents were asked if they had spent one day or less or if they had spent more than one day incarcerated due to the </w:t>
      </w:r>
      <w:r>
        <w:lastRenderedPageBreak/>
        <w:t>fines they had received.</w:t>
      </w:r>
      <w:r w:rsidR="00AA5B12">
        <w:t xml:space="preserve"> </w:t>
      </w:r>
      <w:r>
        <w:t xml:space="preserve"> Tables 2.13 and 2.14 (see</w:t>
      </w:r>
      <w:r w:rsidR="00A46D67">
        <w:t xml:space="preserve"> </w:t>
      </w:r>
      <w:r>
        <w:t xml:space="preserve">immediately below) appear to indicate that those who were unable to pay their fines were more likely to not only be </w:t>
      </w:r>
      <w:r w:rsidRPr="006B0179">
        <w:t>incarcerated but were more likely to be incarcerated for longer periods of time.</w:t>
      </w:r>
      <w:r w:rsidR="00AA5B12" w:rsidRPr="006B0179">
        <w:t xml:space="preserve"> </w:t>
      </w:r>
      <w:r w:rsidRPr="006B0179">
        <w:t xml:space="preserve">3.7% of respondents that indicated </w:t>
      </w:r>
      <w:r w:rsidRPr="006B0179">
        <w:lastRenderedPageBreak/>
        <w:t>they were able to pay their fine indicated spending less than one day in custody, while those who could not pay their fine (23.5%) indicated they were held in custody for one day or less.</w:t>
      </w:r>
      <w:r w:rsidR="00AA5B12" w:rsidRPr="006B0179">
        <w:t xml:space="preserve"> </w:t>
      </w:r>
      <w:r w:rsidRPr="006B0179">
        <w:t xml:space="preserve">More striking were the responses for those who had reported experiencing custody </w:t>
      </w:r>
      <w:r w:rsidRPr="006B0179">
        <w:lastRenderedPageBreak/>
        <w:t>for more than one day.</w:t>
      </w:r>
      <w:r w:rsidR="00AA5B12" w:rsidRPr="006B0179">
        <w:t xml:space="preserve"> </w:t>
      </w:r>
      <w:r w:rsidRPr="006B0179">
        <w:t>None of the respondents that indicated they could pay their fine were held in custody for longer than one day, while 20.4% of respondents who could not pay their fines were held in custody for more than one day.</w:t>
      </w:r>
    </w:p>
    <w:p w:rsidR="00BB3B56" w:rsidRDefault="00BB3B56" w:rsidP="006B0179">
      <w:pPr>
        <w:autoSpaceDE w:val="0"/>
        <w:autoSpaceDN w:val="0"/>
        <w:adjustRightInd w:val="0"/>
        <w:spacing w:line="360" w:lineRule="auto"/>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79"/>
        <w:gridCol w:w="1795"/>
        <w:gridCol w:w="1800"/>
        <w:gridCol w:w="1350"/>
      </w:tblGrid>
      <w:tr w:rsidR="00355607" w:rsidRPr="00253961" w:rsidTr="00EE4AF5">
        <w:trPr>
          <w:cantSplit/>
        </w:trPr>
        <w:tc>
          <w:tcPr>
            <w:tcW w:w="8190" w:type="dxa"/>
            <w:gridSpan w:val="5"/>
            <w:tcBorders>
              <w:top w:val="nil"/>
              <w:left w:val="nil"/>
              <w:bottom w:val="single" w:sz="4" w:space="0" w:color="auto"/>
              <w:right w:val="nil"/>
            </w:tcBorders>
            <w:shd w:val="clear" w:color="auto" w:fill="FFFFFF"/>
            <w:vAlign w:val="center"/>
          </w:tcPr>
          <w:p w:rsidR="00355607" w:rsidRPr="00207DD1" w:rsidRDefault="003C76E0" w:rsidP="00043875">
            <w:pPr>
              <w:autoSpaceDE w:val="0"/>
              <w:autoSpaceDN w:val="0"/>
              <w:adjustRightInd w:val="0"/>
              <w:ind w:left="60" w:right="60"/>
              <w:rPr>
                <w:sz w:val="28"/>
                <w:szCs w:val="28"/>
              </w:rPr>
            </w:pPr>
            <w:r>
              <w:rPr>
                <w:b/>
                <w:bCs/>
                <w:sz w:val="28"/>
                <w:szCs w:val="28"/>
              </w:rPr>
              <w:lastRenderedPageBreak/>
              <w:t xml:space="preserve">Table </w:t>
            </w:r>
            <w:r w:rsidR="00355607" w:rsidRPr="00207DD1">
              <w:rPr>
                <w:b/>
                <w:bCs/>
                <w:sz w:val="28"/>
                <w:szCs w:val="28"/>
              </w:rPr>
              <w:t>2.13 Impact of owing fines: Detained for One Day or Less by Ability to Pay Fine</w:t>
            </w:r>
          </w:p>
        </w:tc>
      </w:tr>
      <w:tr w:rsidR="00355607" w:rsidRPr="00253961" w:rsidTr="00EE4AF5">
        <w:trPr>
          <w:cantSplit/>
        </w:trPr>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pPr>
          </w:p>
        </w:tc>
        <w:tc>
          <w:tcPr>
            <w:tcW w:w="35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Did you have enough money to pay the fine?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Total</w:t>
            </w:r>
          </w:p>
        </w:tc>
      </w:tr>
      <w:tr w:rsidR="00355607" w:rsidRPr="00253961" w:rsidTr="00EE4AF5">
        <w:trPr>
          <w:cantSplit/>
        </w:trPr>
        <w:tc>
          <w:tcPr>
            <w:tcW w:w="3245"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Yes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No</w:t>
            </w:r>
          </w:p>
        </w:tc>
        <w:tc>
          <w:tcPr>
            <w:tcW w:w="13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pPr>
          </w:p>
        </w:tc>
      </w:tr>
      <w:tr w:rsidR="00355607" w:rsidRPr="00253961" w:rsidTr="00EE4AF5">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Impact of owing fines: detained for one day or less</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Yes</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52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55</w:t>
            </w:r>
          </w:p>
        </w:tc>
      </w:tr>
      <w:tr w:rsidR="00355607" w:rsidRPr="00253961" w:rsidTr="00EE4AF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779"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3.7%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23.5%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18.2%</w:t>
            </w:r>
          </w:p>
        </w:tc>
      </w:tr>
      <w:tr w:rsidR="00355607" w:rsidRPr="00253961" w:rsidTr="00EE4AF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779"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No</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79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169</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248</w:t>
            </w:r>
          </w:p>
        </w:tc>
      </w:tr>
      <w:tr w:rsidR="00355607" w:rsidRPr="00253961" w:rsidTr="00EE4AF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779"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96.3%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76.5%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81.8%</w:t>
            </w:r>
          </w:p>
        </w:tc>
      </w:tr>
      <w:tr w:rsidR="00355607" w:rsidRPr="00253961" w:rsidTr="00EE4AF5">
        <w:trPr>
          <w:cantSplit/>
        </w:trPr>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Total</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82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221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303</w:t>
            </w:r>
          </w:p>
        </w:tc>
      </w:tr>
      <w:tr w:rsidR="00355607" w:rsidRPr="00253961" w:rsidTr="00EE4AF5">
        <w:trPr>
          <w:cantSplit/>
        </w:trPr>
        <w:tc>
          <w:tcPr>
            <w:tcW w:w="3245" w:type="dxa"/>
            <w:gridSpan w:val="2"/>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r>
    </w:tbl>
    <w:p w:rsidR="00355607" w:rsidRDefault="00EE4AF5" w:rsidP="00EE4AF5">
      <w:pPr>
        <w:tabs>
          <w:tab w:val="left" w:pos="1590"/>
        </w:tabs>
        <w:autoSpaceDE w:val="0"/>
        <w:autoSpaceDN w:val="0"/>
        <w:adjustRightInd w:val="0"/>
        <w:spacing w:line="360" w:lineRule="auto"/>
      </w:pPr>
      <w:r>
        <w:tab/>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6"/>
        <w:gridCol w:w="771"/>
        <w:gridCol w:w="1713"/>
        <w:gridCol w:w="1890"/>
        <w:gridCol w:w="1350"/>
      </w:tblGrid>
      <w:tr w:rsidR="00355607" w:rsidRPr="00253961" w:rsidTr="00EE4AF5">
        <w:trPr>
          <w:cantSplit/>
        </w:trPr>
        <w:tc>
          <w:tcPr>
            <w:tcW w:w="8190" w:type="dxa"/>
            <w:gridSpan w:val="5"/>
            <w:tcBorders>
              <w:top w:val="nil"/>
              <w:left w:val="nil"/>
              <w:bottom w:val="single" w:sz="4" w:space="0" w:color="auto"/>
              <w:right w:val="nil"/>
            </w:tcBorders>
            <w:shd w:val="clear" w:color="auto" w:fill="FFFFFF"/>
            <w:vAlign w:val="center"/>
          </w:tcPr>
          <w:p w:rsidR="00355607" w:rsidRPr="00207DD1" w:rsidRDefault="003C76E0" w:rsidP="00043875">
            <w:pPr>
              <w:autoSpaceDE w:val="0"/>
              <w:autoSpaceDN w:val="0"/>
              <w:adjustRightInd w:val="0"/>
              <w:ind w:left="60" w:right="60"/>
              <w:rPr>
                <w:sz w:val="28"/>
                <w:szCs w:val="28"/>
              </w:rPr>
            </w:pPr>
            <w:r>
              <w:rPr>
                <w:b/>
                <w:bCs/>
                <w:sz w:val="28"/>
                <w:szCs w:val="28"/>
              </w:rPr>
              <w:t xml:space="preserve">Table </w:t>
            </w:r>
            <w:r w:rsidR="00355607" w:rsidRPr="00207DD1">
              <w:rPr>
                <w:b/>
                <w:bCs/>
                <w:sz w:val="28"/>
                <w:szCs w:val="28"/>
              </w:rPr>
              <w:t>2.14 Impact of owing fines: Detained Two Days or More by Ability to Pay Fine</w:t>
            </w:r>
          </w:p>
        </w:tc>
      </w:tr>
      <w:tr w:rsidR="00355607" w:rsidRPr="00253961" w:rsidTr="00EE4AF5">
        <w:trPr>
          <w:cantSplit/>
        </w:trPr>
        <w:tc>
          <w:tcPr>
            <w:tcW w:w="32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pP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Did you have enough money to pay the fine?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Total</w:t>
            </w:r>
          </w:p>
        </w:tc>
      </w:tr>
      <w:tr w:rsidR="00355607" w:rsidRPr="00253961" w:rsidTr="00EE4AF5">
        <w:trPr>
          <w:cantSplit/>
        </w:trPr>
        <w:tc>
          <w:tcPr>
            <w:tcW w:w="3237"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pPr>
          </w:p>
        </w:tc>
        <w:tc>
          <w:tcPr>
            <w:tcW w:w="1713" w:type="dxa"/>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Yes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ind w:left="60" w:right="60"/>
              <w:jc w:val="center"/>
            </w:pPr>
            <w:r w:rsidRPr="00253961">
              <w:t>No</w:t>
            </w:r>
          </w:p>
        </w:tc>
        <w:tc>
          <w:tcPr>
            <w:tcW w:w="13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55607" w:rsidRPr="00253961" w:rsidRDefault="00355607" w:rsidP="00043875">
            <w:pPr>
              <w:autoSpaceDE w:val="0"/>
              <w:autoSpaceDN w:val="0"/>
              <w:adjustRightInd w:val="0"/>
            </w:pPr>
          </w:p>
        </w:tc>
      </w:tr>
      <w:tr w:rsidR="00355607" w:rsidRPr="00253961" w:rsidTr="00EE4AF5">
        <w:trPr>
          <w:cantSplit/>
        </w:trPr>
        <w:tc>
          <w:tcPr>
            <w:tcW w:w="2466"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Impact of owing fines: detained for more than one day</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Yes</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45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45</w:t>
            </w:r>
          </w:p>
        </w:tc>
      </w:tr>
      <w:tr w:rsidR="00355607" w:rsidRPr="00253961" w:rsidTr="00EE4AF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771"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0.0%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20.4%</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14.9%</w:t>
            </w:r>
          </w:p>
        </w:tc>
      </w:tr>
      <w:tr w:rsidR="00355607" w:rsidRPr="00253961" w:rsidTr="00EE4AF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771" w:type="dxa"/>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No</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176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258</w:t>
            </w:r>
          </w:p>
        </w:tc>
      </w:tr>
      <w:tr w:rsidR="00355607" w:rsidRPr="00253961" w:rsidTr="00EE4AF5">
        <w:trPr>
          <w:cantSplit/>
        </w:trPr>
        <w:tc>
          <w:tcPr>
            <w:tcW w:w="2466"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771" w:type="dxa"/>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79.6%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85.1%</w:t>
            </w:r>
          </w:p>
        </w:tc>
      </w:tr>
      <w:tr w:rsidR="00355607" w:rsidRPr="00253961" w:rsidTr="00EE4AF5">
        <w:trPr>
          <w:cantSplit/>
        </w:trPr>
        <w:tc>
          <w:tcPr>
            <w:tcW w:w="3237" w:type="dxa"/>
            <w:gridSpan w:val="2"/>
            <w:vMerge w:val="restart"/>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ind w:left="60" w:right="60"/>
            </w:pPr>
            <w:r w:rsidRPr="00253961">
              <w:t>Total</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82</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221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303</w:t>
            </w:r>
          </w:p>
        </w:tc>
      </w:tr>
      <w:tr w:rsidR="00355607" w:rsidRPr="00253961" w:rsidTr="00EE4AF5">
        <w:trPr>
          <w:cantSplit/>
        </w:trPr>
        <w:tc>
          <w:tcPr>
            <w:tcW w:w="3237" w:type="dxa"/>
            <w:gridSpan w:val="2"/>
            <w:vMerge/>
            <w:tcBorders>
              <w:top w:val="single" w:sz="4" w:space="0" w:color="auto"/>
              <w:left w:val="single" w:sz="4" w:space="0" w:color="auto"/>
              <w:bottom w:val="single" w:sz="4" w:space="0" w:color="auto"/>
              <w:right w:val="single" w:sz="4" w:space="0" w:color="auto"/>
            </w:tcBorders>
            <w:shd w:val="clear" w:color="auto" w:fill="E0E0E0"/>
          </w:tcPr>
          <w:p w:rsidR="00355607" w:rsidRPr="00253961" w:rsidRDefault="00355607" w:rsidP="00043875">
            <w:pPr>
              <w:autoSpaceDE w:val="0"/>
              <w:autoSpaceDN w:val="0"/>
              <w:adjustRightInd w:val="0"/>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355607" w:rsidRPr="00253961" w:rsidRDefault="00355607" w:rsidP="00043875">
            <w:pPr>
              <w:autoSpaceDE w:val="0"/>
              <w:autoSpaceDN w:val="0"/>
              <w:adjustRightInd w:val="0"/>
              <w:ind w:left="60" w:right="60"/>
              <w:jc w:val="right"/>
            </w:pPr>
            <w:r w:rsidRPr="00253961">
              <w:t>100.0%</w:t>
            </w:r>
          </w:p>
        </w:tc>
      </w:tr>
    </w:tbl>
    <w:p w:rsidR="006B0179" w:rsidRDefault="006B0179" w:rsidP="006B0179">
      <w:pPr>
        <w:autoSpaceDE w:val="0"/>
        <w:autoSpaceDN w:val="0"/>
        <w:adjustRightInd w:val="0"/>
        <w:spacing w:line="360" w:lineRule="auto"/>
      </w:pPr>
    </w:p>
    <w:p w:rsidR="00752E82" w:rsidRDefault="00B852B5" w:rsidP="006B0179">
      <w:pPr>
        <w:autoSpaceDE w:val="0"/>
        <w:autoSpaceDN w:val="0"/>
        <w:adjustRightInd w:val="0"/>
        <w:spacing w:line="360" w:lineRule="auto"/>
      </w:pPr>
      <w:r>
        <w:t>Often one of t</w:t>
      </w:r>
      <w:r w:rsidR="00A46D67">
        <w:t>he primary goals of bylaws is</w:t>
      </w:r>
      <w:r>
        <w:t xml:space="preserve"> </w:t>
      </w:r>
      <w:r w:rsidR="00AC2933">
        <w:t>deter</w:t>
      </w:r>
      <w:r w:rsidR="00A46D67">
        <w:t>rence</w:t>
      </w:r>
      <w:r w:rsidR="00AC2933">
        <w:t>.</w:t>
      </w:r>
      <w:r w:rsidR="00AA5B12">
        <w:t xml:space="preserve"> </w:t>
      </w:r>
      <w:r w:rsidR="00AC2933">
        <w:lastRenderedPageBreak/>
        <w:t>For example, deterring behaviours considered to contribute to social disorder in public spaces (for example, loitering). Respondents were asked if the fines they had received would deter them from committing simila</w:t>
      </w:r>
      <w:r w:rsidR="00B15773">
        <w:t>r acts in the future and why this might be the case.</w:t>
      </w:r>
      <w:r w:rsidR="00AA5B12">
        <w:t xml:space="preserve"> </w:t>
      </w:r>
      <w:r w:rsidR="00B15773">
        <w:t xml:space="preserve">45.4% of </w:t>
      </w:r>
      <w:r w:rsidR="00B15773">
        <w:lastRenderedPageBreak/>
        <w:t>respondents indicated that the fines they had received would deter them from taking similar actions in the future.</w:t>
      </w:r>
      <w:r w:rsidR="00AA5B12">
        <w:t xml:space="preserve"> </w:t>
      </w:r>
      <w:r w:rsidR="00B15773">
        <w:t>A further 16.8% also indicated that the fine acted as a deterrent because they could not afford to be caught and fined similarly in the future.</w:t>
      </w:r>
      <w:r w:rsidR="00AA5B12">
        <w:t xml:space="preserve"> </w:t>
      </w:r>
      <w:r w:rsidR="008F4144">
        <w:t>De</w:t>
      </w:r>
      <w:r w:rsidR="008F4144">
        <w:lastRenderedPageBreak/>
        <w:t xml:space="preserve">spite the majority of respondents (62.2%) indicated some level of deterrence as it relates to the fines they received, a non-trivial number of respondents </w:t>
      </w:r>
      <w:r w:rsidR="00242DC9">
        <w:t xml:space="preserve">(37.9%) </w:t>
      </w:r>
      <w:r w:rsidR="008F4144">
        <w:t>indicated that the fines would not deter them from committing similar acts in the future.</w:t>
      </w:r>
      <w:r w:rsidR="004250CE">
        <w:t xml:space="preserve"> </w:t>
      </w:r>
      <w:r w:rsidR="004250CE">
        <w:lastRenderedPageBreak/>
        <w:t>27.2% of respondents in</w:t>
      </w:r>
      <w:r w:rsidR="00242DC9">
        <w:t>dicated that the</w:t>
      </w:r>
      <w:r w:rsidR="004250CE">
        <w:t>y</w:t>
      </w:r>
      <w:r w:rsidR="00242DC9">
        <w:t xml:space="preserve"> would not be deterred by the fines because their circumstances made it difficult to avoid receiving similar tickets in the future.</w:t>
      </w:r>
      <w:r w:rsidR="00AA5B12">
        <w:t xml:space="preserve"> </w:t>
      </w:r>
      <w:r w:rsidR="00912396">
        <w:t xml:space="preserve">A further 10.7% pf respondents seemed to be apathetic about the future fines stating that they were not deterred by </w:t>
      </w:r>
      <w:r w:rsidR="00912396">
        <w:lastRenderedPageBreak/>
        <w:t>them and did not care if they received them.</w:t>
      </w:r>
    </w:p>
    <w:p w:rsidR="00EE4AF5" w:rsidRDefault="00EE4AF5" w:rsidP="006B0179">
      <w:pPr>
        <w:autoSpaceDE w:val="0"/>
        <w:autoSpaceDN w:val="0"/>
        <w:adjustRightInd w:val="0"/>
        <w:spacing w:line="360" w:lineRule="auto"/>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3042"/>
        <w:gridCol w:w="1162"/>
        <w:gridCol w:w="1024"/>
        <w:gridCol w:w="1473"/>
        <w:gridCol w:w="2070"/>
      </w:tblGrid>
      <w:tr w:rsidR="005B658D" w:rsidRPr="00C32252" w:rsidTr="006B0179">
        <w:trPr>
          <w:cantSplit/>
        </w:trPr>
        <w:tc>
          <w:tcPr>
            <w:tcW w:w="9720" w:type="dxa"/>
            <w:gridSpan w:val="6"/>
            <w:tcBorders>
              <w:top w:val="nil"/>
              <w:left w:val="nil"/>
              <w:bottom w:val="single" w:sz="4" w:space="0" w:color="auto"/>
              <w:right w:val="nil"/>
            </w:tcBorders>
            <w:shd w:val="clear" w:color="auto" w:fill="FFFFFF"/>
            <w:vAlign w:val="center"/>
          </w:tcPr>
          <w:p w:rsidR="005B658D" w:rsidRPr="00C32252" w:rsidRDefault="003C76E0" w:rsidP="00D35187">
            <w:pPr>
              <w:autoSpaceDE w:val="0"/>
              <w:autoSpaceDN w:val="0"/>
              <w:adjustRightInd w:val="0"/>
              <w:ind w:left="60" w:right="60"/>
              <w:rPr>
                <w:sz w:val="28"/>
              </w:rPr>
            </w:pPr>
            <w:r>
              <w:rPr>
                <w:b/>
                <w:bCs/>
                <w:sz w:val="28"/>
                <w:szCs w:val="28"/>
              </w:rPr>
              <w:t xml:space="preserve">Table </w:t>
            </w:r>
            <w:r w:rsidR="00C32252" w:rsidRPr="00C32252">
              <w:rPr>
                <w:b/>
                <w:bCs/>
                <w:sz w:val="28"/>
              </w:rPr>
              <w:t xml:space="preserve">2.16 </w:t>
            </w:r>
            <w:r w:rsidR="005B658D" w:rsidRPr="00C32252">
              <w:rPr>
                <w:b/>
                <w:bCs/>
                <w:sz w:val="28"/>
              </w:rPr>
              <w:t>Fine as deterrent</w:t>
            </w:r>
          </w:p>
        </w:tc>
      </w:tr>
      <w:tr w:rsidR="005B658D" w:rsidRPr="00C32252" w:rsidTr="006B0179">
        <w:trPr>
          <w:cantSplit/>
        </w:trPr>
        <w:tc>
          <w:tcPr>
            <w:tcW w:w="3991"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207DD1" w:rsidRDefault="005B658D" w:rsidP="00924A5F">
            <w:pPr>
              <w:autoSpaceDE w:val="0"/>
              <w:autoSpaceDN w:val="0"/>
              <w:adjustRightInd w:val="0"/>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207DD1" w:rsidRDefault="005B658D" w:rsidP="00924A5F">
            <w:pPr>
              <w:autoSpaceDE w:val="0"/>
              <w:autoSpaceDN w:val="0"/>
              <w:adjustRightInd w:val="0"/>
              <w:ind w:left="60" w:right="60"/>
              <w:jc w:val="center"/>
            </w:pPr>
            <w:r w:rsidRPr="00207DD1">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207DD1" w:rsidRDefault="005B658D" w:rsidP="00924A5F">
            <w:pPr>
              <w:autoSpaceDE w:val="0"/>
              <w:autoSpaceDN w:val="0"/>
              <w:adjustRightInd w:val="0"/>
              <w:ind w:left="60" w:right="60"/>
              <w:jc w:val="center"/>
            </w:pPr>
            <w:r w:rsidRPr="00207DD1">
              <w:t>Percent</w:t>
            </w:r>
          </w:p>
        </w:tc>
        <w:tc>
          <w:tcPr>
            <w:tcW w:w="147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207DD1" w:rsidRDefault="005B658D" w:rsidP="00924A5F">
            <w:pPr>
              <w:autoSpaceDE w:val="0"/>
              <w:autoSpaceDN w:val="0"/>
              <w:adjustRightInd w:val="0"/>
              <w:ind w:left="60" w:right="60"/>
              <w:jc w:val="center"/>
            </w:pPr>
            <w:r w:rsidRPr="00207DD1">
              <w:t>Valid Percent</w:t>
            </w:r>
          </w:p>
        </w:tc>
        <w:tc>
          <w:tcPr>
            <w:tcW w:w="207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207DD1" w:rsidRDefault="005B658D" w:rsidP="00924A5F">
            <w:pPr>
              <w:autoSpaceDE w:val="0"/>
              <w:autoSpaceDN w:val="0"/>
              <w:adjustRightInd w:val="0"/>
              <w:ind w:left="60" w:right="60"/>
              <w:jc w:val="center"/>
            </w:pPr>
            <w:r w:rsidRPr="00207DD1">
              <w:t>Cumulative Percent</w:t>
            </w:r>
          </w:p>
        </w:tc>
      </w:tr>
      <w:tr w:rsidR="005B658D" w:rsidRPr="00C32252" w:rsidTr="006B0179">
        <w:trPr>
          <w:cantSplit/>
        </w:trPr>
        <w:tc>
          <w:tcPr>
            <w:tcW w:w="949" w:type="dxa"/>
            <w:vMerge w:val="restart"/>
            <w:tcBorders>
              <w:top w:val="single" w:sz="8" w:space="0" w:color="152935"/>
              <w:left w:val="single" w:sz="4" w:space="0" w:color="auto"/>
              <w:bottom w:val="single" w:sz="8" w:space="0" w:color="AEAEAE"/>
              <w:right w:val="nil"/>
            </w:tcBorders>
            <w:shd w:val="clear" w:color="auto" w:fill="E0E0E0"/>
          </w:tcPr>
          <w:p w:rsidR="005B658D" w:rsidRPr="00207DD1" w:rsidRDefault="005B658D" w:rsidP="00924A5F">
            <w:pPr>
              <w:autoSpaceDE w:val="0"/>
              <w:autoSpaceDN w:val="0"/>
              <w:adjustRightInd w:val="0"/>
            </w:pPr>
          </w:p>
        </w:tc>
        <w:tc>
          <w:tcPr>
            <w:tcW w:w="3042" w:type="dxa"/>
            <w:tcBorders>
              <w:top w:val="single" w:sz="8" w:space="0" w:color="152935"/>
              <w:left w:val="nil"/>
              <w:bottom w:val="single" w:sz="8" w:space="0" w:color="AEAEAE"/>
              <w:right w:val="single" w:sz="4" w:space="0" w:color="auto"/>
            </w:tcBorders>
            <w:shd w:val="clear" w:color="auto" w:fill="E0E0E0"/>
          </w:tcPr>
          <w:p w:rsidR="005B658D" w:rsidRPr="00207DD1" w:rsidRDefault="005B658D" w:rsidP="00924A5F">
            <w:pPr>
              <w:autoSpaceDE w:val="0"/>
              <w:autoSpaceDN w:val="0"/>
              <w:adjustRightInd w:val="0"/>
              <w:ind w:left="60" w:right="60"/>
              <w:rPr>
                <w:b/>
              </w:rPr>
            </w:pPr>
            <w:r w:rsidRPr="00207DD1">
              <w:rPr>
                <w:b/>
              </w:rPr>
              <w:t>Yes, it prevented me from taking those actions again</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157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37.6</w:t>
            </w:r>
          </w:p>
        </w:tc>
        <w:tc>
          <w:tcPr>
            <w:tcW w:w="1473" w:type="dxa"/>
            <w:tcBorders>
              <w:top w:val="single" w:sz="8" w:space="0" w:color="152935"/>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45.4</w:t>
            </w:r>
          </w:p>
        </w:tc>
        <w:tc>
          <w:tcPr>
            <w:tcW w:w="2070" w:type="dxa"/>
            <w:tcBorders>
              <w:top w:val="single" w:sz="8" w:space="0" w:color="152935"/>
              <w:left w:val="single" w:sz="8" w:space="0" w:color="E0E0E0"/>
              <w:bottom w:val="single" w:sz="8" w:space="0" w:color="AEAEAE"/>
              <w:right w:val="single" w:sz="4" w:space="0" w:color="auto"/>
            </w:tcBorders>
            <w:shd w:val="clear" w:color="auto" w:fill="FFFFFF"/>
          </w:tcPr>
          <w:p w:rsidR="005B658D" w:rsidRPr="00207DD1" w:rsidRDefault="005B658D" w:rsidP="00924A5F">
            <w:pPr>
              <w:autoSpaceDE w:val="0"/>
              <w:autoSpaceDN w:val="0"/>
              <w:adjustRightInd w:val="0"/>
              <w:ind w:left="60" w:right="60"/>
              <w:jc w:val="right"/>
            </w:pPr>
            <w:r w:rsidRPr="00207DD1">
              <w:t>45.4</w:t>
            </w:r>
          </w:p>
        </w:tc>
      </w:tr>
      <w:tr w:rsidR="005B658D" w:rsidRPr="00C32252" w:rsidTr="006B0179">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207DD1" w:rsidRDefault="005B658D" w:rsidP="00924A5F">
            <w:pPr>
              <w:autoSpaceDE w:val="0"/>
              <w:autoSpaceDN w:val="0"/>
              <w:adjustRightInd w:val="0"/>
            </w:pPr>
          </w:p>
        </w:tc>
        <w:tc>
          <w:tcPr>
            <w:tcW w:w="3042" w:type="dxa"/>
            <w:tcBorders>
              <w:top w:val="single" w:sz="8" w:space="0" w:color="AEAEAE"/>
              <w:left w:val="nil"/>
              <w:bottom w:val="single" w:sz="8" w:space="0" w:color="AEAEAE"/>
              <w:right w:val="single" w:sz="4" w:space="0" w:color="auto"/>
            </w:tcBorders>
            <w:shd w:val="clear" w:color="auto" w:fill="E0E0E0"/>
          </w:tcPr>
          <w:p w:rsidR="005B658D" w:rsidRPr="00207DD1" w:rsidRDefault="00227E2B" w:rsidP="00924A5F">
            <w:pPr>
              <w:autoSpaceDE w:val="0"/>
              <w:autoSpaceDN w:val="0"/>
              <w:adjustRightInd w:val="0"/>
              <w:ind w:left="60" w:right="60"/>
              <w:rPr>
                <w:b/>
              </w:rPr>
            </w:pPr>
            <w:r w:rsidRPr="00207DD1">
              <w:rPr>
                <w:b/>
              </w:rPr>
              <w:t>Yes, I could not afford to</w:t>
            </w:r>
            <w:r w:rsidR="005B658D" w:rsidRPr="00207DD1">
              <w:rPr>
                <w:b/>
              </w:rPr>
              <w:t xml:space="preserve"> take that action again</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58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13.9</w:t>
            </w:r>
          </w:p>
        </w:tc>
        <w:tc>
          <w:tcPr>
            <w:tcW w:w="1473"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16.8</w:t>
            </w:r>
          </w:p>
        </w:tc>
        <w:tc>
          <w:tcPr>
            <w:tcW w:w="2070" w:type="dxa"/>
            <w:tcBorders>
              <w:top w:val="single" w:sz="8" w:space="0" w:color="AEAEAE"/>
              <w:left w:val="single" w:sz="8" w:space="0" w:color="E0E0E0"/>
              <w:bottom w:val="single" w:sz="8" w:space="0" w:color="AEAEAE"/>
              <w:right w:val="single" w:sz="4" w:space="0" w:color="auto"/>
            </w:tcBorders>
            <w:shd w:val="clear" w:color="auto" w:fill="FFFFFF"/>
          </w:tcPr>
          <w:p w:rsidR="005B658D" w:rsidRPr="00207DD1" w:rsidRDefault="005B658D" w:rsidP="00924A5F">
            <w:pPr>
              <w:autoSpaceDE w:val="0"/>
              <w:autoSpaceDN w:val="0"/>
              <w:adjustRightInd w:val="0"/>
              <w:ind w:left="60" w:right="60"/>
              <w:jc w:val="right"/>
            </w:pPr>
            <w:r w:rsidRPr="00207DD1">
              <w:t>62.1</w:t>
            </w:r>
          </w:p>
        </w:tc>
      </w:tr>
      <w:tr w:rsidR="005B658D" w:rsidRPr="00C32252" w:rsidTr="006B0179">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207DD1" w:rsidRDefault="005B658D" w:rsidP="00924A5F">
            <w:pPr>
              <w:autoSpaceDE w:val="0"/>
              <w:autoSpaceDN w:val="0"/>
              <w:adjustRightInd w:val="0"/>
            </w:pPr>
          </w:p>
        </w:tc>
        <w:tc>
          <w:tcPr>
            <w:tcW w:w="3042" w:type="dxa"/>
            <w:tcBorders>
              <w:top w:val="single" w:sz="8" w:space="0" w:color="AEAEAE"/>
              <w:left w:val="nil"/>
              <w:bottom w:val="single" w:sz="8" w:space="0" w:color="AEAEAE"/>
              <w:right w:val="single" w:sz="4" w:space="0" w:color="auto"/>
            </w:tcBorders>
            <w:shd w:val="clear" w:color="auto" w:fill="E0E0E0"/>
          </w:tcPr>
          <w:p w:rsidR="005B658D" w:rsidRPr="00207DD1" w:rsidRDefault="005B658D" w:rsidP="00924A5F">
            <w:pPr>
              <w:autoSpaceDE w:val="0"/>
              <w:autoSpaceDN w:val="0"/>
              <w:adjustRightInd w:val="0"/>
              <w:ind w:left="60" w:right="60"/>
              <w:rPr>
                <w:b/>
              </w:rPr>
            </w:pPr>
            <w:r w:rsidRPr="00207DD1">
              <w:rPr>
                <w:b/>
              </w:rPr>
              <w:t>No, my circumstances made it difficult for me to avoid getting a ticket again</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94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22.5</w:t>
            </w:r>
          </w:p>
        </w:tc>
        <w:tc>
          <w:tcPr>
            <w:tcW w:w="1473"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27.2</w:t>
            </w:r>
          </w:p>
        </w:tc>
        <w:tc>
          <w:tcPr>
            <w:tcW w:w="2070" w:type="dxa"/>
            <w:tcBorders>
              <w:top w:val="single" w:sz="8" w:space="0" w:color="AEAEAE"/>
              <w:left w:val="single" w:sz="8" w:space="0" w:color="E0E0E0"/>
              <w:bottom w:val="single" w:sz="8" w:space="0" w:color="AEAEAE"/>
              <w:right w:val="single" w:sz="4" w:space="0" w:color="auto"/>
            </w:tcBorders>
            <w:shd w:val="clear" w:color="auto" w:fill="FFFFFF"/>
          </w:tcPr>
          <w:p w:rsidR="005B658D" w:rsidRPr="00207DD1" w:rsidRDefault="005B658D" w:rsidP="00924A5F">
            <w:pPr>
              <w:autoSpaceDE w:val="0"/>
              <w:autoSpaceDN w:val="0"/>
              <w:adjustRightInd w:val="0"/>
              <w:ind w:left="60" w:right="60"/>
              <w:jc w:val="right"/>
            </w:pPr>
            <w:r w:rsidRPr="00207DD1">
              <w:t>89.3</w:t>
            </w:r>
          </w:p>
        </w:tc>
      </w:tr>
      <w:tr w:rsidR="005B658D" w:rsidRPr="00C32252" w:rsidTr="006B0179">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207DD1" w:rsidRDefault="005B658D" w:rsidP="00924A5F">
            <w:pPr>
              <w:autoSpaceDE w:val="0"/>
              <w:autoSpaceDN w:val="0"/>
              <w:adjustRightInd w:val="0"/>
            </w:pPr>
          </w:p>
        </w:tc>
        <w:tc>
          <w:tcPr>
            <w:tcW w:w="3042" w:type="dxa"/>
            <w:tcBorders>
              <w:top w:val="single" w:sz="8" w:space="0" w:color="AEAEAE"/>
              <w:left w:val="nil"/>
              <w:bottom w:val="single" w:sz="8" w:space="0" w:color="AEAEAE"/>
              <w:right w:val="single" w:sz="4" w:space="0" w:color="auto"/>
            </w:tcBorders>
            <w:shd w:val="clear" w:color="auto" w:fill="E0E0E0"/>
          </w:tcPr>
          <w:p w:rsidR="005B658D" w:rsidRPr="00207DD1" w:rsidRDefault="005B658D" w:rsidP="00924A5F">
            <w:pPr>
              <w:autoSpaceDE w:val="0"/>
              <w:autoSpaceDN w:val="0"/>
              <w:adjustRightInd w:val="0"/>
              <w:ind w:left="60" w:right="60"/>
              <w:rPr>
                <w:b/>
              </w:rPr>
            </w:pPr>
            <w:r w:rsidRPr="00207DD1">
              <w:rPr>
                <w:b/>
              </w:rPr>
              <w:t>No, I did not care about getting the ticket</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37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8.9</w:t>
            </w:r>
          </w:p>
        </w:tc>
        <w:tc>
          <w:tcPr>
            <w:tcW w:w="1473"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10.7</w:t>
            </w:r>
          </w:p>
        </w:tc>
        <w:tc>
          <w:tcPr>
            <w:tcW w:w="2070" w:type="dxa"/>
            <w:tcBorders>
              <w:top w:val="single" w:sz="8" w:space="0" w:color="AEAEAE"/>
              <w:left w:val="single" w:sz="8" w:space="0" w:color="E0E0E0"/>
              <w:bottom w:val="single" w:sz="8" w:space="0" w:color="AEAEAE"/>
              <w:right w:val="single" w:sz="4" w:space="0" w:color="auto"/>
            </w:tcBorders>
            <w:shd w:val="clear" w:color="auto" w:fill="FFFFFF"/>
          </w:tcPr>
          <w:p w:rsidR="005B658D" w:rsidRPr="00207DD1" w:rsidRDefault="005B658D" w:rsidP="00924A5F">
            <w:pPr>
              <w:autoSpaceDE w:val="0"/>
              <w:autoSpaceDN w:val="0"/>
              <w:adjustRightInd w:val="0"/>
              <w:ind w:left="60" w:right="60"/>
              <w:jc w:val="right"/>
            </w:pPr>
            <w:r w:rsidRPr="00207DD1">
              <w:t>100.0</w:t>
            </w:r>
          </w:p>
        </w:tc>
      </w:tr>
      <w:tr w:rsidR="005B658D" w:rsidRPr="00C32252" w:rsidTr="006B0179">
        <w:trPr>
          <w:cantSplit/>
        </w:trPr>
        <w:tc>
          <w:tcPr>
            <w:tcW w:w="949" w:type="dxa"/>
            <w:vMerge/>
            <w:tcBorders>
              <w:top w:val="single" w:sz="8" w:space="0" w:color="152935"/>
              <w:left w:val="single" w:sz="4" w:space="0" w:color="auto"/>
              <w:bottom w:val="single" w:sz="8" w:space="0" w:color="AEAEAE"/>
              <w:right w:val="nil"/>
            </w:tcBorders>
            <w:shd w:val="clear" w:color="auto" w:fill="E0E0E0"/>
          </w:tcPr>
          <w:p w:rsidR="005B658D" w:rsidRPr="00207DD1" w:rsidRDefault="005B658D" w:rsidP="00924A5F">
            <w:pPr>
              <w:autoSpaceDE w:val="0"/>
              <w:autoSpaceDN w:val="0"/>
              <w:adjustRightInd w:val="0"/>
            </w:pPr>
          </w:p>
        </w:tc>
        <w:tc>
          <w:tcPr>
            <w:tcW w:w="3042" w:type="dxa"/>
            <w:tcBorders>
              <w:top w:val="single" w:sz="8" w:space="0" w:color="AEAEAE"/>
              <w:left w:val="nil"/>
              <w:bottom w:val="single" w:sz="8" w:space="0" w:color="AEAEAE"/>
              <w:right w:val="single" w:sz="4" w:space="0" w:color="auto"/>
            </w:tcBorders>
            <w:shd w:val="clear" w:color="auto" w:fill="E0E0E0"/>
          </w:tcPr>
          <w:p w:rsidR="005B658D" w:rsidRPr="00207DD1" w:rsidRDefault="005B658D" w:rsidP="00924A5F">
            <w:pPr>
              <w:autoSpaceDE w:val="0"/>
              <w:autoSpaceDN w:val="0"/>
              <w:adjustRightInd w:val="0"/>
              <w:ind w:left="60" w:right="60"/>
            </w:pPr>
            <w:r w:rsidRPr="00207DD1">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346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83.0</w:t>
            </w:r>
          </w:p>
        </w:tc>
        <w:tc>
          <w:tcPr>
            <w:tcW w:w="1473"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100.0</w:t>
            </w:r>
          </w:p>
        </w:tc>
        <w:tc>
          <w:tcPr>
            <w:tcW w:w="207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207DD1" w:rsidRDefault="005B658D" w:rsidP="00924A5F">
            <w:pPr>
              <w:autoSpaceDE w:val="0"/>
              <w:autoSpaceDN w:val="0"/>
              <w:adjustRightInd w:val="0"/>
            </w:pPr>
          </w:p>
        </w:tc>
      </w:tr>
      <w:tr w:rsidR="005B658D" w:rsidRPr="00C32252" w:rsidTr="006B0179">
        <w:trPr>
          <w:cantSplit/>
        </w:trPr>
        <w:tc>
          <w:tcPr>
            <w:tcW w:w="949" w:type="dxa"/>
            <w:tcBorders>
              <w:top w:val="single" w:sz="8" w:space="0" w:color="AEAEAE"/>
              <w:left w:val="single" w:sz="4" w:space="0" w:color="auto"/>
              <w:bottom w:val="single" w:sz="8" w:space="0" w:color="AEAEAE"/>
              <w:right w:val="nil"/>
            </w:tcBorders>
            <w:shd w:val="clear" w:color="auto" w:fill="E0E0E0"/>
          </w:tcPr>
          <w:p w:rsidR="005B658D" w:rsidRPr="00207DD1" w:rsidRDefault="005B658D" w:rsidP="00924A5F">
            <w:pPr>
              <w:autoSpaceDE w:val="0"/>
              <w:autoSpaceDN w:val="0"/>
              <w:adjustRightInd w:val="0"/>
              <w:ind w:left="60" w:right="60"/>
            </w:pPr>
            <w:r w:rsidRPr="00207DD1">
              <w:t>Missing</w:t>
            </w:r>
          </w:p>
        </w:tc>
        <w:tc>
          <w:tcPr>
            <w:tcW w:w="3042" w:type="dxa"/>
            <w:tcBorders>
              <w:top w:val="single" w:sz="8" w:space="0" w:color="AEAEAE"/>
              <w:left w:val="nil"/>
              <w:bottom w:val="single" w:sz="8" w:space="0" w:color="AEAEAE"/>
              <w:right w:val="single" w:sz="4" w:space="0" w:color="auto"/>
            </w:tcBorders>
            <w:shd w:val="clear" w:color="auto" w:fill="E0E0E0"/>
          </w:tcPr>
          <w:p w:rsidR="005B658D" w:rsidRPr="00207DD1" w:rsidRDefault="005B658D" w:rsidP="00924A5F">
            <w:pPr>
              <w:autoSpaceDE w:val="0"/>
              <w:autoSpaceDN w:val="0"/>
              <w:adjustRightInd w:val="0"/>
              <w:ind w:left="60" w:right="60"/>
            </w:pPr>
            <w:r w:rsidRPr="00207DD1">
              <w:t>System</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71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17.0</w:t>
            </w:r>
          </w:p>
        </w:tc>
        <w:tc>
          <w:tcPr>
            <w:tcW w:w="147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207DD1" w:rsidRDefault="005B658D" w:rsidP="00924A5F">
            <w:pPr>
              <w:autoSpaceDE w:val="0"/>
              <w:autoSpaceDN w:val="0"/>
              <w:adjustRightInd w:val="0"/>
            </w:pPr>
          </w:p>
        </w:tc>
        <w:tc>
          <w:tcPr>
            <w:tcW w:w="207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207DD1" w:rsidRDefault="005B658D" w:rsidP="00924A5F">
            <w:pPr>
              <w:autoSpaceDE w:val="0"/>
              <w:autoSpaceDN w:val="0"/>
              <w:adjustRightInd w:val="0"/>
            </w:pPr>
          </w:p>
        </w:tc>
      </w:tr>
      <w:tr w:rsidR="005B658D" w:rsidRPr="00C32252" w:rsidTr="006B0179">
        <w:trPr>
          <w:cantSplit/>
        </w:trPr>
        <w:tc>
          <w:tcPr>
            <w:tcW w:w="3991"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207DD1" w:rsidRDefault="005B658D" w:rsidP="00924A5F">
            <w:pPr>
              <w:autoSpaceDE w:val="0"/>
              <w:autoSpaceDN w:val="0"/>
              <w:adjustRightInd w:val="0"/>
              <w:ind w:left="60" w:right="60"/>
            </w:pPr>
            <w:r w:rsidRPr="00207DD1">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207DD1" w:rsidRDefault="005B658D" w:rsidP="00924A5F">
            <w:pPr>
              <w:autoSpaceDE w:val="0"/>
              <w:autoSpaceDN w:val="0"/>
              <w:adjustRightInd w:val="0"/>
              <w:ind w:left="60" w:right="60"/>
              <w:jc w:val="right"/>
            </w:pPr>
            <w:r w:rsidRPr="00207DD1">
              <w:t>100.0</w:t>
            </w:r>
          </w:p>
        </w:tc>
        <w:tc>
          <w:tcPr>
            <w:tcW w:w="147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207DD1" w:rsidRDefault="005B658D" w:rsidP="00924A5F">
            <w:pPr>
              <w:autoSpaceDE w:val="0"/>
              <w:autoSpaceDN w:val="0"/>
              <w:adjustRightInd w:val="0"/>
            </w:pPr>
          </w:p>
        </w:tc>
        <w:tc>
          <w:tcPr>
            <w:tcW w:w="207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207DD1" w:rsidRDefault="005B658D" w:rsidP="00924A5F">
            <w:pPr>
              <w:autoSpaceDE w:val="0"/>
              <w:autoSpaceDN w:val="0"/>
              <w:adjustRightInd w:val="0"/>
            </w:pPr>
          </w:p>
        </w:tc>
      </w:tr>
    </w:tbl>
    <w:p w:rsidR="005B658D" w:rsidRPr="00C32252" w:rsidRDefault="005B658D" w:rsidP="006B0179">
      <w:pPr>
        <w:autoSpaceDE w:val="0"/>
        <w:autoSpaceDN w:val="0"/>
        <w:adjustRightInd w:val="0"/>
        <w:spacing w:line="360" w:lineRule="auto"/>
      </w:pPr>
    </w:p>
    <w:p w:rsidR="005B658D" w:rsidRPr="00C32252" w:rsidRDefault="0044766C" w:rsidP="006B0179">
      <w:pPr>
        <w:autoSpaceDE w:val="0"/>
        <w:autoSpaceDN w:val="0"/>
        <w:adjustRightInd w:val="0"/>
        <w:spacing w:line="360" w:lineRule="auto"/>
        <w:rPr>
          <w:b/>
          <w:i/>
          <w:sz w:val="28"/>
          <w:szCs w:val="28"/>
          <w:u w:val="single"/>
        </w:rPr>
      </w:pPr>
      <w:r w:rsidRPr="00C32252">
        <w:rPr>
          <w:b/>
          <w:i/>
          <w:sz w:val="28"/>
          <w:szCs w:val="28"/>
          <w:u w:val="single"/>
        </w:rPr>
        <w:t>Most Recent Fine</w:t>
      </w:r>
    </w:p>
    <w:p w:rsidR="005B658D" w:rsidRDefault="005B658D" w:rsidP="006B0179">
      <w:pPr>
        <w:autoSpaceDE w:val="0"/>
        <w:autoSpaceDN w:val="0"/>
        <w:adjustRightInd w:val="0"/>
        <w:spacing w:line="360" w:lineRule="auto"/>
      </w:pPr>
    </w:p>
    <w:p w:rsidR="00F97F20" w:rsidRDefault="00F97F20" w:rsidP="006B0179">
      <w:pPr>
        <w:autoSpaceDE w:val="0"/>
        <w:autoSpaceDN w:val="0"/>
        <w:adjustRightInd w:val="0"/>
        <w:spacing w:line="360" w:lineRule="auto"/>
      </w:pPr>
      <w:r w:rsidRPr="00827825">
        <w:lastRenderedPageBreak/>
        <w:t>In order to get a more detailed understanding of the impact of fines on participants the survey asked a number of questions relating to the most recent fine</w:t>
      </w:r>
      <w:r w:rsidR="00283993">
        <w:t>(s)</w:t>
      </w:r>
      <w:r w:rsidRPr="00827825">
        <w:t xml:space="preserve"> participants had received.</w:t>
      </w:r>
      <w:r w:rsidR="00AA5B12">
        <w:t xml:space="preserve"> </w:t>
      </w:r>
      <w:r w:rsidR="00CA76A0">
        <w:t>This was done</w:t>
      </w:r>
      <w:r w:rsidR="001066BF" w:rsidRPr="00827825">
        <w:t xml:space="preserve"> so that we might explore additional details relating to </w:t>
      </w:r>
      <w:r w:rsidR="00B97478">
        <w:t xml:space="preserve">the most recent </w:t>
      </w:r>
      <w:r w:rsidR="00B97478">
        <w:lastRenderedPageBreak/>
        <w:t xml:space="preserve">fine(s) </w:t>
      </w:r>
      <w:r w:rsidR="001066BF" w:rsidRPr="00827825">
        <w:t>respondents could recall receiving</w:t>
      </w:r>
      <w:r w:rsidR="00B97478">
        <w:t xml:space="preserve"> at one time</w:t>
      </w:r>
      <w:r w:rsidR="001066BF" w:rsidRPr="00827825">
        <w:t>.</w:t>
      </w:r>
      <w:r w:rsidR="00AA5B12">
        <w:t xml:space="preserve"> </w:t>
      </w:r>
      <w:r w:rsidR="00B97478">
        <w:t>Table 3.1 shows that 72.6% of respondents reported receiving one fine while 27.4% of respondents indicated receiving more than one fine during their most recent experience with bylaw enforcement.</w:t>
      </w:r>
    </w:p>
    <w:p w:rsidR="00B53C6E" w:rsidRPr="00C32252" w:rsidRDefault="00B53C6E" w:rsidP="006B0179">
      <w:pPr>
        <w:autoSpaceDE w:val="0"/>
        <w:autoSpaceDN w:val="0"/>
        <w:adjustRightInd w:val="0"/>
        <w:spacing w:line="360" w:lineRule="auto"/>
      </w:pPr>
    </w:p>
    <w:tbl>
      <w:tblPr>
        <w:tblW w:w="9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113"/>
        <w:gridCol w:w="1163"/>
        <w:gridCol w:w="1025"/>
        <w:gridCol w:w="1630"/>
        <w:gridCol w:w="2250"/>
      </w:tblGrid>
      <w:tr w:rsidR="005B658D" w:rsidRPr="00C32252" w:rsidTr="00EE4AF5">
        <w:trPr>
          <w:cantSplit/>
        </w:trPr>
        <w:tc>
          <w:tcPr>
            <w:tcW w:w="9128" w:type="dxa"/>
            <w:gridSpan w:val="6"/>
            <w:tcBorders>
              <w:top w:val="nil"/>
              <w:left w:val="nil"/>
              <w:bottom w:val="single" w:sz="4" w:space="0" w:color="auto"/>
              <w:right w:val="nil"/>
            </w:tcBorders>
            <w:shd w:val="clear" w:color="auto" w:fill="FFFFFF"/>
            <w:vAlign w:val="center"/>
          </w:tcPr>
          <w:p w:rsidR="005B658D" w:rsidRPr="00B53C6E" w:rsidRDefault="003C76E0" w:rsidP="00B53C6E">
            <w:pPr>
              <w:autoSpaceDE w:val="0"/>
              <w:autoSpaceDN w:val="0"/>
              <w:adjustRightInd w:val="0"/>
              <w:ind w:left="60" w:right="60"/>
              <w:rPr>
                <w:sz w:val="28"/>
                <w:szCs w:val="28"/>
              </w:rPr>
            </w:pPr>
            <w:r>
              <w:rPr>
                <w:b/>
                <w:bCs/>
                <w:sz w:val="28"/>
                <w:szCs w:val="28"/>
              </w:rPr>
              <w:t xml:space="preserve">Table </w:t>
            </w:r>
            <w:r w:rsidR="00830A27">
              <w:rPr>
                <w:b/>
                <w:bCs/>
                <w:sz w:val="28"/>
                <w:szCs w:val="28"/>
              </w:rPr>
              <w:t>3.1 Number of Fines Received</w:t>
            </w:r>
          </w:p>
        </w:tc>
      </w:tr>
      <w:tr w:rsidR="005B658D" w:rsidRPr="00C32252" w:rsidTr="00EE4AF5">
        <w:trPr>
          <w:cantSplit/>
        </w:trPr>
        <w:tc>
          <w:tcPr>
            <w:tcW w:w="306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B53C6E" w:rsidRDefault="005B658D" w:rsidP="00924A5F">
            <w:pPr>
              <w:autoSpaceDE w:val="0"/>
              <w:autoSpaceDN w:val="0"/>
              <w:adjustRightInd w:val="0"/>
            </w:pPr>
          </w:p>
        </w:tc>
        <w:tc>
          <w:tcPr>
            <w:tcW w:w="1163"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B53C6E" w:rsidRDefault="005B658D" w:rsidP="00924A5F">
            <w:pPr>
              <w:autoSpaceDE w:val="0"/>
              <w:autoSpaceDN w:val="0"/>
              <w:adjustRightInd w:val="0"/>
              <w:ind w:left="60" w:right="60"/>
              <w:jc w:val="center"/>
            </w:pPr>
            <w:r w:rsidRPr="00B53C6E">
              <w:t>Frequency</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B53C6E" w:rsidRDefault="005B658D" w:rsidP="00924A5F">
            <w:pPr>
              <w:autoSpaceDE w:val="0"/>
              <w:autoSpaceDN w:val="0"/>
              <w:adjustRightInd w:val="0"/>
              <w:ind w:left="60" w:right="60"/>
              <w:jc w:val="center"/>
            </w:pPr>
            <w:r w:rsidRPr="00B53C6E">
              <w:t>Percent</w:t>
            </w:r>
          </w:p>
        </w:tc>
        <w:tc>
          <w:tcPr>
            <w:tcW w:w="1630"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B53C6E" w:rsidRDefault="005B658D" w:rsidP="00924A5F">
            <w:pPr>
              <w:autoSpaceDE w:val="0"/>
              <w:autoSpaceDN w:val="0"/>
              <w:adjustRightInd w:val="0"/>
              <w:ind w:left="60" w:right="60"/>
              <w:jc w:val="center"/>
            </w:pPr>
            <w:r w:rsidRPr="00B53C6E">
              <w:t>Valid Percent</w:t>
            </w:r>
          </w:p>
        </w:tc>
        <w:tc>
          <w:tcPr>
            <w:tcW w:w="225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B53C6E" w:rsidRDefault="005B658D" w:rsidP="00924A5F">
            <w:pPr>
              <w:autoSpaceDE w:val="0"/>
              <w:autoSpaceDN w:val="0"/>
              <w:adjustRightInd w:val="0"/>
              <w:ind w:left="60" w:right="60"/>
              <w:jc w:val="center"/>
            </w:pPr>
            <w:r w:rsidRPr="00B53C6E">
              <w:t>Cumulative Percent</w:t>
            </w:r>
          </w:p>
        </w:tc>
      </w:tr>
      <w:tr w:rsidR="005B658D" w:rsidRPr="00C32252" w:rsidTr="00EE4AF5">
        <w:trPr>
          <w:cantSplit/>
        </w:trPr>
        <w:tc>
          <w:tcPr>
            <w:tcW w:w="947" w:type="dxa"/>
            <w:vMerge w:val="restart"/>
            <w:tcBorders>
              <w:top w:val="single" w:sz="8" w:space="0" w:color="152935"/>
              <w:left w:val="single" w:sz="4" w:space="0" w:color="auto"/>
              <w:bottom w:val="single" w:sz="8" w:space="0" w:color="AEAEAE"/>
              <w:right w:val="nil"/>
            </w:tcBorders>
            <w:shd w:val="clear" w:color="auto" w:fill="E0E0E0"/>
          </w:tcPr>
          <w:p w:rsidR="005B658D" w:rsidRPr="00B53C6E" w:rsidRDefault="005B658D" w:rsidP="00924A5F">
            <w:pPr>
              <w:autoSpaceDE w:val="0"/>
              <w:autoSpaceDN w:val="0"/>
              <w:adjustRightInd w:val="0"/>
              <w:ind w:left="60" w:right="60"/>
            </w:pPr>
          </w:p>
        </w:tc>
        <w:tc>
          <w:tcPr>
            <w:tcW w:w="2113" w:type="dxa"/>
            <w:tcBorders>
              <w:top w:val="single" w:sz="8" w:space="0" w:color="152935"/>
              <w:left w:val="nil"/>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One fine</w:t>
            </w:r>
          </w:p>
        </w:tc>
        <w:tc>
          <w:tcPr>
            <w:tcW w:w="1163" w:type="dxa"/>
            <w:tcBorders>
              <w:top w:val="single" w:sz="8" w:space="0" w:color="152935"/>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278</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66.7</w:t>
            </w:r>
          </w:p>
        </w:tc>
        <w:tc>
          <w:tcPr>
            <w:tcW w:w="1630" w:type="dxa"/>
            <w:tcBorders>
              <w:top w:val="single" w:sz="8" w:space="0" w:color="152935"/>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72.6</w:t>
            </w:r>
          </w:p>
        </w:tc>
        <w:tc>
          <w:tcPr>
            <w:tcW w:w="2250" w:type="dxa"/>
            <w:tcBorders>
              <w:top w:val="single" w:sz="8" w:space="0" w:color="152935"/>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72.6</w:t>
            </w:r>
          </w:p>
        </w:tc>
      </w:tr>
      <w:tr w:rsidR="005B658D" w:rsidRPr="00C32252" w:rsidTr="00EE4AF5">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B53C6E" w:rsidRDefault="005B658D" w:rsidP="00924A5F">
            <w:pPr>
              <w:autoSpaceDE w:val="0"/>
              <w:autoSpaceDN w:val="0"/>
              <w:adjustRightInd w:val="0"/>
            </w:pPr>
          </w:p>
        </w:tc>
        <w:tc>
          <w:tcPr>
            <w:tcW w:w="2113" w:type="dxa"/>
            <w:tcBorders>
              <w:top w:val="single" w:sz="8" w:space="0" w:color="AEAEAE"/>
              <w:left w:val="nil"/>
              <w:bottom w:val="single" w:sz="8" w:space="0" w:color="AEAEAE"/>
              <w:right w:val="single" w:sz="4" w:space="0" w:color="auto"/>
            </w:tcBorders>
            <w:shd w:val="clear" w:color="auto" w:fill="E0E0E0"/>
          </w:tcPr>
          <w:p w:rsidR="005B658D" w:rsidRPr="00B53C6E" w:rsidRDefault="00EE4AF5" w:rsidP="00924A5F">
            <w:pPr>
              <w:autoSpaceDE w:val="0"/>
              <w:autoSpaceDN w:val="0"/>
              <w:adjustRightInd w:val="0"/>
              <w:ind w:left="60" w:right="60"/>
              <w:rPr>
                <w:b/>
              </w:rPr>
            </w:pPr>
            <w:r>
              <w:rPr>
                <w:b/>
              </w:rPr>
              <w:t>Two or more</w:t>
            </w:r>
            <w:r w:rsidR="00766149" w:rsidRPr="00B53C6E">
              <w:rPr>
                <w:b/>
              </w:rPr>
              <w:t xml:space="preserve"> </w:t>
            </w:r>
            <w:r w:rsidR="005B658D" w:rsidRPr="00B53C6E">
              <w:rPr>
                <w:b/>
              </w:rPr>
              <w:t>fines</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105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25.2</w:t>
            </w:r>
          </w:p>
        </w:tc>
        <w:tc>
          <w:tcPr>
            <w:tcW w:w="1630"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27.4</w:t>
            </w:r>
          </w:p>
        </w:tc>
        <w:tc>
          <w:tcPr>
            <w:tcW w:w="225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100.0</w:t>
            </w:r>
          </w:p>
        </w:tc>
      </w:tr>
      <w:tr w:rsidR="005B658D" w:rsidRPr="00C32252" w:rsidTr="00EE4AF5">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B53C6E" w:rsidRDefault="005B658D" w:rsidP="00924A5F">
            <w:pPr>
              <w:autoSpaceDE w:val="0"/>
              <w:autoSpaceDN w:val="0"/>
              <w:adjustRightInd w:val="0"/>
            </w:pPr>
          </w:p>
        </w:tc>
        <w:tc>
          <w:tcPr>
            <w:tcW w:w="2113" w:type="dxa"/>
            <w:tcBorders>
              <w:top w:val="single" w:sz="8" w:space="0" w:color="AEAEAE"/>
              <w:left w:val="nil"/>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pPr>
            <w:r w:rsidRPr="00B53C6E">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383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91.8</w:t>
            </w:r>
          </w:p>
        </w:tc>
        <w:tc>
          <w:tcPr>
            <w:tcW w:w="1630"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100.0</w:t>
            </w:r>
          </w:p>
        </w:tc>
        <w:tc>
          <w:tcPr>
            <w:tcW w:w="225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B53C6E" w:rsidRDefault="005B658D" w:rsidP="00924A5F">
            <w:pPr>
              <w:autoSpaceDE w:val="0"/>
              <w:autoSpaceDN w:val="0"/>
              <w:adjustRightInd w:val="0"/>
            </w:pPr>
          </w:p>
        </w:tc>
      </w:tr>
      <w:tr w:rsidR="005B658D" w:rsidRPr="00C32252" w:rsidTr="00EE4AF5">
        <w:trPr>
          <w:cantSplit/>
        </w:trPr>
        <w:tc>
          <w:tcPr>
            <w:tcW w:w="947" w:type="dxa"/>
            <w:tcBorders>
              <w:top w:val="single" w:sz="8" w:space="0" w:color="AEAEAE"/>
              <w:left w:val="single" w:sz="4" w:space="0" w:color="auto"/>
              <w:bottom w:val="single" w:sz="8" w:space="0" w:color="AEAEAE"/>
              <w:right w:val="nil"/>
            </w:tcBorders>
            <w:shd w:val="clear" w:color="auto" w:fill="E0E0E0"/>
          </w:tcPr>
          <w:p w:rsidR="005B658D" w:rsidRPr="00B53C6E" w:rsidRDefault="005B658D" w:rsidP="00924A5F">
            <w:pPr>
              <w:autoSpaceDE w:val="0"/>
              <w:autoSpaceDN w:val="0"/>
              <w:adjustRightInd w:val="0"/>
              <w:ind w:left="60" w:right="60"/>
            </w:pPr>
            <w:r w:rsidRPr="00B53C6E">
              <w:t>Missing</w:t>
            </w:r>
          </w:p>
        </w:tc>
        <w:tc>
          <w:tcPr>
            <w:tcW w:w="2113" w:type="dxa"/>
            <w:tcBorders>
              <w:top w:val="single" w:sz="8" w:space="0" w:color="AEAEAE"/>
              <w:left w:val="nil"/>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pPr>
            <w:r w:rsidRPr="00B53C6E">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34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8.2</w:t>
            </w:r>
          </w:p>
        </w:tc>
        <w:tc>
          <w:tcPr>
            <w:tcW w:w="16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B53C6E" w:rsidRDefault="005B658D" w:rsidP="00924A5F">
            <w:pPr>
              <w:autoSpaceDE w:val="0"/>
              <w:autoSpaceDN w:val="0"/>
              <w:adjustRightInd w:val="0"/>
            </w:pPr>
          </w:p>
        </w:tc>
        <w:tc>
          <w:tcPr>
            <w:tcW w:w="225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B53C6E" w:rsidRDefault="005B658D" w:rsidP="00924A5F">
            <w:pPr>
              <w:autoSpaceDE w:val="0"/>
              <w:autoSpaceDN w:val="0"/>
              <w:adjustRightInd w:val="0"/>
            </w:pPr>
          </w:p>
        </w:tc>
      </w:tr>
      <w:tr w:rsidR="005B658D" w:rsidRPr="00C32252" w:rsidTr="00EE4AF5">
        <w:trPr>
          <w:cantSplit/>
        </w:trPr>
        <w:tc>
          <w:tcPr>
            <w:tcW w:w="3060"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B53C6E" w:rsidRDefault="005B658D" w:rsidP="00924A5F">
            <w:pPr>
              <w:autoSpaceDE w:val="0"/>
              <w:autoSpaceDN w:val="0"/>
              <w:adjustRightInd w:val="0"/>
              <w:ind w:left="60" w:right="60"/>
            </w:pPr>
            <w:r w:rsidRPr="00B53C6E">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100.0</w:t>
            </w:r>
          </w:p>
        </w:tc>
        <w:tc>
          <w:tcPr>
            <w:tcW w:w="1630"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B53C6E" w:rsidRDefault="005B658D" w:rsidP="00924A5F">
            <w:pPr>
              <w:autoSpaceDE w:val="0"/>
              <w:autoSpaceDN w:val="0"/>
              <w:adjustRightInd w:val="0"/>
            </w:pPr>
          </w:p>
        </w:tc>
        <w:tc>
          <w:tcPr>
            <w:tcW w:w="225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B53C6E" w:rsidRDefault="005B658D" w:rsidP="00924A5F">
            <w:pPr>
              <w:autoSpaceDE w:val="0"/>
              <w:autoSpaceDN w:val="0"/>
              <w:adjustRightInd w:val="0"/>
            </w:pPr>
          </w:p>
        </w:tc>
      </w:tr>
    </w:tbl>
    <w:p w:rsidR="007C3BD3" w:rsidRDefault="007C3BD3" w:rsidP="006B0179">
      <w:pPr>
        <w:autoSpaceDE w:val="0"/>
        <w:autoSpaceDN w:val="0"/>
        <w:adjustRightInd w:val="0"/>
        <w:spacing w:line="360" w:lineRule="auto"/>
      </w:pPr>
    </w:p>
    <w:p w:rsidR="005B658D" w:rsidRDefault="00B10E86" w:rsidP="006B0179">
      <w:pPr>
        <w:autoSpaceDE w:val="0"/>
        <w:autoSpaceDN w:val="0"/>
        <w:adjustRightInd w:val="0"/>
        <w:spacing w:line="360" w:lineRule="auto"/>
      </w:pPr>
      <w:r w:rsidRPr="006F4008">
        <w:t>Table 3.2 summarizes t</w:t>
      </w:r>
      <w:r w:rsidR="00872ECF" w:rsidRPr="006F4008">
        <w:t>he</w:t>
      </w:r>
      <w:r w:rsidRPr="006F4008">
        <w:t xml:space="preserve"> types of fines respondents received most recently. As with fines over </w:t>
      </w:r>
      <w:r w:rsidR="002D4124">
        <w:t xml:space="preserve">the </w:t>
      </w:r>
      <w:r w:rsidRPr="006F4008">
        <w:t xml:space="preserve">past year, the vast majority, 65.5%, respondents indicated they had </w:t>
      </w:r>
      <w:r w:rsidRPr="006F4008">
        <w:lastRenderedPageBreak/>
        <w:t>received transit fines most recently.</w:t>
      </w:r>
      <w:r w:rsidR="00AA5B12">
        <w:t xml:space="preserve"> </w:t>
      </w:r>
      <w:r w:rsidRPr="006F4008">
        <w:t>The next most frequently reported fines received by respondents were related to pets at 13.8% of cases.</w:t>
      </w:r>
      <w:r w:rsidR="00AA5B12">
        <w:t xml:space="preserve"> </w:t>
      </w:r>
      <w:r w:rsidR="00573856" w:rsidRPr="006F4008">
        <w:t xml:space="preserve">These were followed by public intoxication (7.6%), loitering (6.5%), Public urination/defection (4.5%), Littering (4.0%), </w:t>
      </w:r>
      <w:r w:rsidR="00573856" w:rsidRPr="006F4008">
        <w:lastRenderedPageBreak/>
        <w:t>Noise (3.7%), Panhandling (3.4%), fighting (3.4%), spitting (3.4%), home maintenance (2.5%) and graffiti (0.6%).</w:t>
      </w:r>
      <w:r w:rsidR="00AA5B12">
        <w:t xml:space="preserve"> </w:t>
      </w:r>
      <w:r w:rsidR="00573856" w:rsidRPr="006F4008">
        <w:t xml:space="preserve">A further 9.6% of cases reported other types of bylaws (for example, </w:t>
      </w:r>
      <w:r w:rsidR="00760694" w:rsidRPr="00760694">
        <w:t>jaywalking, parking fines, and skateboarding</w:t>
      </w:r>
      <w:r w:rsidR="00573856" w:rsidRPr="006F4008">
        <w:t>).</w:t>
      </w:r>
    </w:p>
    <w:p w:rsidR="007C3BD3" w:rsidRPr="006F4008" w:rsidRDefault="007C3BD3" w:rsidP="006B0179">
      <w:pPr>
        <w:autoSpaceDE w:val="0"/>
        <w:autoSpaceDN w:val="0"/>
        <w:adjustRightInd w:val="0"/>
        <w:spacing w:line="360" w:lineRule="auto"/>
      </w:pPr>
    </w:p>
    <w:tbl>
      <w:tblPr>
        <w:tblW w:w="8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4"/>
        <w:gridCol w:w="2448"/>
        <w:gridCol w:w="1455"/>
        <w:gridCol w:w="1276"/>
        <w:gridCol w:w="1660"/>
      </w:tblGrid>
      <w:tr w:rsidR="005B658D" w:rsidRPr="00C32252" w:rsidTr="00573856">
        <w:trPr>
          <w:cantSplit/>
        </w:trPr>
        <w:tc>
          <w:tcPr>
            <w:tcW w:w="8323" w:type="dxa"/>
            <w:gridSpan w:val="5"/>
            <w:tcBorders>
              <w:top w:val="nil"/>
              <w:left w:val="nil"/>
              <w:bottom w:val="single" w:sz="4" w:space="0" w:color="auto"/>
              <w:right w:val="nil"/>
            </w:tcBorders>
            <w:shd w:val="clear" w:color="auto" w:fill="FFFFFF"/>
            <w:vAlign w:val="center"/>
          </w:tcPr>
          <w:p w:rsidR="005B658D" w:rsidRPr="00B53C6E" w:rsidRDefault="003C76E0" w:rsidP="00B53C6E">
            <w:pPr>
              <w:autoSpaceDE w:val="0"/>
              <w:autoSpaceDN w:val="0"/>
              <w:adjustRightInd w:val="0"/>
              <w:ind w:left="60" w:right="60"/>
              <w:rPr>
                <w:sz w:val="28"/>
                <w:szCs w:val="28"/>
              </w:rPr>
            </w:pPr>
            <w:r>
              <w:rPr>
                <w:b/>
                <w:bCs/>
                <w:sz w:val="28"/>
                <w:szCs w:val="28"/>
              </w:rPr>
              <w:lastRenderedPageBreak/>
              <w:t xml:space="preserve">Table </w:t>
            </w:r>
            <w:r w:rsidR="00B53C6E" w:rsidRPr="00B53C6E">
              <w:rPr>
                <w:b/>
                <w:bCs/>
                <w:sz w:val="28"/>
                <w:szCs w:val="28"/>
              </w:rPr>
              <w:t xml:space="preserve">3.2 </w:t>
            </w:r>
            <w:r w:rsidR="00766149" w:rsidRPr="00B53C6E">
              <w:rPr>
                <w:b/>
                <w:bCs/>
                <w:sz w:val="28"/>
                <w:szCs w:val="28"/>
              </w:rPr>
              <w:t>Type of Fine Last Received</w:t>
            </w:r>
          </w:p>
        </w:tc>
      </w:tr>
      <w:tr w:rsidR="00573856" w:rsidRPr="00C32252" w:rsidTr="00573856">
        <w:trPr>
          <w:cantSplit/>
        </w:trPr>
        <w:tc>
          <w:tcPr>
            <w:tcW w:w="3932"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B53C6E" w:rsidRDefault="005B658D" w:rsidP="00924A5F">
            <w:pPr>
              <w:autoSpaceDE w:val="0"/>
              <w:autoSpaceDN w:val="0"/>
              <w:adjustRightInd w:val="0"/>
            </w:pPr>
          </w:p>
        </w:tc>
        <w:tc>
          <w:tcPr>
            <w:tcW w:w="2731" w:type="dxa"/>
            <w:gridSpan w:val="2"/>
            <w:tcBorders>
              <w:top w:val="single" w:sz="4" w:space="0" w:color="auto"/>
              <w:left w:val="single" w:sz="4" w:space="0" w:color="auto"/>
              <w:bottom w:val="nil"/>
              <w:right w:val="single" w:sz="4" w:space="0" w:color="auto"/>
            </w:tcBorders>
            <w:shd w:val="clear" w:color="auto" w:fill="FFFFFF"/>
            <w:vAlign w:val="bottom"/>
          </w:tcPr>
          <w:p w:rsidR="005B658D" w:rsidRPr="00B53C6E" w:rsidRDefault="005B658D" w:rsidP="00924A5F">
            <w:pPr>
              <w:autoSpaceDE w:val="0"/>
              <w:autoSpaceDN w:val="0"/>
              <w:adjustRightInd w:val="0"/>
              <w:ind w:left="60" w:right="60"/>
              <w:jc w:val="center"/>
            </w:pPr>
            <w:r w:rsidRPr="00B53C6E">
              <w:t>Responses</w:t>
            </w:r>
          </w:p>
        </w:tc>
        <w:tc>
          <w:tcPr>
            <w:tcW w:w="1660"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B53C6E" w:rsidRDefault="005B658D" w:rsidP="00924A5F">
            <w:pPr>
              <w:autoSpaceDE w:val="0"/>
              <w:autoSpaceDN w:val="0"/>
              <w:adjustRightInd w:val="0"/>
              <w:ind w:left="60" w:right="60"/>
              <w:jc w:val="center"/>
            </w:pPr>
            <w:r w:rsidRPr="00B53C6E">
              <w:t>Percent of Cases</w:t>
            </w:r>
          </w:p>
        </w:tc>
      </w:tr>
      <w:tr w:rsidR="00B53C6E" w:rsidRPr="00C32252" w:rsidTr="00573856">
        <w:trPr>
          <w:cantSplit/>
        </w:trPr>
        <w:tc>
          <w:tcPr>
            <w:tcW w:w="3932" w:type="dxa"/>
            <w:gridSpan w:val="2"/>
            <w:vMerge/>
            <w:tcBorders>
              <w:top w:val="nil"/>
              <w:left w:val="single" w:sz="4" w:space="0" w:color="auto"/>
              <w:bottom w:val="nil"/>
              <w:right w:val="single" w:sz="4" w:space="0" w:color="auto"/>
            </w:tcBorders>
            <w:shd w:val="clear" w:color="auto" w:fill="FFFFFF"/>
            <w:vAlign w:val="bottom"/>
          </w:tcPr>
          <w:p w:rsidR="005B658D" w:rsidRPr="00B53C6E" w:rsidRDefault="005B658D" w:rsidP="00924A5F">
            <w:pPr>
              <w:autoSpaceDE w:val="0"/>
              <w:autoSpaceDN w:val="0"/>
              <w:adjustRightInd w:val="0"/>
            </w:pPr>
          </w:p>
        </w:tc>
        <w:tc>
          <w:tcPr>
            <w:tcW w:w="1455"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B53C6E" w:rsidRDefault="005B658D" w:rsidP="00924A5F">
            <w:pPr>
              <w:autoSpaceDE w:val="0"/>
              <w:autoSpaceDN w:val="0"/>
              <w:adjustRightInd w:val="0"/>
              <w:ind w:left="60" w:right="60"/>
              <w:jc w:val="center"/>
            </w:pPr>
            <w:r w:rsidRPr="00B53C6E">
              <w:t>N</w:t>
            </w:r>
          </w:p>
        </w:tc>
        <w:tc>
          <w:tcPr>
            <w:tcW w:w="1276"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B53C6E" w:rsidRDefault="005B658D" w:rsidP="00924A5F">
            <w:pPr>
              <w:autoSpaceDE w:val="0"/>
              <w:autoSpaceDN w:val="0"/>
              <w:adjustRightInd w:val="0"/>
              <w:ind w:left="60" w:right="60"/>
              <w:jc w:val="center"/>
            </w:pPr>
            <w:r w:rsidRPr="00B53C6E">
              <w:t>Percent</w:t>
            </w:r>
          </w:p>
        </w:tc>
        <w:tc>
          <w:tcPr>
            <w:tcW w:w="1660" w:type="dxa"/>
            <w:vMerge/>
            <w:tcBorders>
              <w:top w:val="nil"/>
              <w:left w:val="single" w:sz="4" w:space="0" w:color="auto"/>
              <w:bottom w:val="nil"/>
              <w:right w:val="single" w:sz="4" w:space="0" w:color="auto"/>
            </w:tcBorders>
            <w:shd w:val="clear" w:color="auto" w:fill="FFFFFF"/>
            <w:vAlign w:val="bottom"/>
          </w:tcPr>
          <w:p w:rsidR="005B658D" w:rsidRPr="00B53C6E" w:rsidRDefault="005B658D" w:rsidP="00924A5F">
            <w:pPr>
              <w:autoSpaceDE w:val="0"/>
              <w:autoSpaceDN w:val="0"/>
              <w:adjustRightInd w:val="0"/>
            </w:pPr>
          </w:p>
        </w:tc>
      </w:tr>
      <w:tr w:rsidR="00B53C6E" w:rsidRPr="00C32252" w:rsidTr="00573856">
        <w:trPr>
          <w:cantSplit/>
        </w:trPr>
        <w:tc>
          <w:tcPr>
            <w:tcW w:w="1484" w:type="dxa"/>
            <w:vMerge w:val="restart"/>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ind w:left="60" w:right="60"/>
              <w:rPr>
                <w:b/>
              </w:rPr>
            </w:pPr>
            <w:r w:rsidRPr="00C32252">
              <w:rPr>
                <w:b/>
              </w:rPr>
              <w:t>Last fine type</w:t>
            </w:r>
            <w:r w:rsidRPr="00C32252">
              <w:rPr>
                <w:b/>
                <w:vertAlign w:val="superscript"/>
              </w:rPr>
              <w:t>a</w:t>
            </w:r>
          </w:p>
        </w:tc>
        <w:tc>
          <w:tcPr>
            <w:tcW w:w="2448" w:type="dxa"/>
            <w:tcBorders>
              <w:top w:val="single" w:sz="8" w:space="0" w:color="152935"/>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Pet fines</w:t>
            </w:r>
          </w:p>
        </w:tc>
        <w:tc>
          <w:tcPr>
            <w:tcW w:w="1455" w:type="dxa"/>
            <w:tcBorders>
              <w:top w:val="single" w:sz="8" w:space="0" w:color="152935"/>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49</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10.8%</w:t>
            </w:r>
          </w:p>
        </w:tc>
        <w:tc>
          <w:tcPr>
            <w:tcW w:w="1660" w:type="dxa"/>
            <w:tcBorders>
              <w:top w:val="single" w:sz="8" w:space="0" w:color="152935"/>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13.8%</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Graffiti</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0.4%</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0.6%</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Home maintenance</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2.0%</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2.5%</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Littering</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3.1%</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4.0%</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Noise</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2.9%</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3.7%</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Panhandling</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2.6%</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3.4%</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Fighting</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2.6%</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3.4%</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Public urination/defecation</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16</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3.5%</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4.5%</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Public intoxication</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5.9%</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7.6%</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Spitting</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2.6%</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3.4%</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Loitering</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5.1%</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6.5%</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Transit</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232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51.0%</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65.5%</w:t>
            </w:r>
          </w:p>
        </w:tc>
      </w:tr>
      <w:tr w:rsidR="00B53C6E" w:rsidRPr="00C32252" w:rsidTr="00573856">
        <w:trPr>
          <w:cantSplit/>
        </w:trPr>
        <w:tc>
          <w:tcPr>
            <w:tcW w:w="1484" w:type="dxa"/>
            <w:vMerge/>
            <w:tcBorders>
              <w:top w:val="single" w:sz="8" w:space="0" w:color="152935"/>
              <w:left w:val="single" w:sz="4" w:space="0" w:color="auto"/>
              <w:bottom w:val="single" w:sz="8" w:space="0" w:color="AEAEAE"/>
              <w:right w:val="single" w:sz="4" w:space="0" w:color="auto"/>
            </w:tcBorders>
            <w:shd w:val="clear" w:color="auto" w:fill="E0E0E0"/>
          </w:tcPr>
          <w:p w:rsidR="005B658D" w:rsidRPr="00C32252" w:rsidRDefault="005B658D" w:rsidP="00924A5F">
            <w:pPr>
              <w:autoSpaceDE w:val="0"/>
              <w:autoSpaceDN w:val="0"/>
              <w:adjustRightInd w:val="0"/>
              <w:rPr>
                <w:b/>
              </w:rPr>
            </w:pPr>
          </w:p>
        </w:tc>
        <w:tc>
          <w:tcPr>
            <w:tcW w:w="2448" w:type="dxa"/>
            <w:tcBorders>
              <w:top w:val="single" w:sz="8" w:space="0" w:color="AEAEAE"/>
              <w:left w:val="single" w:sz="4" w:space="0" w:color="auto"/>
              <w:bottom w:val="single" w:sz="8" w:space="0" w:color="AEAEAE"/>
              <w:right w:val="single" w:sz="4" w:space="0" w:color="auto"/>
            </w:tcBorders>
            <w:shd w:val="clear" w:color="auto" w:fill="E0E0E0"/>
          </w:tcPr>
          <w:p w:rsidR="005B658D" w:rsidRPr="00B53C6E" w:rsidRDefault="005B658D" w:rsidP="00924A5F">
            <w:pPr>
              <w:autoSpaceDE w:val="0"/>
              <w:autoSpaceDN w:val="0"/>
              <w:adjustRightInd w:val="0"/>
              <w:ind w:left="60" w:right="60"/>
              <w:rPr>
                <w:b/>
              </w:rPr>
            </w:pPr>
            <w:r w:rsidRPr="00B53C6E">
              <w:rPr>
                <w:b/>
              </w:rPr>
              <w:t>Other bylaw</w:t>
            </w:r>
          </w:p>
        </w:tc>
        <w:tc>
          <w:tcPr>
            <w:tcW w:w="1455" w:type="dxa"/>
            <w:tcBorders>
              <w:top w:val="single" w:sz="8" w:space="0" w:color="AEAEAE"/>
              <w:left w:val="single" w:sz="4" w:space="0" w:color="auto"/>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34</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7.5%</w:t>
            </w:r>
          </w:p>
        </w:tc>
        <w:tc>
          <w:tcPr>
            <w:tcW w:w="1660" w:type="dxa"/>
            <w:tcBorders>
              <w:top w:val="single" w:sz="8" w:space="0" w:color="AEAEAE"/>
              <w:left w:val="single" w:sz="8" w:space="0" w:color="E0E0E0"/>
              <w:bottom w:val="single" w:sz="8" w:space="0" w:color="AEAEAE"/>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9.6%</w:t>
            </w:r>
          </w:p>
        </w:tc>
      </w:tr>
      <w:tr w:rsidR="00B53C6E" w:rsidRPr="00C32252" w:rsidTr="00573856">
        <w:trPr>
          <w:cantSplit/>
        </w:trPr>
        <w:tc>
          <w:tcPr>
            <w:tcW w:w="3932"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B53C6E" w:rsidRDefault="005B658D" w:rsidP="00924A5F">
            <w:pPr>
              <w:autoSpaceDE w:val="0"/>
              <w:autoSpaceDN w:val="0"/>
              <w:adjustRightInd w:val="0"/>
              <w:ind w:left="60" w:right="60"/>
            </w:pPr>
            <w:r w:rsidRPr="00B53C6E">
              <w:t>Total</w:t>
            </w:r>
          </w:p>
        </w:tc>
        <w:tc>
          <w:tcPr>
            <w:tcW w:w="1455" w:type="dxa"/>
            <w:tcBorders>
              <w:top w:val="single" w:sz="8" w:space="0" w:color="AEAEAE"/>
              <w:left w:val="single" w:sz="4" w:space="0" w:color="auto"/>
              <w:bottom w:val="single" w:sz="4" w:space="0" w:color="auto"/>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455</w:t>
            </w:r>
          </w:p>
        </w:tc>
        <w:tc>
          <w:tcPr>
            <w:tcW w:w="1276" w:type="dxa"/>
            <w:tcBorders>
              <w:top w:val="single" w:sz="8" w:space="0" w:color="AEAEAE"/>
              <w:left w:val="single" w:sz="8" w:space="0" w:color="E0E0E0"/>
              <w:bottom w:val="single" w:sz="4" w:space="0" w:color="auto"/>
              <w:right w:val="single" w:sz="8" w:space="0" w:color="E0E0E0"/>
            </w:tcBorders>
            <w:shd w:val="clear" w:color="auto" w:fill="FFFFFF"/>
          </w:tcPr>
          <w:p w:rsidR="005B658D" w:rsidRPr="00B53C6E" w:rsidRDefault="005B658D" w:rsidP="00924A5F">
            <w:pPr>
              <w:autoSpaceDE w:val="0"/>
              <w:autoSpaceDN w:val="0"/>
              <w:adjustRightInd w:val="0"/>
              <w:ind w:left="60" w:right="60"/>
              <w:jc w:val="right"/>
            </w:pPr>
            <w:r w:rsidRPr="00B53C6E">
              <w:t>100.0%</w:t>
            </w:r>
          </w:p>
        </w:tc>
        <w:tc>
          <w:tcPr>
            <w:tcW w:w="1660" w:type="dxa"/>
            <w:tcBorders>
              <w:top w:val="single" w:sz="8" w:space="0" w:color="AEAEAE"/>
              <w:left w:val="single" w:sz="8" w:space="0" w:color="E0E0E0"/>
              <w:bottom w:val="single" w:sz="4" w:space="0" w:color="auto"/>
              <w:right w:val="single" w:sz="4" w:space="0" w:color="auto"/>
            </w:tcBorders>
            <w:shd w:val="clear" w:color="auto" w:fill="FFFFFF"/>
          </w:tcPr>
          <w:p w:rsidR="005B658D" w:rsidRPr="00B53C6E" w:rsidRDefault="005B658D" w:rsidP="00924A5F">
            <w:pPr>
              <w:autoSpaceDE w:val="0"/>
              <w:autoSpaceDN w:val="0"/>
              <w:adjustRightInd w:val="0"/>
              <w:ind w:left="60" w:right="60"/>
              <w:jc w:val="right"/>
            </w:pPr>
            <w:r w:rsidRPr="00B53C6E">
              <w:t>128.5%</w:t>
            </w:r>
          </w:p>
        </w:tc>
      </w:tr>
      <w:tr w:rsidR="005B658D" w:rsidRPr="00C32252" w:rsidTr="00573856">
        <w:trPr>
          <w:cantSplit/>
        </w:trPr>
        <w:tc>
          <w:tcPr>
            <w:tcW w:w="8323" w:type="dxa"/>
            <w:gridSpan w:val="5"/>
            <w:tcBorders>
              <w:top w:val="single" w:sz="4" w:space="0" w:color="auto"/>
              <w:left w:val="nil"/>
              <w:bottom w:val="nil"/>
              <w:right w:val="nil"/>
            </w:tcBorders>
            <w:shd w:val="clear" w:color="auto" w:fill="FFFFFF"/>
          </w:tcPr>
          <w:p w:rsidR="005B658D" w:rsidRPr="00C32252" w:rsidRDefault="005B658D" w:rsidP="00924A5F">
            <w:pPr>
              <w:autoSpaceDE w:val="0"/>
              <w:autoSpaceDN w:val="0"/>
              <w:adjustRightInd w:val="0"/>
              <w:ind w:left="60" w:right="60"/>
            </w:pPr>
            <w:r w:rsidRPr="00C32252">
              <w:t>a. Group</w:t>
            </w:r>
          </w:p>
        </w:tc>
      </w:tr>
    </w:tbl>
    <w:p w:rsidR="005B658D" w:rsidRPr="00C32252" w:rsidRDefault="005B658D" w:rsidP="006B0179">
      <w:pPr>
        <w:autoSpaceDE w:val="0"/>
        <w:autoSpaceDN w:val="0"/>
        <w:adjustRightInd w:val="0"/>
        <w:spacing w:line="360" w:lineRule="auto"/>
      </w:pPr>
    </w:p>
    <w:p w:rsidR="00361991" w:rsidRDefault="00830A27" w:rsidP="006B0179">
      <w:pPr>
        <w:spacing w:line="360" w:lineRule="auto"/>
      </w:pPr>
      <w:r w:rsidRPr="00830A27">
        <w:t>Table 3.3 shows the location respondents reported receiving their most recent fine.</w:t>
      </w:r>
      <w:r w:rsidR="00AA5B12">
        <w:t xml:space="preserve"> </w:t>
      </w:r>
      <w:r w:rsidRPr="00830A27">
        <w:lastRenderedPageBreak/>
        <w:t>52.3% of respondents indicated they were fined while on transit.</w:t>
      </w:r>
      <w:r w:rsidR="00AA5B12">
        <w:t xml:space="preserve"> </w:t>
      </w:r>
      <w:r w:rsidRPr="00830A27">
        <w:t>35.5% of respondents indicated they were fined in a public location.</w:t>
      </w:r>
      <w:r w:rsidR="00AA5B12">
        <w:t xml:space="preserve"> </w:t>
      </w:r>
      <w:r w:rsidRPr="00830A27">
        <w:t xml:space="preserve">It should be noted that this category may also include those who were on Transit property when fined as this may have </w:t>
      </w:r>
      <w:r w:rsidRPr="00830A27">
        <w:lastRenderedPageBreak/>
        <w:t>been considered a public location.</w:t>
      </w:r>
      <w:r w:rsidR="00AA5B12">
        <w:t xml:space="preserve"> </w:t>
      </w:r>
      <w:r w:rsidRPr="00830A27">
        <w:t>Finally, 12.2% of respondents indicated they received the fine at their residence.</w:t>
      </w:r>
    </w:p>
    <w:p w:rsidR="006B0179" w:rsidRDefault="006B0179" w:rsidP="006B0179">
      <w:pPr>
        <w:spacing w:line="360" w:lineRule="auto"/>
      </w:pPr>
    </w:p>
    <w:p w:rsidR="00EE4AF5" w:rsidRDefault="00EE4AF5">
      <w:r>
        <w:br w:type="page"/>
      </w:r>
    </w:p>
    <w:tbl>
      <w:tblPr>
        <w:tblW w:w="9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172"/>
        <w:gridCol w:w="1268"/>
        <w:gridCol w:w="1000"/>
        <w:gridCol w:w="1553"/>
        <w:gridCol w:w="2140"/>
      </w:tblGrid>
      <w:tr w:rsidR="005B658D" w:rsidRPr="00C32252" w:rsidTr="006B0179">
        <w:trPr>
          <w:cantSplit/>
        </w:trPr>
        <w:tc>
          <w:tcPr>
            <w:tcW w:w="9080" w:type="dxa"/>
            <w:gridSpan w:val="6"/>
            <w:tcBorders>
              <w:top w:val="nil"/>
              <w:left w:val="nil"/>
              <w:bottom w:val="single" w:sz="4" w:space="0" w:color="auto"/>
              <w:right w:val="nil"/>
            </w:tcBorders>
            <w:shd w:val="clear" w:color="auto" w:fill="FFFFFF"/>
            <w:vAlign w:val="center"/>
          </w:tcPr>
          <w:p w:rsidR="005B658D" w:rsidRPr="001B7CBB" w:rsidRDefault="003C76E0" w:rsidP="00830A27">
            <w:pPr>
              <w:autoSpaceDE w:val="0"/>
              <w:autoSpaceDN w:val="0"/>
              <w:adjustRightInd w:val="0"/>
              <w:ind w:left="60" w:right="60"/>
              <w:rPr>
                <w:sz w:val="28"/>
                <w:szCs w:val="28"/>
              </w:rPr>
            </w:pPr>
            <w:r>
              <w:rPr>
                <w:b/>
                <w:bCs/>
                <w:sz w:val="28"/>
                <w:szCs w:val="28"/>
              </w:rPr>
              <w:lastRenderedPageBreak/>
              <w:t xml:space="preserve">Table </w:t>
            </w:r>
            <w:r w:rsidR="001B7CBB" w:rsidRPr="001B7CBB">
              <w:rPr>
                <w:b/>
                <w:bCs/>
                <w:sz w:val="28"/>
                <w:szCs w:val="28"/>
              </w:rPr>
              <w:t xml:space="preserve">3.3 </w:t>
            </w:r>
            <w:r w:rsidR="00830A27">
              <w:rPr>
                <w:b/>
                <w:bCs/>
                <w:sz w:val="28"/>
                <w:szCs w:val="28"/>
              </w:rPr>
              <w:t>Location when Fined</w:t>
            </w:r>
            <w:r w:rsidR="005B658D" w:rsidRPr="001B7CBB">
              <w:rPr>
                <w:b/>
                <w:bCs/>
                <w:sz w:val="28"/>
                <w:szCs w:val="28"/>
              </w:rPr>
              <w:t xml:space="preserve"> </w:t>
            </w:r>
          </w:p>
        </w:tc>
      </w:tr>
      <w:tr w:rsidR="00C34469" w:rsidRPr="00C32252" w:rsidTr="006B0179">
        <w:trPr>
          <w:cantSplit/>
        </w:trPr>
        <w:tc>
          <w:tcPr>
            <w:tcW w:w="311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4469" w:rsidRDefault="005B658D" w:rsidP="00924A5F">
            <w:pPr>
              <w:autoSpaceDE w:val="0"/>
              <w:autoSpaceDN w:val="0"/>
              <w:adjustRightInd w:val="0"/>
            </w:pPr>
          </w:p>
        </w:tc>
        <w:tc>
          <w:tcPr>
            <w:tcW w:w="1268"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Frequency</w:t>
            </w:r>
          </w:p>
        </w:tc>
        <w:tc>
          <w:tcPr>
            <w:tcW w:w="1000"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C34469" w:rsidRDefault="005B658D" w:rsidP="00924A5F">
            <w:pPr>
              <w:autoSpaceDE w:val="0"/>
              <w:autoSpaceDN w:val="0"/>
              <w:adjustRightInd w:val="0"/>
              <w:ind w:left="60" w:right="60"/>
              <w:jc w:val="center"/>
            </w:pPr>
            <w:r w:rsidRPr="00C34469">
              <w:t>Cumulative Percent</w:t>
            </w:r>
          </w:p>
        </w:tc>
      </w:tr>
      <w:tr w:rsidR="00C34469" w:rsidRPr="00C32252" w:rsidTr="006B0179">
        <w:trPr>
          <w:cantSplit/>
        </w:trPr>
        <w:tc>
          <w:tcPr>
            <w:tcW w:w="947" w:type="dxa"/>
            <w:vMerge w:val="restart"/>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ind w:left="60" w:right="60"/>
            </w:pPr>
          </w:p>
        </w:tc>
        <w:tc>
          <w:tcPr>
            <w:tcW w:w="2172" w:type="dxa"/>
            <w:tcBorders>
              <w:top w:val="single" w:sz="8" w:space="0" w:color="152935"/>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At my home</w:t>
            </w:r>
          </w:p>
        </w:tc>
        <w:tc>
          <w:tcPr>
            <w:tcW w:w="1268" w:type="dxa"/>
            <w:tcBorders>
              <w:top w:val="single" w:sz="8" w:space="0" w:color="152935"/>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43</w:t>
            </w:r>
          </w:p>
        </w:tc>
        <w:tc>
          <w:tcPr>
            <w:tcW w:w="1000"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10.3</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12.2</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12.2</w:t>
            </w:r>
          </w:p>
        </w:tc>
      </w:tr>
      <w:tr w:rsidR="00C34469"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2172"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In a public location</w:t>
            </w:r>
          </w:p>
        </w:tc>
        <w:tc>
          <w:tcPr>
            <w:tcW w:w="1268"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125</w:t>
            </w:r>
          </w:p>
        </w:tc>
        <w:tc>
          <w:tcPr>
            <w:tcW w:w="1000"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30.0</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35.5</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47.7</w:t>
            </w:r>
          </w:p>
        </w:tc>
      </w:tr>
      <w:tr w:rsidR="00C34469"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2172"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While on transit</w:t>
            </w:r>
          </w:p>
        </w:tc>
        <w:tc>
          <w:tcPr>
            <w:tcW w:w="1268"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184</w:t>
            </w:r>
          </w:p>
        </w:tc>
        <w:tc>
          <w:tcPr>
            <w:tcW w:w="1000"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44.1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52.3</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100.0</w:t>
            </w:r>
          </w:p>
        </w:tc>
      </w:tr>
      <w:tr w:rsidR="00C34469"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2172"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Total</w:t>
            </w:r>
          </w:p>
        </w:tc>
        <w:tc>
          <w:tcPr>
            <w:tcW w:w="1268"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352</w:t>
            </w:r>
          </w:p>
        </w:tc>
        <w:tc>
          <w:tcPr>
            <w:tcW w:w="1000"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84.4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4469" w:rsidRDefault="005B658D" w:rsidP="00924A5F">
            <w:pPr>
              <w:autoSpaceDE w:val="0"/>
              <w:autoSpaceDN w:val="0"/>
              <w:adjustRightInd w:val="0"/>
            </w:pPr>
          </w:p>
        </w:tc>
      </w:tr>
      <w:tr w:rsidR="00C34469" w:rsidRPr="00C32252" w:rsidTr="006B0179">
        <w:trPr>
          <w:cantSplit/>
        </w:trPr>
        <w:tc>
          <w:tcPr>
            <w:tcW w:w="947" w:type="dxa"/>
            <w:tcBorders>
              <w:top w:val="single" w:sz="8" w:space="0" w:color="AEAEAE"/>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ind w:left="60" w:right="60"/>
            </w:pPr>
            <w:r w:rsidRPr="00C34469">
              <w:t>Missing</w:t>
            </w:r>
          </w:p>
        </w:tc>
        <w:tc>
          <w:tcPr>
            <w:tcW w:w="2172"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System</w:t>
            </w:r>
          </w:p>
        </w:tc>
        <w:tc>
          <w:tcPr>
            <w:tcW w:w="1268"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65</w:t>
            </w:r>
          </w:p>
        </w:tc>
        <w:tc>
          <w:tcPr>
            <w:tcW w:w="1000"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15.6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4469"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4469" w:rsidRDefault="005B658D" w:rsidP="00924A5F">
            <w:pPr>
              <w:autoSpaceDE w:val="0"/>
              <w:autoSpaceDN w:val="0"/>
              <w:adjustRightInd w:val="0"/>
            </w:pPr>
          </w:p>
        </w:tc>
      </w:tr>
      <w:tr w:rsidR="00C34469" w:rsidRPr="00C32252" w:rsidTr="006B0179">
        <w:trPr>
          <w:cantSplit/>
        </w:trPr>
        <w:tc>
          <w:tcPr>
            <w:tcW w:w="3119"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Total</w:t>
            </w:r>
          </w:p>
        </w:tc>
        <w:tc>
          <w:tcPr>
            <w:tcW w:w="1268" w:type="dxa"/>
            <w:tcBorders>
              <w:top w:val="single" w:sz="8" w:space="0" w:color="AEAEAE"/>
              <w:left w:val="single" w:sz="4" w:space="0" w:color="auto"/>
              <w:bottom w:val="single" w:sz="4" w:space="0" w:color="auto"/>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417</w:t>
            </w:r>
          </w:p>
        </w:tc>
        <w:tc>
          <w:tcPr>
            <w:tcW w:w="1000" w:type="dxa"/>
            <w:tcBorders>
              <w:top w:val="single" w:sz="8" w:space="0" w:color="AEAEAE"/>
              <w:left w:val="single" w:sz="8" w:space="0" w:color="E0E0E0"/>
              <w:bottom w:val="single" w:sz="4" w:space="0" w:color="auto"/>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C34469"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C34469" w:rsidRDefault="005B658D" w:rsidP="00924A5F">
            <w:pPr>
              <w:autoSpaceDE w:val="0"/>
              <w:autoSpaceDN w:val="0"/>
              <w:adjustRightInd w:val="0"/>
            </w:pPr>
          </w:p>
        </w:tc>
      </w:tr>
    </w:tbl>
    <w:p w:rsidR="005B658D" w:rsidRDefault="005B658D" w:rsidP="006B0179">
      <w:pPr>
        <w:spacing w:line="360" w:lineRule="auto"/>
      </w:pPr>
    </w:p>
    <w:p w:rsidR="00B97478" w:rsidRDefault="00B97478" w:rsidP="006B0179">
      <w:pPr>
        <w:spacing w:line="360" w:lineRule="auto"/>
      </w:pPr>
      <w:r w:rsidRPr="00835EEC">
        <w:t>Table 3.4 shows the amount of money respondents reported owing for their most recently received fine(s).</w:t>
      </w:r>
      <w:r w:rsidR="00692964" w:rsidRPr="00835EEC">
        <w:t xml:space="preserve"> </w:t>
      </w:r>
      <w:r w:rsidR="00E93BE7" w:rsidRPr="00835EEC">
        <w:t xml:space="preserve">The majority, </w:t>
      </w:r>
      <w:r w:rsidR="00A964BB" w:rsidRPr="00835EEC">
        <w:t>61.8%</w:t>
      </w:r>
      <w:r w:rsidR="00E93BE7" w:rsidRPr="00835EEC">
        <w:t>,</w:t>
      </w:r>
      <w:r w:rsidR="00A964BB" w:rsidRPr="00835EEC">
        <w:t xml:space="preserve"> of respondents reported owing between $150</w:t>
      </w:r>
      <w:r w:rsidR="00EE4AF5">
        <w:t xml:space="preserve"> and </w:t>
      </w:r>
      <w:r w:rsidR="00A964BB" w:rsidRPr="00835EEC">
        <w:t>$299 in fines</w:t>
      </w:r>
      <w:r w:rsidR="00E93BE7" w:rsidRPr="00835EEC">
        <w:t xml:space="preserve">. </w:t>
      </w:r>
      <w:r w:rsidR="00E93BE7" w:rsidRPr="00835EEC">
        <w:lastRenderedPageBreak/>
        <w:t>13.9% reported owing between $300</w:t>
      </w:r>
      <w:r w:rsidR="00EE4AF5">
        <w:t xml:space="preserve"> and </w:t>
      </w:r>
      <w:r w:rsidR="00E93BE7" w:rsidRPr="00835EEC">
        <w:t>$499 in fines.</w:t>
      </w:r>
      <w:r w:rsidR="00AA5B12">
        <w:t xml:space="preserve"> </w:t>
      </w:r>
      <w:r w:rsidR="00E93BE7" w:rsidRPr="00835EEC">
        <w:t>1</w:t>
      </w:r>
      <w:r w:rsidR="00EE4AF5">
        <w:t xml:space="preserve">1.6% reported owing between $25 and </w:t>
      </w:r>
      <w:r w:rsidR="00E93BE7" w:rsidRPr="00835EEC">
        <w:t>$149.</w:t>
      </w:r>
      <w:r w:rsidR="00AA5B12">
        <w:t xml:space="preserve"> </w:t>
      </w:r>
      <w:r w:rsidR="00EE4AF5">
        <w:t xml:space="preserve">9.0% owed between $500 and </w:t>
      </w:r>
      <w:r w:rsidR="00E93BE7" w:rsidRPr="00835EEC">
        <w:t>$999 and finally, 3.8% reported owing $1000 or more in fines.</w:t>
      </w:r>
      <w:r w:rsidR="00AA5B12">
        <w:t xml:space="preserve"> </w:t>
      </w:r>
      <w:r w:rsidR="00760694">
        <w:t xml:space="preserve">Additionally, 177 respondents reported receiving </w:t>
      </w:r>
      <w:r w:rsidR="00760694">
        <w:lastRenderedPageBreak/>
        <w:t>a fine of $250</w:t>
      </w:r>
      <w:r w:rsidR="00474CA8">
        <w:t xml:space="preserve"> (51.2% of cases). </w:t>
      </w:r>
    </w:p>
    <w:p w:rsidR="00835EEC" w:rsidRPr="00835EEC" w:rsidRDefault="00835EEC" w:rsidP="006B0179">
      <w:pPr>
        <w:spacing w:line="360" w:lineRule="auto"/>
      </w:pPr>
    </w:p>
    <w:tbl>
      <w:tblPr>
        <w:tblW w:w="8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1301"/>
        <w:gridCol w:w="1162"/>
        <w:gridCol w:w="1024"/>
        <w:gridCol w:w="1553"/>
        <w:gridCol w:w="2140"/>
      </w:tblGrid>
      <w:tr w:rsidR="005B658D" w:rsidRPr="00C32252" w:rsidTr="006B0179">
        <w:trPr>
          <w:cantSplit/>
        </w:trPr>
        <w:tc>
          <w:tcPr>
            <w:tcW w:w="8127" w:type="dxa"/>
            <w:gridSpan w:val="6"/>
            <w:tcBorders>
              <w:top w:val="nil"/>
              <w:left w:val="nil"/>
              <w:bottom w:val="single" w:sz="4" w:space="0" w:color="auto"/>
              <w:right w:val="nil"/>
            </w:tcBorders>
            <w:shd w:val="clear" w:color="auto" w:fill="FFFFFF"/>
            <w:vAlign w:val="center"/>
          </w:tcPr>
          <w:p w:rsidR="005B658D" w:rsidRPr="00C34469" w:rsidRDefault="003C76E0" w:rsidP="00C34469">
            <w:pPr>
              <w:autoSpaceDE w:val="0"/>
              <w:autoSpaceDN w:val="0"/>
              <w:adjustRightInd w:val="0"/>
              <w:ind w:left="60" w:right="60"/>
              <w:rPr>
                <w:sz w:val="28"/>
                <w:szCs w:val="28"/>
              </w:rPr>
            </w:pPr>
            <w:r>
              <w:rPr>
                <w:b/>
                <w:bCs/>
                <w:sz w:val="28"/>
                <w:szCs w:val="28"/>
              </w:rPr>
              <w:t xml:space="preserve">Table </w:t>
            </w:r>
            <w:r w:rsidR="00C34469" w:rsidRPr="00C34469">
              <w:rPr>
                <w:b/>
                <w:bCs/>
                <w:sz w:val="28"/>
                <w:szCs w:val="28"/>
              </w:rPr>
              <w:t xml:space="preserve">3.4 </w:t>
            </w:r>
            <w:r w:rsidR="005B658D" w:rsidRPr="00C34469">
              <w:rPr>
                <w:b/>
                <w:bCs/>
                <w:sz w:val="28"/>
                <w:szCs w:val="28"/>
              </w:rPr>
              <w:t>Fine amount</w:t>
            </w:r>
            <w:r w:rsidR="009B1612">
              <w:rPr>
                <w:b/>
                <w:bCs/>
                <w:sz w:val="28"/>
                <w:szCs w:val="28"/>
              </w:rPr>
              <w:t xml:space="preserve"> owed for most recent fine</w:t>
            </w:r>
          </w:p>
        </w:tc>
      </w:tr>
      <w:tr w:rsidR="005B658D" w:rsidRPr="00C32252" w:rsidTr="006B0179">
        <w:trPr>
          <w:cantSplit/>
        </w:trPr>
        <w:tc>
          <w:tcPr>
            <w:tcW w:w="2248"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4469" w:rsidRDefault="005B658D" w:rsidP="00924A5F">
            <w:pPr>
              <w:autoSpaceDE w:val="0"/>
              <w:autoSpaceDN w:val="0"/>
              <w:adjustRightInd w:val="0"/>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C34469" w:rsidRDefault="005B658D" w:rsidP="00924A5F">
            <w:pPr>
              <w:autoSpaceDE w:val="0"/>
              <w:autoSpaceDN w:val="0"/>
              <w:adjustRightInd w:val="0"/>
              <w:ind w:left="60" w:right="60"/>
              <w:jc w:val="center"/>
            </w:pPr>
            <w:r w:rsidRPr="00C34469">
              <w:t>Cumulative Percent</w:t>
            </w:r>
          </w:p>
        </w:tc>
      </w:tr>
      <w:tr w:rsidR="005B658D" w:rsidRPr="00C32252" w:rsidTr="006B0179">
        <w:trPr>
          <w:cantSplit/>
        </w:trPr>
        <w:tc>
          <w:tcPr>
            <w:tcW w:w="947" w:type="dxa"/>
            <w:vMerge w:val="restart"/>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ind w:left="60" w:right="60"/>
            </w:pPr>
          </w:p>
        </w:tc>
        <w:tc>
          <w:tcPr>
            <w:tcW w:w="1301" w:type="dxa"/>
            <w:tcBorders>
              <w:top w:val="single" w:sz="8" w:space="0" w:color="152935"/>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$25 - $149</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9.6</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11.6</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11.6</w:t>
            </w:r>
          </w:p>
        </w:tc>
      </w:tr>
      <w:tr w:rsidR="005B658D"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1301"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$150 - $299</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214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51.3</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61.8</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73.4</w:t>
            </w:r>
          </w:p>
        </w:tc>
      </w:tr>
      <w:tr w:rsidR="005B658D"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1301"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$300 - $499</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11.5</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13.9</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87.3</w:t>
            </w:r>
          </w:p>
        </w:tc>
      </w:tr>
      <w:tr w:rsidR="005B658D"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1301"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$500 - $999</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7.4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9.0</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96.2</w:t>
            </w:r>
          </w:p>
        </w:tc>
      </w:tr>
      <w:tr w:rsidR="005B658D"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1301"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$1,000+</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3.1</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3.8</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100.0</w:t>
            </w:r>
          </w:p>
        </w:tc>
      </w:tr>
      <w:tr w:rsidR="005B658D" w:rsidRPr="00C32252" w:rsidTr="006B0179">
        <w:trPr>
          <w:cantSplit/>
        </w:trPr>
        <w:tc>
          <w:tcPr>
            <w:tcW w:w="947"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1301"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346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83.0</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4469" w:rsidRDefault="005B658D" w:rsidP="00924A5F">
            <w:pPr>
              <w:autoSpaceDE w:val="0"/>
              <w:autoSpaceDN w:val="0"/>
              <w:adjustRightInd w:val="0"/>
            </w:pPr>
          </w:p>
        </w:tc>
      </w:tr>
      <w:tr w:rsidR="005B658D" w:rsidRPr="00C32252" w:rsidTr="006B0179">
        <w:trPr>
          <w:cantSplit/>
        </w:trPr>
        <w:tc>
          <w:tcPr>
            <w:tcW w:w="947" w:type="dxa"/>
            <w:tcBorders>
              <w:top w:val="single" w:sz="8" w:space="0" w:color="AEAEAE"/>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ind w:left="60" w:right="60"/>
            </w:pPr>
            <w:r w:rsidRPr="00C34469">
              <w:t>Missing</w:t>
            </w:r>
          </w:p>
        </w:tc>
        <w:tc>
          <w:tcPr>
            <w:tcW w:w="1301"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System</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71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17.0</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4469"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4469" w:rsidRDefault="005B658D" w:rsidP="00924A5F">
            <w:pPr>
              <w:autoSpaceDE w:val="0"/>
              <w:autoSpaceDN w:val="0"/>
              <w:adjustRightInd w:val="0"/>
            </w:pPr>
          </w:p>
        </w:tc>
      </w:tr>
      <w:tr w:rsidR="005B658D" w:rsidRPr="00C32252" w:rsidTr="006B0179">
        <w:trPr>
          <w:cantSplit/>
        </w:trPr>
        <w:tc>
          <w:tcPr>
            <w:tcW w:w="2248"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C34469"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C34469" w:rsidRDefault="005B658D" w:rsidP="00924A5F">
            <w:pPr>
              <w:autoSpaceDE w:val="0"/>
              <w:autoSpaceDN w:val="0"/>
              <w:adjustRightInd w:val="0"/>
            </w:pPr>
          </w:p>
        </w:tc>
      </w:tr>
    </w:tbl>
    <w:p w:rsidR="005B658D" w:rsidRDefault="005B658D" w:rsidP="006B0179">
      <w:pPr>
        <w:autoSpaceDE w:val="0"/>
        <w:autoSpaceDN w:val="0"/>
        <w:adjustRightInd w:val="0"/>
        <w:spacing w:line="360" w:lineRule="auto"/>
      </w:pPr>
    </w:p>
    <w:p w:rsidR="00835EEC" w:rsidRDefault="00835EEC" w:rsidP="006B0179">
      <w:pPr>
        <w:autoSpaceDE w:val="0"/>
        <w:autoSpaceDN w:val="0"/>
        <w:adjustRightInd w:val="0"/>
        <w:spacing w:line="360" w:lineRule="auto"/>
      </w:pPr>
      <w:r>
        <w:t>Table 3.5 shows the number of respondents who had the money to pay their fines.</w:t>
      </w:r>
      <w:r w:rsidR="00AA5B12">
        <w:t xml:space="preserve"> </w:t>
      </w:r>
      <w:r w:rsidRPr="00835EEC">
        <w:t xml:space="preserve">The </w:t>
      </w:r>
      <w:r w:rsidRPr="00835EEC">
        <w:lastRenderedPageBreak/>
        <w:t xml:space="preserve">majority of respondents (69.1%) indicated they did not have enough money pay their fines. </w:t>
      </w:r>
    </w:p>
    <w:p w:rsidR="007C3BD3" w:rsidRDefault="007C3BD3" w:rsidP="006B0179">
      <w:pPr>
        <w:autoSpaceDE w:val="0"/>
        <w:autoSpaceDN w:val="0"/>
        <w:adjustRightInd w:val="0"/>
        <w:spacing w:line="360" w:lineRule="auto"/>
      </w:pP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553"/>
        <w:gridCol w:w="2140"/>
      </w:tblGrid>
      <w:tr w:rsidR="005B658D" w:rsidRPr="00C32252" w:rsidTr="006B0179">
        <w:trPr>
          <w:cantSplit/>
        </w:trPr>
        <w:tc>
          <w:tcPr>
            <w:tcW w:w="7746" w:type="dxa"/>
            <w:gridSpan w:val="6"/>
            <w:tcBorders>
              <w:top w:val="nil"/>
              <w:left w:val="nil"/>
              <w:bottom w:val="single" w:sz="4" w:space="0" w:color="auto"/>
              <w:right w:val="nil"/>
            </w:tcBorders>
            <w:shd w:val="clear" w:color="auto" w:fill="FFFFFF"/>
            <w:vAlign w:val="center"/>
          </w:tcPr>
          <w:p w:rsidR="005B658D" w:rsidRPr="00830A27" w:rsidRDefault="003C76E0" w:rsidP="00830A27">
            <w:pPr>
              <w:autoSpaceDE w:val="0"/>
              <w:autoSpaceDN w:val="0"/>
              <w:adjustRightInd w:val="0"/>
              <w:ind w:left="60" w:right="60"/>
              <w:rPr>
                <w:sz w:val="28"/>
                <w:szCs w:val="28"/>
              </w:rPr>
            </w:pPr>
            <w:r>
              <w:rPr>
                <w:b/>
                <w:bCs/>
                <w:sz w:val="28"/>
                <w:szCs w:val="28"/>
              </w:rPr>
              <w:t xml:space="preserve">Table </w:t>
            </w:r>
            <w:r w:rsidR="00830A27" w:rsidRPr="00830A27">
              <w:rPr>
                <w:b/>
                <w:bCs/>
                <w:sz w:val="28"/>
                <w:szCs w:val="28"/>
              </w:rPr>
              <w:t xml:space="preserve">3.5 </w:t>
            </w:r>
            <w:r w:rsidR="005B658D" w:rsidRPr="00830A27">
              <w:rPr>
                <w:b/>
                <w:bCs/>
                <w:sz w:val="28"/>
                <w:szCs w:val="28"/>
              </w:rPr>
              <w:t>Did you have enough money to pay the fine?</w:t>
            </w:r>
          </w:p>
        </w:tc>
      </w:tr>
      <w:tr w:rsidR="005B658D" w:rsidRPr="00C32252" w:rsidTr="006B0179">
        <w:trPr>
          <w:cantSplit/>
        </w:trPr>
        <w:tc>
          <w:tcPr>
            <w:tcW w:w="186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4469" w:rsidRDefault="005B658D" w:rsidP="00924A5F">
            <w:pPr>
              <w:autoSpaceDE w:val="0"/>
              <w:autoSpaceDN w:val="0"/>
              <w:adjustRightInd w:val="0"/>
            </w:pPr>
          </w:p>
        </w:tc>
        <w:tc>
          <w:tcPr>
            <w:tcW w:w="1163"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Frequency</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C34469" w:rsidRDefault="005B658D" w:rsidP="00924A5F">
            <w:pPr>
              <w:autoSpaceDE w:val="0"/>
              <w:autoSpaceDN w:val="0"/>
              <w:adjustRightInd w:val="0"/>
              <w:ind w:left="60" w:right="60"/>
              <w:jc w:val="center"/>
            </w:pPr>
            <w:r w:rsidRPr="00C34469">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C34469" w:rsidRDefault="005B658D" w:rsidP="00924A5F">
            <w:pPr>
              <w:autoSpaceDE w:val="0"/>
              <w:autoSpaceDN w:val="0"/>
              <w:adjustRightInd w:val="0"/>
              <w:ind w:left="60" w:right="60"/>
              <w:jc w:val="center"/>
            </w:pPr>
            <w:r w:rsidRPr="00C34469">
              <w:t>Cumulative Percent</w:t>
            </w:r>
          </w:p>
        </w:tc>
      </w:tr>
      <w:tr w:rsidR="005B658D" w:rsidRPr="00C32252" w:rsidTr="006B0179">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ind w:left="60" w:right="60"/>
            </w:pPr>
          </w:p>
        </w:tc>
        <w:tc>
          <w:tcPr>
            <w:tcW w:w="917" w:type="dxa"/>
            <w:tcBorders>
              <w:top w:val="single" w:sz="8" w:space="0" w:color="152935"/>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Yes</w:t>
            </w:r>
          </w:p>
        </w:tc>
        <w:tc>
          <w:tcPr>
            <w:tcW w:w="1163" w:type="dxa"/>
            <w:tcBorders>
              <w:top w:val="single" w:sz="8" w:space="0" w:color="152935"/>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25.4</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30.9</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30.9</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rPr>
                <w:b/>
              </w:rPr>
            </w:pPr>
            <w:r w:rsidRPr="00C34469">
              <w:rPr>
                <w:b/>
              </w:rPr>
              <w:t>No</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237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56.8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69.1</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C34469" w:rsidRDefault="005B658D" w:rsidP="00924A5F">
            <w:pPr>
              <w:autoSpaceDE w:val="0"/>
              <w:autoSpaceDN w:val="0"/>
              <w:adjustRightInd w:val="0"/>
              <w:ind w:left="60" w:right="60"/>
              <w:jc w:val="right"/>
            </w:pPr>
            <w:r w:rsidRPr="00C34469">
              <w:t>100.0</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343</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82.3</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4469" w:rsidRDefault="005B658D" w:rsidP="00924A5F">
            <w:pPr>
              <w:autoSpaceDE w:val="0"/>
              <w:autoSpaceDN w:val="0"/>
              <w:adjustRightInd w:val="0"/>
            </w:pPr>
          </w:p>
        </w:tc>
      </w:tr>
      <w:tr w:rsidR="005B658D" w:rsidRPr="00C32252" w:rsidTr="006B0179">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C34469" w:rsidRDefault="005B658D" w:rsidP="00924A5F">
            <w:pPr>
              <w:autoSpaceDE w:val="0"/>
              <w:autoSpaceDN w:val="0"/>
              <w:adjustRightInd w:val="0"/>
              <w:ind w:left="60" w:right="60"/>
            </w:pPr>
            <w:r w:rsidRPr="00C34469">
              <w:t>Missing</w:t>
            </w:r>
          </w:p>
        </w:tc>
        <w:tc>
          <w:tcPr>
            <w:tcW w:w="917" w:type="dxa"/>
            <w:tcBorders>
              <w:top w:val="single" w:sz="8" w:space="0" w:color="AEAEAE"/>
              <w:left w:val="nil"/>
              <w:bottom w:val="single" w:sz="8" w:space="0" w:color="AEAEAE"/>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74</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17.7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C34469"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C34469" w:rsidRDefault="005B658D" w:rsidP="00924A5F">
            <w:pPr>
              <w:autoSpaceDE w:val="0"/>
              <w:autoSpaceDN w:val="0"/>
              <w:adjustRightInd w:val="0"/>
            </w:pPr>
          </w:p>
        </w:tc>
      </w:tr>
      <w:tr w:rsidR="005B658D" w:rsidRPr="00C32252" w:rsidTr="006B0179">
        <w:trPr>
          <w:cantSplit/>
        </w:trPr>
        <w:tc>
          <w:tcPr>
            <w:tcW w:w="186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C34469" w:rsidRDefault="005B658D" w:rsidP="00924A5F">
            <w:pPr>
              <w:autoSpaceDE w:val="0"/>
              <w:autoSpaceDN w:val="0"/>
              <w:adjustRightInd w:val="0"/>
              <w:ind w:left="60" w:right="60"/>
            </w:pPr>
            <w:r w:rsidRPr="00C34469">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C34469" w:rsidRDefault="005B658D" w:rsidP="00924A5F">
            <w:pPr>
              <w:autoSpaceDE w:val="0"/>
              <w:autoSpaceDN w:val="0"/>
              <w:adjustRightInd w:val="0"/>
              <w:ind w:left="60" w:right="60"/>
              <w:jc w:val="right"/>
            </w:pPr>
            <w:r w:rsidRPr="00C34469">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C34469"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C34469" w:rsidRDefault="005B658D" w:rsidP="00924A5F">
            <w:pPr>
              <w:autoSpaceDE w:val="0"/>
              <w:autoSpaceDN w:val="0"/>
              <w:adjustRightInd w:val="0"/>
            </w:pPr>
          </w:p>
        </w:tc>
      </w:tr>
    </w:tbl>
    <w:p w:rsidR="007C3BD3" w:rsidRDefault="007C3BD3" w:rsidP="006B0179">
      <w:pPr>
        <w:autoSpaceDE w:val="0"/>
        <w:autoSpaceDN w:val="0"/>
        <w:adjustRightInd w:val="0"/>
        <w:spacing w:line="360" w:lineRule="auto"/>
        <w:ind w:left="60" w:right="60"/>
        <w:rPr>
          <w:bCs/>
        </w:rPr>
      </w:pPr>
    </w:p>
    <w:p w:rsidR="003434D8" w:rsidRDefault="003434D8" w:rsidP="006B0179">
      <w:pPr>
        <w:autoSpaceDE w:val="0"/>
        <w:autoSpaceDN w:val="0"/>
        <w:adjustRightInd w:val="0"/>
        <w:spacing w:line="360" w:lineRule="auto"/>
        <w:ind w:left="60" w:right="60"/>
        <w:rPr>
          <w:bCs/>
        </w:rPr>
      </w:pPr>
      <w:r w:rsidRPr="00F50DE0">
        <w:rPr>
          <w:bCs/>
        </w:rPr>
        <w:t>Table 3.6 shows the number of r</w:t>
      </w:r>
      <w:r>
        <w:rPr>
          <w:bCs/>
        </w:rPr>
        <w:t xml:space="preserve">espondents that indicated </w:t>
      </w:r>
      <w:r>
        <w:rPr>
          <w:bCs/>
        </w:rPr>
        <w:lastRenderedPageBreak/>
        <w:t xml:space="preserve">whether or not </w:t>
      </w:r>
      <w:r w:rsidRPr="00F50DE0">
        <w:rPr>
          <w:bCs/>
        </w:rPr>
        <w:t>they took their fine to court.</w:t>
      </w:r>
      <w:r w:rsidR="00AA5B12">
        <w:rPr>
          <w:bCs/>
        </w:rPr>
        <w:t xml:space="preserve"> </w:t>
      </w:r>
      <w:r w:rsidRPr="00F50DE0">
        <w:rPr>
          <w:bCs/>
        </w:rPr>
        <w:t>54.9% of respondents indicated they chose to take their fine to court.</w:t>
      </w:r>
    </w:p>
    <w:p w:rsidR="006B0179" w:rsidRDefault="006B0179"/>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553"/>
        <w:gridCol w:w="2140"/>
      </w:tblGrid>
      <w:tr w:rsidR="005B658D" w:rsidRPr="00C32252" w:rsidTr="006B0179">
        <w:trPr>
          <w:cantSplit/>
        </w:trPr>
        <w:tc>
          <w:tcPr>
            <w:tcW w:w="7746" w:type="dxa"/>
            <w:gridSpan w:val="6"/>
            <w:tcBorders>
              <w:top w:val="nil"/>
              <w:left w:val="nil"/>
              <w:bottom w:val="single" w:sz="4" w:space="0" w:color="auto"/>
              <w:right w:val="nil"/>
            </w:tcBorders>
            <w:shd w:val="clear" w:color="auto" w:fill="FFFFFF"/>
            <w:vAlign w:val="center"/>
          </w:tcPr>
          <w:p w:rsidR="005B658D" w:rsidRPr="00835EEC" w:rsidRDefault="003C76E0" w:rsidP="00830A27">
            <w:pPr>
              <w:autoSpaceDE w:val="0"/>
              <w:autoSpaceDN w:val="0"/>
              <w:adjustRightInd w:val="0"/>
              <w:ind w:left="60" w:right="60"/>
              <w:rPr>
                <w:sz w:val="28"/>
                <w:szCs w:val="28"/>
              </w:rPr>
            </w:pPr>
            <w:r>
              <w:rPr>
                <w:b/>
                <w:bCs/>
                <w:sz w:val="28"/>
                <w:szCs w:val="28"/>
              </w:rPr>
              <w:t xml:space="preserve">Table </w:t>
            </w:r>
            <w:r w:rsidR="00830A27" w:rsidRPr="00835EEC">
              <w:rPr>
                <w:b/>
                <w:bCs/>
                <w:sz w:val="28"/>
                <w:szCs w:val="28"/>
              </w:rPr>
              <w:t xml:space="preserve">3.6 </w:t>
            </w:r>
            <w:r w:rsidR="005B658D" w:rsidRPr="00835EEC">
              <w:rPr>
                <w:b/>
                <w:bCs/>
                <w:sz w:val="28"/>
                <w:szCs w:val="28"/>
              </w:rPr>
              <w:t>Did you take the fine to court?</w:t>
            </w:r>
          </w:p>
        </w:tc>
      </w:tr>
      <w:tr w:rsidR="005B658D" w:rsidRPr="00C32252" w:rsidTr="006B0179">
        <w:trPr>
          <w:cantSplit/>
          <w:trHeight w:val="171"/>
        </w:trPr>
        <w:tc>
          <w:tcPr>
            <w:tcW w:w="186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830A27" w:rsidRDefault="005B658D" w:rsidP="00924A5F">
            <w:pPr>
              <w:autoSpaceDE w:val="0"/>
              <w:autoSpaceDN w:val="0"/>
              <w:adjustRightInd w:val="0"/>
            </w:pPr>
          </w:p>
        </w:tc>
        <w:tc>
          <w:tcPr>
            <w:tcW w:w="1163"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830A27" w:rsidRDefault="005B658D" w:rsidP="00924A5F">
            <w:pPr>
              <w:autoSpaceDE w:val="0"/>
              <w:autoSpaceDN w:val="0"/>
              <w:adjustRightInd w:val="0"/>
              <w:ind w:left="60" w:right="60"/>
              <w:jc w:val="center"/>
            </w:pPr>
            <w:r w:rsidRPr="00830A27">
              <w:t>Frequency</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830A27" w:rsidRDefault="005B658D" w:rsidP="00924A5F">
            <w:pPr>
              <w:autoSpaceDE w:val="0"/>
              <w:autoSpaceDN w:val="0"/>
              <w:adjustRightInd w:val="0"/>
              <w:ind w:left="60" w:right="60"/>
              <w:jc w:val="center"/>
            </w:pPr>
            <w:r w:rsidRPr="00830A27">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830A27" w:rsidRDefault="005B658D" w:rsidP="00924A5F">
            <w:pPr>
              <w:autoSpaceDE w:val="0"/>
              <w:autoSpaceDN w:val="0"/>
              <w:adjustRightInd w:val="0"/>
              <w:ind w:left="60" w:right="60"/>
              <w:jc w:val="center"/>
            </w:pPr>
            <w:r w:rsidRPr="00830A27">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830A27" w:rsidRDefault="005B658D" w:rsidP="00924A5F">
            <w:pPr>
              <w:autoSpaceDE w:val="0"/>
              <w:autoSpaceDN w:val="0"/>
              <w:adjustRightInd w:val="0"/>
              <w:ind w:left="60" w:right="60"/>
              <w:jc w:val="center"/>
            </w:pPr>
            <w:r w:rsidRPr="00830A27">
              <w:t>Cumulative Percent</w:t>
            </w:r>
          </w:p>
        </w:tc>
      </w:tr>
      <w:tr w:rsidR="005B658D" w:rsidRPr="00C32252" w:rsidTr="006B0179">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ind w:left="60" w:right="60"/>
            </w:pPr>
          </w:p>
        </w:tc>
        <w:tc>
          <w:tcPr>
            <w:tcW w:w="917" w:type="dxa"/>
            <w:tcBorders>
              <w:top w:val="single" w:sz="8" w:space="0" w:color="152935"/>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rPr>
                <w:b/>
              </w:rPr>
            </w:pPr>
            <w:r w:rsidRPr="00830A27">
              <w:rPr>
                <w:b/>
              </w:rPr>
              <w:t>Yes</w:t>
            </w:r>
          </w:p>
        </w:tc>
        <w:tc>
          <w:tcPr>
            <w:tcW w:w="1163" w:type="dxa"/>
            <w:tcBorders>
              <w:top w:val="single" w:sz="8" w:space="0" w:color="152935"/>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203</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48.7</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54.9</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830A27" w:rsidRDefault="005B658D" w:rsidP="00924A5F">
            <w:pPr>
              <w:autoSpaceDE w:val="0"/>
              <w:autoSpaceDN w:val="0"/>
              <w:adjustRightInd w:val="0"/>
              <w:ind w:left="60" w:right="60"/>
              <w:jc w:val="right"/>
            </w:pPr>
            <w:r w:rsidRPr="00830A27">
              <w:t>54.9</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rPr>
                <w:b/>
              </w:rPr>
            </w:pPr>
            <w:r w:rsidRPr="00830A27">
              <w:rPr>
                <w:b/>
              </w:rPr>
              <w:t>No</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167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40.0</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45.1</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830A27" w:rsidRDefault="005B658D" w:rsidP="00924A5F">
            <w:pPr>
              <w:autoSpaceDE w:val="0"/>
              <w:autoSpaceDN w:val="0"/>
              <w:adjustRightInd w:val="0"/>
              <w:ind w:left="60" w:right="60"/>
              <w:jc w:val="right"/>
            </w:pPr>
            <w:r w:rsidRPr="00830A27">
              <w:t>100.0</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pPr>
            <w:r w:rsidRPr="00830A27">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370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88.7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830A27" w:rsidRDefault="005B658D" w:rsidP="00924A5F">
            <w:pPr>
              <w:autoSpaceDE w:val="0"/>
              <w:autoSpaceDN w:val="0"/>
              <w:adjustRightInd w:val="0"/>
            </w:pPr>
          </w:p>
        </w:tc>
      </w:tr>
      <w:tr w:rsidR="005B658D" w:rsidRPr="00C32252" w:rsidTr="006B0179">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ind w:left="60" w:right="60"/>
            </w:pPr>
            <w:r w:rsidRPr="00830A27">
              <w:t>Missing</w:t>
            </w:r>
          </w:p>
        </w:tc>
        <w:tc>
          <w:tcPr>
            <w:tcW w:w="917" w:type="dxa"/>
            <w:tcBorders>
              <w:top w:val="single" w:sz="8" w:space="0" w:color="AEAEAE"/>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pPr>
            <w:r w:rsidRPr="00830A27">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11.3</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830A27"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830A27" w:rsidRDefault="005B658D" w:rsidP="00924A5F">
            <w:pPr>
              <w:autoSpaceDE w:val="0"/>
              <w:autoSpaceDN w:val="0"/>
              <w:adjustRightInd w:val="0"/>
            </w:pPr>
          </w:p>
        </w:tc>
      </w:tr>
      <w:tr w:rsidR="005B658D" w:rsidRPr="00C32252" w:rsidTr="006B0179">
        <w:trPr>
          <w:cantSplit/>
        </w:trPr>
        <w:tc>
          <w:tcPr>
            <w:tcW w:w="186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830A27" w:rsidRDefault="005B658D" w:rsidP="00924A5F">
            <w:pPr>
              <w:autoSpaceDE w:val="0"/>
              <w:autoSpaceDN w:val="0"/>
              <w:adjustRightInd w:val="0"/>
              <w:ind w:left="60" w:right="60"/>
            </w:pPr>
            <w:r w:rsidRPr="00830A27">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830A27"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830A27" w:rsidRDefault="005B658D" w:rsidP="00924A5F">
            <w:pPr>
              <w:autoSpaceDE w:val="0"/>
              <w:autoSpaceDN w:val="0"/>
              <w:adjustRightInd w:val="0"/>
            </w:pPr>
          </w:p>
        </w:tc>
      </w:tr>
    </w:tbl>
    <w:p w:rsidR="006B0179" w:rsidRDefault="006B0179" w:rsidP="006B0179">
      <w:pPr>
        <w:autoSpaceDE w:val="0"/>
        <w:autoSpaceDN w:val="0"/>
        <w:adjustRightInd w:val="0"/>
        <w:spacing w:line="360" w:lineRule="auto"/>
        <w:ind w:right="60"/>
      </w:pPr>
    </w:p>
    <w:p w:rsidR="003434D8" w:rsidRDefault="00FB6FDD" w:rsidP="006B0179">
      <w:pPr>
        <w:autoSpaceDE w:val="0"/>
        <w:autoSpaceDN w:val="0"/>
        <w:adjustRightInd w:val="0"/>
        <w:spacing w:line="360" w:lineRule="auto"/>
        <w:ind w:right="60"/>
        <w:rPr>
          <w:bCs/>
        </w:rPr>
      </w:pPr>
      <w:r w:rsidRPr="00FB6FDD">
        <w:lastRenderedPageBreak/>
        <w:t>Table 3.7 shows whether or not respondents had to miss work as a result of their fines.</w:t>
      </w:r>
      <w:r w:rsidR="00AA5B12">
        <w:t xml:space="preserve"> </w:t>
      </w:r>
      <w:r w:rsidRPr="00FB6FDD">
        <w:t>47.3% of respondents indicated that they had to miss work to pay their fines.</w:t>
      </w:r>
      <w:r w:rsidR="003434D8">
        <w:t xml:space="preserve"> </w:t>
      </w:r>
    </w:p>
    <w:p w:rsidR="00FB6FDD" w:rsidRPr="00C32252" w:rsidRDefault="00FB6FDD" w:rsidP="006B0179">
      <w:pPr>
        <w:autoSpaceDE w:val="0"/>
        <w:autoSpaceDN w:val="0"/>
        <w:adjustRightInd w:val="0"/>
        <w:spacing w:line="360" w:lineRule="auto"/>
      </w:pP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553"/>
        <w:gridCol w:w="2140"/>
      </w:tblGrid>
      <w:tr w:rsidR="005B658D" w:rsidRPr="00C32252" w:rsidTr="006B0179">
        <w:trPr>
          <w:cantSplit/>
        </w:trPr>
        <w:tc>
          <w:tcPr>
            <w:tcW w:w="7746" w:type="dxa"/>
            <w:gridSpan w:val="6"/>
            <w:tcBorders>
              <w:top w:val="nil"/>
              <w:left w:val="nil"/>
              <w:bottom w:val="single" w:sz="4" w:space="0" w:color="auto"/>
              <w:right w:val="nil"/>
            </w:tcBorders>
            <w:shd w:val="clear" w:color="auto" w:fill="FFFFFF"/>
            <w:vAlign w:val="center"/>
          </w:tcPr>
          <w:p w:rsidR="005B658D" w:rsidRPr="00830A27" w:rsidRDefault="003C76E0" w:rsidP="00830A27">
            <w:pPr>
              <w:autoSpaceDE w:val="0"/>
              <w:autoSpaceDN w:val="0"/>
              <w:adjustRightInd w:val="0"/>
              <w:ind w:left="60" w:right="60"/>
              <w:rPr>
                <w:sz w:val="28"/>
                <w:szCs w:val="28"/>
              </w:rPr>
            </w:pPr>
            <w:r>
              <w:rPr>
                <w:b/>
                <w:bCs/>
                <w:sz w:val="28"/>
                <w:szCs w:val="28"/>
              </w:rPr>
              <w:t xml:space="preserve">Table </w:t>
            </w:r>
            <w:r w:rsidR="00830A27" w:rsidRPr="00830A27">
              <w:rPr>
                <w:b/>
                <w:bCs/>
                <w:sz w:val="28"/>
                <w:szCs w:val="28"/>
              </w:rPr>
              <w:t xml:space="preserve">3.7 </w:t>
            </w:r>
            <w:r w:rsidR="005B658D" w:rsidRPr="00830A27">
              <w:rPr>
                <w:b/>
                <w:bCs/>
                <w:sz w:val="28"/>
                <w:szCs w:val="28"/>
              </w:rPr>
              <w:t>Did you have to miss work to pay the fine?</w:t>
            </w:r>
          </w:p>
        </w:tc>
      </w:tr>
      <w:tr w:rsidR="005B658D" w:rsidRPr="00C32252" w:rsidTr="006B0179">
        <w:trPr>
          <w:cantSplit/>
        </w:trPr>
        <w:tc>
          <w:tcPr>
            <w:tcW w:w="186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830A27" w:rsidRDefault="005B658D" w:rsidP="00924A5F">
            <w:pPr>
              <w:autoSpaceDE w:val="0"/>
              <w:autoSpaceDN w:val="0"/>
              <w:adjustRightInd w:val="0"/>
            </w:pPr>
          </w:p>
        </w:tc>
        <w:tc>
          <w:tcPr>
            <w:tcW w:w="1163"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830A27" w:rsidRDefault="005B658D" w:rsidP="00924A5F">
            <w:pPr>
              <w:autoSpaceDE w:val="0"/>
              <w:autoSpaceDN w:val="0"/>
              <w:adjustRightInd w:val="0"/>
              <w:ind w:left="60" w:right="60"/>
              <w:jc w:val="center"/>
            </w:pPr>
            <w:r w:rsidRPr="00830A27">
              <w:t>Frequency</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830A27" w:rsidRDefault="005B658D" w:rsidP="00924A5F">
            <w:pPr>
              <w:autoSpaceDE w:val="0"/>
              <w:autoSpaceDN w:val="0"/>
              <w:adjustRightInd w:val="0"/>
              <w:ind w:left="60" w:right="60"/>
              <w:jc w:val="center"/>
            </w:pPr>
            <w:r w:rsidRPr="00830A27">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830A27" w:rsidRDefault="005B658D" w:rsidP="00924A5F">
            <w:pPr>
              <w:autoSpaceDE w:val="0"/>
              <w:autoSpaceDN w:val="0"/>
              <w:adjustRightInd w:val="0"/>
              <w:ind w:left="60" w:right="60"/>
              <w:jc w:val="center"/>
            </w:pPr>
            <w:r w:rsidRPr="00830A27">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830A27" w:rsidRDefault="005B658D" w:rsidP="00924A5F">
            <w:pPr>
              <w:autoSpaceDE w:val="0"/>
              <w:autoSpaceDN w:val="0"/>
              <w:adjustRightInd w:val="0"/>
              <w:ind w:left="60" w:right="60"/>
              <w:jc w:val="center"/>
            </w:pPr>
            <w:r w:rsidRPr="00830A27">
              <w:t>Cumulative Percent</w:t>
            </w:r>
          </w:p>
        </w:tc>
      </w:tr>
      <w:tr w:rsidR="005B658D" w:rsidRPr="00C32252" w:rsidTr="006B0179">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ind w:left="60" w:right="60"/>
            </w:pPr>
          </w:p>
        </w:tc>
        <w:tc>
          <w:tcPr>
            <w:tcW w:w="917" w:type="dxa"/>
            <w:tcBorders>
              <w:top w:val="single" w:sz="8" w:space="0" w:color="152935"/>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rPr>
                <w:b/>
              </w:rPr>
            </w:pPr>
            <w:r w:rsidRPr="00830A27">
              <w:rPr>
                <w:b/>
              </w:rPr>
              <w:t>Yes</w:t>
            </w:r>
          </w:p>
        </w:tc>
        <w:tc>
          <w:tcPr>
            <w:tcW w:w="1163" w:type="dxa"/>
            <w:tcBorders>
              <w:top w:val="single" w:sz="8" w:space="0" w:color="152935"/>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176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42.2</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47.3</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830A27" w:rsidRDefault="005B658D" w:rsidP="00924A5F">
            <w:pPr>
              <w:autoSpaceDE w:val="0"/>
              <w:autoSpaceDN w:val="0"/>
              <w:adjustRightInd w:val="0"/>
              <w:ind w:left="60" w:right="60"/>
              <w:jc w:val="right"/>
            </w:pPr>
            <w:r w:rsidRPr="00830A27">
              <w:t>47.3</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rPr>
                <w:b/>
              </w:rPr>
            </w:pPr>
            <w:r w:rsidRPr="00830A27">
              <w:rPr>
                <w:b/>
              </w:rPr>
              <w:t>No</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196</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47.0</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52.7</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830A27" w:rsidRDefault="005B658D" w:rsidP="00924A5F">
            <w:pPr>
              <w:autoSpaceDE w:val="0"/>
              <w:autoSpaceDN w:val="0"/>
              <w:adjustRightInd w:val="0"/>
              <w:ind w:left="60" w:right="60"/>
              <w:jc w:val="right"/>
            </w:pPr>
            <w:r w:rsidRPr="00830A27">
              <w:t>100.0</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pPr>
            <w:r w:rsidRPr="00830A27">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372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89.2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830A27" w:rsidRDefault="005B658D" w:rsidP="00924A5F">
            <w:pPr>
              <w:autoSpaceDE w:val="0"/>
              <w:autoSpaceDN w:val="0"/>
              <w:adjustRightInd w:val="0"/>
            </w:pPr>
          </w:p>
        </w:tc>
      </w:tr>
      <w:tr w:rsidR="005B658D" w:rsidRPr="00C32252" w:rsidTr="006B0179">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830A27" w:rsidRDefault="005B658D" w:rsidP="00924A5F">
            <w:pPr>
              <w:autoSpaceDE w:val="0"/>
              <w:autoSpaceDN w:val="0"/>
              <w:adjustRightInd w:val="0"/>
              <w:ind w:left="60" w:right="60"/>
            </w:pPr>
            <w:r w:rsidRPr="00830A27">
              <w:t>Missing</w:t>
            </w:r>
          </w:p>
        </w:tc>
        <w:tc>
          <w:tcPr>
            <w:tcW w:w="917" w:type="dxa"/>
            <w:tcBorders>
              <w:top w:val="single" w:sz="8" w:space="0" w:color="AEAEAE"/>
              <w:left w:val="nil"/>
              <w:bottom w:val="single" w:sz="8" w:space="0" w:color="AEAEAE"/>
              <w:right w:val="single" w:sz="4" w:space="0" w:color="auto"/>
            </w:tcBorders>
            <w:shd w:val="clear" w:color="auto" w:fill="E0E0E0"/>
          </w:tcPr>
          <w:p w:rsidR="005B658D" w:rsidRPr="00830A27" w:rsidRDefault="005B658D" w:rsidP="00924A5F">
            <w:pPr>
              <w:autoSpaceDE w:val="0"/>
              <w:autoSpaceDN w:val="0"/>
              <w:adjustRightInd w:val="0"/>
              <w:ind w:left="60" w:right="60"/>
            </w:pPr>
            <w:r w:rsidRPr="00830A27">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10.8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830A27"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830A27" w:rsidRDefault="005B658D" w:rsidP="00924A5F">
            <w:pPr>
              <w:autoSpaceDE w:val="0"/>
              <w:autoSpaceDN w:val="0"/>
              <w:adjustRightInd w:val="0"/>
            </w:pPr>
          </w:p>
        </w:tc>
      </w:tr>
      <w:tr w:rsidR="005B658D" w:rsidRPr="00C32252" w:rsidTr="006B0179">
        <w:trPr>
          <w:cantSplit/>
        </w:trPr>
        <w:tc>
          <w:tcPr>
            <w:tcW w:w="186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830A27" w:rsidRDefault="005B658D" w:rsidP="00924A5F">
            <w:pPr>
              <w:autoSpaceDE w:val="0"/>
              <w:autoSpaceDN w:val="0"/>
              <w:adjustRightInd w:val="0"/>
              <w:ind w:left="60" w:right="60"/>
            </w:pPr>
            <w:r w:rsidRPr="00830A27">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830A27" w:rsidRDefault="005B658D" w:rsidP="00924A5F">
            <w:pPr>
              <w:autoSpaceDE w:val="0"/>
              <w:autoSpaceDN w:val="0"/>
              <w:adjustRightInd w:val="0"/>
              <w:ind w:left="60" w:right="60"/>
              <w:jc w:val="right"/>
            </w:pPr>
            <w:r w:rsidRPr="00830A27">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830A27"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830A27" w:rsidRDefault="005B658D" w:rsidP="00924A5F">
            <w:pPr>
              <w:autoSpaceDE w:val="0"/>
              <w:autoSpaceDN w:val="0"/>
              <w:adjustRightInd w:val="0"/>
            </w:pPr>
          </w:p>
        </w:tc>
      </w:tr>
    </w:tbl>
    <w:p w:rsidR="006B0179" w:rsidRDefault="006B0179" w:rsidP="006B0179">
      <w:pPr>
        <w:spacing w:line="360" w:lineRule="auto"/>
      </w:pPr>
    </w:p>
    <w:p w:rsidR="00E37142" w:rsidRDefault="00E37142" w:rsidP="006B0179">
      <w:pPr>
        <w:spacing w:line="360" w:lineRule="auto"/>
      </w:pPr>
      <w:r w:rsidRPr="00E37142">
        <w:lastRenderedPageBreak/>
        <w:t>Respondents were also asked whether or not they had to attend a court hearing for th</w:t>
      </w:r>
      <w:r w:rsidR="008F06B2">
        <w:t>e</w:t>
      </w:r>
      <w:r w:rsidRPr="00E37142">
        <w:t>ir most recent fine.</w:t>
      </w:r>
      <w:r w:rsidR="00AA5B12">
        <w:t xml:space="preserve"> </w:t>
      </w:r>
      <w:r w:rsidRPr="00E37142">
        <w:t>46.6% of respondents indicated that they had attended a court hearing as a result of their most recent fine.</w:t>
      </w:r>
      <w:r w:rsidR="00AA5B12">
        <w:t xml:space="preserve"> </w:t>
      </w:r>
      <w:r w:rsidR="008F06B2">
        <w:t xml:space="preserve">The vast majority of these respondents indicated that they had attended </w:t>
      </w:r>
      <w:r w:rsidR="008F06B2">
        <w:lastRenderedPageBreak/>
        <w:t>court once (69.4% of cases), while 17.8% reported attending court twice. A further 11.1% of respondents reported attending court 3-4 times and 1.8% of respondents indicated attending court more than 5 times to</w:t>
      </w:r>
      <w:r w:rsidR="003A4D2C">
        <w:t xml:space="preserve"> address their most recent fine (see table 3.9 below).</w:t>
      </w:r>
    </w:p>
    <w:p w:rsidR="006B0179" w:rsidRDefault="006B0179" w:rsidP="006B0179">
      <w:pPr>
        <w:spacing w:line="360" w:lineRule="auto"/>
      </w:pP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553"/>
        <w:gridCol w:w="2140"/>
      </w:tblGrid>
      <w:tr w:rsidR="00C32252" w:rsidRPr="00C32252" w:rsidTr="006B0179">
        <w:trPr>
          <w:cantSplit/>
        </w:trPr>
        <w:tc>
          <w:tcPr>
            <w:tcW w:w="7746" w:type="dxa"/>
            <w:gridSpan w:val="6"/>
            <w:tcBorders>
              <w:top w:val="nil"/>
              <w:left w:val="nil"/>
              <w:bottom w:val="single" w:sz="4" w:space="0" w:color="auto"/>
              <w:right w:val="nil"/>
            </w:tcBorders>
            <w:shd w:val="clear" w:color="auto" w:fill="FFFFFF"/>
            <w:vAlign w:val="center"/>
          </w:tcPr>
          <w:p w:rsidR="005B658D" w:rsidRPr="00894059" w:rsidRDefault="003C76E0" w:rsidP="00894059">
            <w:pPr>
              <w:autoSpaceDE w:val="0"/>
              <w:autoSpaceDN w:val="0"/>
              <w:adjustRightInd w:val="0"/>
              <w:ind w:left="60" w:right="60"/>
              <w:rPr>
                <w:sz w:val="28"/>
                <w:szCs w:val="28"/>
              </w:rPr>
            </w:pPr>
            <w:r>
              <w:rPr>
                <w:b/>
                <w:bCs/>
                <w:sz w:val="28"/>
                <w:szCs w:val="28"/>
              </w:rPr>
              <w:t xml:space="preserve">Table </w:t>
            </w:r>
            <w:r w:rsidR="00894059" w:rsidRPr="00894059">
              <w:rPr>
                <w:b/>
                <w:bCs/>
                <w:sz w:val="28"/>
                <w:szCs w:val="28"/>
              </w:rPr>
              <w:t xml:space="preserve">3.8 </w:t>
            </w:r>
            <w:r w:rsidR="005B658D" w:rsidRPr="00894059">
              <w:rPr>
                <w:b/>
                <w:bCs/>
                <w:sz w:val="28"/>
                <w:szCs w:val="28"/>
              </w:rPr>
              <w:t>Did you have to miss work to attend court?</w:t>
            </w:r>
          </w:p>
        </w:tc>
      </w:tr>
      <w:tr w:rsidR="00C32252" w:rsidRPr="00894059" w:rsidTr="006B0179">
        <w:trPr>
          <w:cantSplit/>
        </w:trPr>
        <w:tc>
          <w:tcPr>
            <w:tcW w:w="186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894059" w:rsidRDefault="005B658D" w:rsidP="00924A5F">
            <w:pPr>
              <w:autoSpaceDE w:val="0"/>
              <w:autoSpaceDN w:val="0"/>
              <w:adjustRightInd w:val="0"/>
            </w:pPr>
          </w:p>
        </w:tc>
        <w:tc>
          <w:tcPr>
            <w:tcW w:w="1163"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894059" w:rsidRDefault="005B658D" w:rsidP="00924A5F">
            <w:pPr>
              <w:autoSpaceDE w:val="0"/>
              <w:autoSpaceDN w:val="0"/>
              <w:adjustRightInd w:val="0"/>
              <w:ind w:left="60" w:right="60"/>
              <w:jc w:val="center"/>
            </w:pPr>
            <w:r w:rsidRPr="00894059">
              <w:t>Frequency</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894059" w:rsidRDefault="005B658D" w:rsidP="00924A5F">
            <w:pPr>
              <w:autoSpaceDE w:val="0"/>
              <w:autoSpaceDN w:val="0"/>
              <w:adjustRightInd w:val="0"/>
              <w:ind w:left="60" w:right="60"/>
              <w:jc w:val="center"/>
            </w:pPr>
            <w:r w:rsidRPr="00894059">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894059" w:rsidRDefault="005B658D" w:rsidP="00924A5F">
            <w:pPr>
              <w:autoSpaceDE w:val="0"/>
              <w:autoSpaceDN w:val="0"/>
              <w:adjustRightInd w:val="0"/>
              <w:ind w:left="60" w:right="60"/>
              <w:jc w:val="center"/>
            </w:pPr>
            <w:r w:rsidRPr="00894059">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894059" w:rsidRDefault="005B658D" w:rsidP="00924A5F">
            <w:pPr>
              <w:autoSpaceDE w:val="0"/>
              <w:autoSpaceDN w:val="0"/>
              <w:adjustRightInd w:val="0"/>
              <w:ind w:left="60" w:right="60"/>
              <w:jc w:val="center"/>
            </w:pPr>
            <w:r w:rsidRPr="00894059">
              <w:t>Cumulative Percent</w:t>
            </w:r>
          </w:p>
        </w:tc>
      </w:tr>
      <w:tr w:rsidR="00C32252" w:rsidRPr="00894059" w:rsidTr="006B0179">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894059" w:rsidRDefault="005B658D" w:rsidP="00924A5F">
            <w:pPr>
              <w:autoSpaceDE w:val="0"/>
              <w:autoSpaceDN w:val="0"/>
              <w:adjustRightInd w:val="0"/>
              <w:ind w:left="60" w:right="60"/>
            </w:pPr>
          </w:p>
        </w:tc>
        <w:tc>
          <w:tcPr>
            <w:tcW w:w="917" w:type="dxa"/>
            <w:tcBorders>
              <w:top w:val="single" w:sz="8" w:space="0" w:color="152935"/>
              <w:left w:val="nil"/>
              <w:bottom w:val="single" w:sz="8" w:space="0" w:color="AEAEAE"/>
              <w:right w:val="single" w:sz="4" w:space="0" w:color="auto"/>
            </w:tcBorders>
            <w:shd w:val="clear" w:color="auto" w:fill="E0E0E0"/>
          </w:tcPr>
          <w:p w:rsidR="005B658D" w:rsidRPr="00894059" w:rsidRDefault="005B658D" w:rsidP="00924A5F">
            <w:pPr>
              <w:autoSpaceDE w:val="0"/>
              <w:autoSpaceDN w:val="0"/>
              <w:adjustRightInd w:val="0"/>
              <w:ind w:left="60" w:right="60"/>
              <w:rPr>
                <w:b/>
              </w:rPr>
            </w:pPr>
            <w:r w:rsidRPr="00894059">
              <w:rPr>
                <w:b/>
              </w:rPr>
              <w:t>Yes</w:t>
            </w:r>
          </w:p>
        </w:tc>
        <w:tc>
          <w:tcPr>
            <w:tcW w:w="1163" w:type="dxa"/>
            <w:tcBorders>
              <w:top w:val="single" w:sz="8" w:space="0" w:color="152935"/>
              <w:left w:val="single" w:sz="4" w:space="0" w:color="auto"/>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176</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42.2</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46.6</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894059" w:rsidRDefault="005B658D" w:rsidP="00924A5F">
            <w:pPr>
              <w:autoSpaceDE w:val="0"/>
              <w:autoSpaceDN w:val="0"/>
              <w:adjustRightInd w:val="0"/>
              <w:ind w:left="60" w:right="60"/>
              <w:jc w:val="right"/>
            </w:pPr>
            <w:r w:rsidRPr="00894059">
              <w:t>46.6</w:t>
            </w:r>
          </w:p>
        </w:tc>
      </w:tr>
      <w:tr w:rsidR="00C32252" w:rsidRPr="00894059"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894059"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894059" w:rsidRDefault="005B658D" w:rsidP="00924A5F">
            <w:pPr>
              <w:autoSpaceDE w:val="0"/>
              <w:autoSpaceDN w:val="0"/>
              <w:adjustRightInd w:val="0"/>
              <w:ind w:left="60" w:right="60"/>
              <w:rPr>
                <w:b/>
              </w:rPr>
            </w:pPr>
            <w:r w:rsidRPr="00894059">
              <w:rPr>
                <w:b/>
              </w:rPr>
              <w:t>No</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202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48.4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53.4</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894059" w:rsidRDefault="005B658D" w:rsidP="00924A5F">
            <w:pPr>
              <w:autoSpaceDE w:val="0"/>
              <w:autoSpaceDN w:val="0"/>
              <w:adjustRightInd w:val="0"/>
              <w:ind w:left="60" w:right="60"/>
              <w:jc w:val="right"/>
            </w:pPr>
            <w:r w:rsidRPr="00894059">
              <w:t>100.0</w:t>
            </w:r>
          </w:p>
        </w:tc>
      </w:tr>
      <w:tr w:rsidR="00C32252" w:rsidRPr="00894059"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894059"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894059" w:rsidRDefault="005B658D" w:rsidP="00924A5F">
            <w:pPr>
              <w:autoSpaceDE w:val="0"/>
              <w:autoSpaceDN w:val="0"/>
              <w:adjustRightInd w:val="0"/>
              <w:ind w:left="60" w:right="60"/>
            </w:pPr>
            <w:r w:rsidRPr="00894059">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378</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90.6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894059" w:rsidRDefault="005B658D" w:rsidP="00924A5F">
            <w:pPr>
              <w:autoSpaceDE w:val="0"/>
              <w:autoSpaceDN w:val="0"/>
              <w:adjustRightInd w:val="0"/>
            </w:pPr>
          </w:p>
        </w:tc>
      </w:tr>
      <w:tr w:rsidR="00C32252" w:rsidRPr="00894059" w:rsidTr="006B0179">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894059" w:rsidRDefault="005B658D" w:rsidP="00924A5F">
            <w:pPr>
              <w:autoSpaceDE w:val="0"/>
              <w:autoSpaceDN w:val="0"/>
              <w:adjustRightInd w:val="0"/>
              <w:ind w:left="60" w:right="60"/>
            </w:pPr>
            <w:r w:rsidRPr="00894059">
              <w:t>Missing</w:t>
            </w:r>
          </w:p>
        </w:tc>
        <w:tc>
          <w:tcPr>
            <w:tcW w:w="917" w:type="dxa"/>
            <w:tcBorders>
              <w:top w:val="single" w:sz="8" w:space="0" w:color="AEAEAE"/>
              <w:left w:val="nil"/>
              <w:bottom w:val="single" w:sz="8" w:space="0" w:color="AEAEAE"/>
              <w:right w:val="single" w:sz="4" w:space="0" w:color="auto"/>
            </w:tcBorders>
            <w:shd w:val="clear" w:color="auto" w:fill="E0E0E0"/>
          </w:tcPr>
          <w:p w:rsidR="005B658D" w:rsidRPr="00894059" w:rsidRDefault="005B658D" w:rsidP="00924A5F">
            <w:pPr>
              <w:autoSpaceDE w:val="0"/>
              <w:autoSpaceDN w:val="0"/>
              <w:adjustRightInd w:val="0"/>
              <w:ind w:left="60" w:right="60"/>
            </w:pPr>
            <w:r w:rsidRPr="00894059">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39</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9.4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894059"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894059" w:rsidRDefault="005B658D" w:rsidP="00924A5F">
            <w:pPr>
              <w:autoSpaceDE w:val="0"/>
              <w:autoSpaceDN w:val="0"/>
              <w:adjustRightInd w:val="0"/>
            </w:pPr>
          </w:p>
        </w:tc>
      </w:tr>
      <w:tr w:rsidR="00C32252" w:rsidRPr="00894059" w:rsidTr="006B0179">
        <w:trPr>
          <w:cantSplit/>
          <w:trHeight w:val="259"/>
        </w:trPr>
        <w:tc>
          <w:tcPr>
            <w:tcW w:w="186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894059" w:rsidRDefault="005B658D" w:rsidP="00924A5F">
            <w:pPr>
              <w:autoSpaceDE w:val="0"/>
              <w:autoSpaceDN w:val="0"/>
              <w:adjustRightInd w:val="0"/>
              <w:ind w:left="60" w:right="60"/>
            </w:pPr>
            <w:r w:rsidRPr="00894059">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894059" w:rsidRDefault="005B658D" w:rsidP="00924A5F">
            <w:pPr>
              <w:autoSpaceDE w:val="0"/>
              <w:autoSpaceDN w:val="0"/>
              <w:adjustRightInd w:val="0"/>
              <w:ind w:left="60" w:right="60"/>
              <w:jc w:val="right"/>
            </w:pPr>
            <w:r w:rsidRPr="00894059">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894059"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894059" w:rsidRDefault="005B658D" w:rsidP="00924A5F">
            <w:pPr>
              <w:autoSpaceDE w:val="0"/>
              <w:autoSpaceDN w:val="0"/>
              <w:adjustRightInd w:val="0"/>
            </w:pPr>
          </w:p>
        </w:tc>
      </w:tr>
    </w:tbl>
    <w:p w:rsidR="007C3BD3" w:rsidRPr="00894059" w:rsidRDefault="007C3BD3" w:rsidP="00924A5F">
      <w:pPr>
        <w:autoSpaceDE w:val="0"/>
        <w:autoSpaceDN w:val="0"/>
        <w:adjustRightInd w:val="0"/>
      </w:pPr>
    </w:p>
    <w:p w:rsidR="006B0179" w:rsidRDefault="006B0179">
      <w:r>
        <w:br w:type="page"/>
      </w: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25"/>
        <w:gridCol w:w="1553"/>
        <w:gridCol w:w="2140"/>
      </w:tblGrid>
      <w:tr w:rsidR="005B658D" w:rsidRPr="00C32252" w:rsidTr="006B0179">
        <w:trPr>
          <w:cantSplit/>
        </w:trPr>
        <w:tc>
          <w:tcPr>
            <w:tcW w:w="7746" w:type="dxa"/>
            <w:gridSpan w:val="6"/>
            <w:tcBorders>
              <w:top w:val="nil"/>
              <w:left w:val="nil"/>
              <w:bottom w:val="nil"/>
              <w:right w:val="nil"/>
            </w:tcBorders>
            <w:shd w:val="clear" w:color="auto" w:fill="FFFFFF"/>
            <w:vAlign w:val="center"/>
          </w:tcPr>
          <w:p w:rsidR="005B658D" w:rsidRPr="00894059" w:rsidRDefault="003C76E0" w:rsidP="00894059">
            <w:pPr>
              <w:autoSpaceDE w:val="0"/>
              <w:autoSpaceDN w:val="0"/>
              <w:adjustRightInd w:val="0"/>
              <w:ind w:left="60" w:right="60"/>
              <w:rPr>
                <w:sz w:val="28"/>
                <w:szCs w:val="28"/>
              </w:rPr>
            </w:pPr>
            <w:r>
              <w:rPr>
                <w:b/>
                <w:bCs/>
                <w:sz w:val="28"/>
                <w:szCs w:val="28"/>
              </w:rPr>
              <w:lastRenderedPageBreak/>
              <w:t xml:space="preserve">Table </w:t>
            </w:r>
            <w:r w:rsidR="00894059" w:rsidRPr="00894059">
              <w:rPr>
                <w:b/>
                <w:bCs/>
                <w:sz w:val="28"/>
                <w:szCs w:val="28"/>
              </w:rPr>
              <w:t xml:space="preserve">3.9 </w:t>
            </w:r>
            <w:r w:rsidR="00894059">
              <w:rPr>
                <w:b/>
                <w:bCs/>
                <w:sz w:val="28"/>
                <w:szCs w:val="28"/>
              </w:rPr>
              <w:t>Number of c</w:t>
            </w:r>
            <w:r w:rsidR="005B658D" w:rsidRPr="00894059">
              <w:rPr>
                <w:b/>
                <w:bCs/>
                <w:sz w:val="28"/>
                <w:szCs w:val="28"/>
              </w:rPr>
              <w:t>ourt appearances</w:t>
            </w:r>
            <w:r w:rsidR="00894059">
              <w:rPr>
                <w:b/>
                <w:bCs/>
                <w:sz w:val="28"/>
                <w:szCs w:val="28"/>
              </w:rPr>
              <w:t xml:space="preserve"> for most recent fine</w:t>
            </w:r>
          </w:p>
        </w:tc>
      </w:tr>
      <w:tr w:rsidR="005B658D" w:rsidRPr="00C32252" w:rsidTr="006B0179">
        <w:trPr>
          <w:cantSplit/>
        </w:trPr>
        <w:tc>
          <w:tcPr>
            <w:tcW w:w="18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E37142" w:rsidRDefault="005B658D" w:rsidP="00924A5F">
            <w:pPr>
              <w:autoSpaceDE w:val="0"/>
              <w:autoSpaceDN w:val="0"/>
              <w:adjustRightInd w:val="0"/>
            </w:pPr>
          </w:p>
        </w:tc>
        <w:tc>
          <w:tcPr>
            <w:tcW w:w="1163" w:type="dxa"/>
            <w:tcBorders>
              <w:top w:val="single" w:sz="4" w:space="0" w:color="auto"/>
              <w:left w:val="single" w:sz="4" w:space="0" w:color="auto"/>
              <w:bottom w:val="single" w:sz="4" w:space="0" w:color="auto"/>
              <w:right w:val="single" w:sz="8" w:space="0" w:color="E0E0E0"/>
            </w:tcBorders>
            <w:shd w:val="clear" w:color="auto" w:fill="FFFFFF"/>
            <w:vAlign w:val="bottom"/>
          </w:tcPr>
          <w:p w:rsidR="005B658D" w:rsidRPr="00E37142" w:rsidRDefault="005B658D" w:rsidP="00924A5F">
            <w:pPr>
              <w:autoSpaceDE w:val="0"/>
              <w:autoSpaceDN w:val="0"/>
              <w:adjustRightInd w:val="0"/>
              <w:ind w:left="60" w:right="60"/>
              <w:jc w:val="center"/>
            </w:pPr>
            <w:r w:rsidRPr="00E37142">
              <w:t>Frequency</w:t>
            </w:r>
          </w:p>
        </w:tc>
        <w:tc>
          <w:tcPr>
            <w:tcW w:w="1025" w:type="dxa"/>
            <w:tcBorders>
              <w:top w:val="single" w:sz="4" w:space="0" w:color="auto"/>
              <w:left w:val="single" w:sz="8" w:space="0" w:color="E0E0E0"/>
              <w:bottom w:val="single" w:sz="4" w:space="0" w:color="auto"/>
              <w:right w:val="single" w:sz="8" w:space="0" w:color="E0E0E0"/>
            </w:tcBorders>
            <w:shd w:val="clear" w:color="auto" w:fill="FFFFFF"/>
            <w:vAlign w:val="bottom"/>
          </w:tcPr>
          <w:p w:rsidR="005B658D" w:rsidRPr="00E37142" w:rsidRDefault="005B658D" w:rsidP="00924A5F">
            <w:pPr>
              <w:autoSpaceDE w:val="0"/>
              <w:autoSpaceDN w:val="0"/>
              <w:adjustRightInd w:val="0"/>
              <w:ind w:left="60" w:right="60"/>
              <w:jc w:val="center"/>
            </w:pPr>
            <w:r w:rsidRPr="00E37142">
              <w:t>Percent</w:t>
            </w:r>
          </w:p>
        </w:tc>
        <w:tc>
          <w:tcPr>
            <w:tcW w:w="1553" w:type="dxa"/>
            <w:tcBorders>
              <w:top w:val="single" w:sz="4" w:space="0" w:color="auto"/>
              <w:left w:val="single" w:sz="8" w:space="0" w:color="E0E0E0"/>
              <w:bottom w:val="single" w:sz="4" w:space="0" w:color="auto"/>
              <w:right w:val="single" w:sz="8" w:space="0" w:color="E0E0E0"/>
            </w:tcBorders>
            <w:shd w:val="clear" w:color="auto" w:fill="FFFFFF"/>
            <w:vAlign w:val="bottom"/>
          </w:tcPr>
          <w:p w:rsidR="005B658D" w:rsidRPr="00E37142" w:rsidRDefault="005B658D" w:rsidP="00924A5F">
            <w:pPr>
              <w:autoSpaceDE w:val="0"/>
              <w:autoSpaceDN w:val="0"/>
              <w:adjustRightInd w:val="0"/>
              <w:ind w:left="60" w:right="60"/>
              <w:jc w:val="center"/>
            </w:pPr>
            <w:r w:rsidRPr="00E37142">
              <w:t>Valid Percent</w:t>
            </w:r>
          </w:p>
        </w:tc>
        <w:tc>
          <w:tcPr>
            <w:tcW w:w="2140" w:type="dxa"/>
            <w:tcBorders>
              <w:top w:val="single" w:sz="4" w:space="0" w:color="auto"/>
              <w:left w:val="single" w:sz="8" w:space="0" w:color="E0E0E0"/>
              <w:bottom w:val="single" w:sz="4" w:space="0" w:color="auto"/>
              <w:right w:val="single" w:sz="4" w:space="0" w:color="auto"/>
            </w:tcBorders>
            <w:shd w:val="clear" w:color="auto" w:fill="FFFFFF"/>
            <w:vAlign w:val="bottom"/>
          </w:tcPr>
          <w:p w:rsidR="005B658D" w:rsidRPr="00E37142" w:rsidRDefault="005B658D" w:rsidP="00924A5F">
            <w:pPr>
              <w:autoSpaceDE w:val="0"/>
              <w:autoSpaceDN w:val="0"/>
              <w:adjustRightInd w:val="0"/>
              <w:ind w:left="60" w:right="60"/>
              <w:jc w:val="center"/>
            </w:pPr>
            <w:r w:rsidRPr="00E37142">
              <w:t>Cumulative Percent</w:t>
            </w:r>
          </w:p>
        </w:tc>
      </w:tr>
      <w:tr w:rsidR="005B658D" w:rsidRPr="00C32252" w:rsidTr="006B0179">
        <w:trPr>
          <w:cantSplit/>
        </w:trPr>
        <w:tc>
          <w:tcPr>
            <w:tcW w:w="948" w:type="dxa"/>
            <w:vMerge w:val="restart"/>
            <w:tcBorders>
              <w:top w:val="single" w:sz="4" w:space="0" w:color="auto"/>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ind w:left="60" w:right="60"/>
            </w:pPr>
          </w:p>
        </w:tc>
        <w:tc>
          <w:tcPr>
            <w:tcW w:w="917" w:type="dxa"/>
            <w:tcBorders>
              <w:top w:val="single" w:sz="4" w:space="0" w:color="auto"/>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1</w:t>
            </w:r>
          </w:p>
        </w:tc>
        <w:tc>
          <w:tcPr>
            <w:tcW w:w="1163" w:type="dxa"/>
            <w:tcBorders>
              <w:top w:val="single" w:sz="4" w:space="0" w:color="auto"/>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125</w:t>
            </w:r>
          </w:p>
        </w:tc>
        <w:tc>
          <w:tcPr>
            <w:tcW w:w="1025" w:type="dxa"/>
            <w:tcBorders>
              <w:top w:val="single" w:sz="4" w:space="0" w:color="auto"/>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30.0</w:t>
            </w:r>
          </w:p>
        </w:tc>
        <w:tc>
          <w:tcPr>
            <w:tcW w:w="1553" w:type="dxa"/>
            <w:tcBorders>
              <w:top w:val="single" w:sz="4" w:space="0" w:color="auto"/>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69.4</w:t>
            </w:r>
          </w:p>
        </w:tc>
        <w:tc>
          <w:tcPr>
            <w:tcW w:w="2140" w:type="dxa"/>
            <w:tcBorders>
              <w:top w:val="single" w:sz="4" w:space="0" w:color="auto"/>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69.4</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2</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32</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7.7</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17.8</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87.2</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3</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3.6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8.3</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95.6</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4</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2.8</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98.3</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6</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98.9</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10</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99.4</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11</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100.0</w:t>
            </w:r>
          </w:p>
        </w:tc>
      </w:tr>
      <w:tr w:rsidR="005B658D" w:rsidRPr="00C32252" w:rsidTr="006B0179">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pP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pPr>
            <w:r w:rsidRPr="00E37142">
              <w:t>Total</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180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43.2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E37142" w:rsidRDefault="005B658D" w:rsidP="00924A5F">
            <w:pPr>
              <w:autoSpaceDE w:val="0"/>
              <w:autoSpaceDN w:val="0"/>
              <w:adjustRightInd w:val="0"/>
            </w:pPr>
          </w:p>
        </w:tc>
      </w:tr>
      <w:tr w:rsidR="005B658D" w:rsidRPr="00C32252" w:rsidTr="006B0179">
        <w:trPr>
          <w:cantSplit/>
        </w:trPr>
        <w:tc>
          <w:tcPr>
            <w:tcW w:w="948" w:type="dxa"/>
            <w:tcBorders>
              <w:top w:val="single" w:sz="8" w:space="0" w:color="AEAEAE"/>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ind w:left="60" w:right="60"/>
            </w:pPr>
            <w:r w:rsidRPr="00E37142">
              <w:t>Missing</w:t>
            </w:r>
          </w:p>
        </w:tc>
        <w:tc>
          <w:tcPr>
            <w:tcW w:w="91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pPr>
            <w:r w:rsidRPr="00E37142">
              <w:t>System</w:t>
            </w:r>
          </w:p>
        </w:tc>
        <w:tc>
          <w:tcPr>
            <w:tcW w:w="1163"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237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56.8</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E37142"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E37142" w:rsidRDefault="005B658D" w:rsidP="00924A5F">
            <w:pPr>
              <w:autoSpaceDE w:val="0"/>
              <w:autoSpaceDN w:val="0"/>
              <w:adjustRightInd w:val="0"/>
            </w:pPr>
          </w:p>
        </w:tc>
      </w:tr>
      <w:tr w:rsidR="005B658D" w:rsidRPr="00C32252" w:rsidTr="006B0179">
        <w:trPr>
          <w:cantSplit/>
        </w:trPr>
        <w:tc>
          <w:tcPr>
            <w:tcW w:w="186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E37142" w:rsidRDefault="005B658D" w:rsidP="00924A5F">
            <w:pPr>
              <w:autoSpaceDE w:val="0"/>
              <w:autoSpaceDN w:val="0"/>
              <w:adjustRightInd w:val="0"/>
              <w:ind w:left="60" w:right="60"/>
            </w:pPr>
            <w:r w:rsidRPr="00E37142">
              <w:t>Total</w:t>
            </w:r>
          </w:p>
        </w:tc>
        <w:tc>
          <w:tcPr>
            <w:tcW w:w="1163" w:type="dxa"/>
            <w:tcBorders>
              <w:top w:val="single" w:sz="8" w:space="0" w:color="AEAEAE"/>
              <w:left w:val="single" w:sz="4" w:space="0" w:color="auto"/>
              <w:bottom w:val="single" w:sz="4" w:space="0" w:color="auto"/>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417</w:t>
            </w:r>
          </w:p>
        </w:tc>
        <w:tc>
          <w:tcPr>
            <w:tcW w:w="1025" w:type="dxa"/>
            <w:tcBorders>
              <w:top w:val="single" w:sz="8" w:space="0" w:color="AEAEAE"/>
              <w:left w:val="single" w:sz="8" w:space="0" w:color="E0E0E0"/>
              <w:bottom w:val="single" w:sz="4" w:space="0" w:color="auto"/>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E37142"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E37142" w:rsidRDefault="005B658D" w:rsidP="00924A5F">
            <w:pPr>
              <w:autoSpaceDE w:val="0"/>
              <w:autoSpaceDN w:val="0"/>
              <w:adjustRightInd w:val="0"/>
            </w:pPr>
          </w:p>
        </w:tc>
      </w:tr>
    </w:tbl>
    <w:p w:rsidR="007C3BD3" w:rsidRDefault="007C3BD3" w:rsidP="006B0179">
      <w:pPr>
        <w:autoSpaceDE w:val="0"/>
        <w:autoSpaceDN w:val="0"/>
        <w:adjustRightInd w:val="0"/>
        <w:spacing w:line="360" w:lineRule="auto"/>
        <w:ind w:left="60" w:right="60"/>
        <w:rPr>
          <w:bCs/>
        </w:rPr>
      </w:pPr>
    </w:p>
    <w:p w:rsidR="003434D8" w:rsidRPr="00D56685" w:rsidRDefault="003434D8" w:rsidP="006B0179">
      <w:pPr>
        <w:autoSpaceDE w:val="0"/>
        <w:autoSpaceDN w:val="0"/>
        <w:adjustRightInd w:val="0"/>
        <w:spacing w:line="360" w:lineRule="auto"/>
        <w:ind w:left="60" w:right="60"/>
        <w:rPr>
          <w:bCs/>
        </w:rPr>
      </w:pPr>
      <w:r w:rsidRPr="00D56685">
        <w:rPr>
          <w:bCs/>
        </w:rPr>
        <w:t>Table 3.10 shows the outcomes that respondents reported for their most recent fine.</w:t>
      </w:r>
      <w:r w:rsidR="00AA5B12">
        <w:rPr>
          <w:bCs/>
        </w:rPr>
        <w:t xml:space="preserve"> </w:t>
      </w:r>
      <w:r w:rsidRPr="00D56685">
        <w:rPr>
          <w:bCs/>
        </w:rPr>
        <w:t>30.5% of respondents indicated they had not ad</w:t>
      </w:r>
      <w:r w:rsidRPr="00D56685">
        <w:rPr>
          <w:bCs/>
        </w:rPr>
        <w:lastRenderedPageBreak/>
        <w:t>dressed their fine (it remained unpaid).</w:t>
      </w:r>
      <w:r w:rsidR="00AA5B12">
        <w:rPr>
          <w:bCs/>
        </w:rPr>
        <w:t xml:space="preserve"> </w:t>
      </w:r>
      <w:r w:rsidRPr="00D56685">
        <w:rPr>
          <w:bCs/>
        </w:rPr>
        <w:t>25.1% of respondents indicated that they had their fine reduced.</w:t>
      </w:r>
      <w:r w:rsidR="00AA5B12">
        <w:rPr>
          <w:bCs/>
        </w:rPr>
        <w:t xml:space="preserve"> </w:t>
      </w:r>
      <w:r w:rsidRPr="00D56685">
        <w:rPr>
          <w:bCs/>
        </w:rPr>
        <w:t>15.1% of respondents had been given a payment plan.</w:t>
      </w:r>
      <w:r w:rsidR="00AA5B12">
        <w:rPr>
          <w:bCs/>
        </w:rPr>
        <w:t xml:space="preserve"> </w:t>
      </w:r>
      <w:r w:rsidRPr="00D56685">
        <w:rPr>
          <w:bCs/>
        </w:rPr>
        <w:t>15.1% of respondents indicated having paid their fines in full. 12.9% had their fine withdrawn.</w:t>
      </w:r>
      <w:r w:rsidR="00AA5B12">
        <w:rPr>
          <w:bCs/>
        </w:rPr>
        <w:t xml:space="preserve"> </w:t>
      </w:r>
      <w:r w:rsidRPr="00D56685">
        <w:rPr>
          <w:bCs/>
        </w:rPr>
        <w:t xml:space="preserve">8.6% reported </w:t>
      </w:r>
      <w:r w:rsidRPr="00D56685">
        <w:rPr>
          <w:bCs/>
        </w:rPr>
        <w:lastRenderedPageBreak/>
        <w:t>taking part in a fines option program. Finally, 7.9% reported being given information on a fines options program.</w:t>
      </w:r>
      <w:r w:rsidR="00AA5B12">
        <w:rPr>
          <w:bCs/>
        </w:rPr>
        <w:t xml:space="preserve"> </w:t>
      </w:r>
    </w:p>
    <w:p w:rsidR="005B658D" w:rsidRPr="00C32252" w:rsidRDefault="005B658D" w:rsidP="006B0179">
      <w:pPr>
        <w:autoSpaceDE w:val="0"/>
        <w:autoSpaceDN w:val="0"/>
        <w:adjustRightInd w:val="0"/>
        <w:spacing w:line="360" w:lineRule="auto"/>
      </w:pPr>
    </w:p>
    <w:tbl>
      <w:tblPr>
        <w:tblW w:w="7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2448"/>
        <w:gridCol w:w="1024"/>
        <w:gridCol w:w="1024"/>
        <w:gridCol w:w="1469"/>
      </w:tblGrid>
      <w:tr w:rsidR="005B658D" w:rsidRPr="00C32252" w:rsidTr="003052CB">
        <w:trPr>
          <w:cantSplit/>
        </w:trPr>
        <w:tc>
          <w:tcPr>
            <w:tcW w:w="7492" w:type="dxa"/>
            <w:gridSpan w:val="5"/>
            <w:tcBorders>
              <w:top w:val="nil"/>
              <w:left w:val="nil"/>
              <w:bottom w:val="single" w:sz="4" w:space="0" w:color="auto"/>
              <w:right w:val="nil"/>
            </w:tcBorders>
            <w:shd w:val="clear" w:color="auto" w:fill="FFFFFF"/>
            <w:vAlign w:val="center"/>
          </w:tcPr>
          <w:p w:rsidR="005B658D" w:rsidRPr="00894059" w:rsidRDefault="003C76E0" w:rsidP="00894059">
            <w:pPr>
              <w:autoSpaceDE w:val="0"/>
              <w:autoSpaceDN w:val="0"/>
              <w:adjustRightInd w:val="0"/>
              <w:ind w:left="60" w:right="60"/>
              <w:rPr>
                <w:sz w:val="28"/>
                <w:szCs w:val="28"/>
              </w:rPr>
            </w:pPr>
            <w:r>
              <w:rPr>
                <w:b/>
                <w:bCs/>
                <w:sz w:val="28"/>
                <w:szCs w:val="28"/>
              </w:rPr>
              <w:t xml:space="preserve">Table </w:t>
            </w:r>
            <w:r w:rsidR="00894059" w:rsidRPr="00894059">
              <w:rPr>
                <w:b/>
                <w:bCs/>
                <w:sz w:val="28"/>
                <w:szCs w:val="28"/>
              </w:rPr>
              <w:t>3.10 Outcome of most recent fine</w:t>
            </w:r>
          </w:p>
        </w:tc>
      </w:tr>
      <w:tr w:rsidR="005B658D" w:rsidRPr="00C32252" w:rsidTr="002F2789">
        <w:trPr>
          <w:cantSplit/>
        </w:trPr>
        <w:tc>
          <w:tcPr>
            <w:tcW w:w="3976"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E37142" w:rsidRDefault="005B658D" w:rsidP="00924A5F">
            <w:pPr>
              <w:autoSpaceDE w:val="0"/>
              <w:autoSpaceDN w:val="0"/>
              <w:adjustRightInd w:val="0"/>
            </w:pPr>
          </w:p>
        </w:tc>
        <w:tc>
          <w:tcPr>
            <w:tcW w:w="2048" w:type="dxa"/>
            <w:gridSpan w:val="2"/>
            <w:tcBorders>
              <w:top w:val="single" w:sz="4" w:space="0" w:color="auto"/>
              <w:left w:val="single" w:sz="4" w:space="0" w:color="auto"/>
              <w:bottom w:val="nil"/>
              <w:right w:val="single" w:sz="4" w:space="0" w:color="auto"/>
            </w:tcBorders>
            <w:shd w:val="clear" w:color="auto" w:fill="FFFFFF"/>
            <w:vAlign w:val="bottom"/>
          </w:tcPr>
          <w:p w:rsidR="005B658D" w:rsidRPr="00E37142" w:rsidRDefault="005B658D" w:rsidP="00924A5F">
            <w:pPr>
              <w:autoSpaceDE w:val="0"/>
              <w:autoSpaceDN w:val="0"/>
              <w:adjustRightInd w:val="0"/>
              <w:ind w:left="60" w:right="60"/>
              <w:jc w:val="center"/>
            </w:pPr>
            <w:r w:rsidRPr="00E37142">
              <w:t>Responses</w:t>
            </w:r>
          </w:p>
        </w:tc>
        <w:tc>
          <w:tcPr>
            <w:tcW w:w="1468"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E37142" w:rsidRDefault="005B658D" w:rsidP="00924A5F">
            <w:pPr>
              <w:autoSpaceDE w:val="0"/>
              <w:autoSpaceDN w:val="0"/>
              <w:adjustRightInd w:val="0"/>
              <w:ind w:left="60" w:right="60"/>
              <w:jc w:val="center"/>
            </w:pPr>
            <w:r w:rsidRPr="00E37142">
              <w:t>Percent of Cases</w:t>
            </w:r>
          </w:p>
        </w:tc>
      </w:tr>
      <w:tr w:rsidR="005B658D" w:rsidRPr="00C32252" w:rsidTr="002F2789">
        <w:trPr>
          <w:cantSplit/>
        </w:trPr>
        <w:tc>
          <w:tcPr>
            <w:tcW w:w="3976" w:type="dxa"/>
            <w:gridSpan w:val="2"/>
            <w:vMerge/>
            <w:tcBorders>
              <w:top w:val="nil"/>
              <w:left w:val="single" w:sz="4" w:space="0" w:color="auto"/>
              <w:bottom w:val="nil"/>
              <w:right w:val="single" w:sz="4" w:space="0" w:color="auto"/>
            </w:tcBorders>
            <w:shd w:val="clear" w:color="auto" w:fill="FFFFFF"/>
            <w:vAlign w:val="bottom"/>
          </w:tcPr>
          <w:p w:rsidR="005B658D" w:rsidRPr="00E37142" w:rsidRDefault="005B658D" w:rsidP="00924A5F">
            <w:pPr>
              <w:autoSpaceDE w:val="0"/>
              <w:autoSpaceDN w:val="0"/>
              <w:adjustRightInd w:val="0"/>
            </w:pPr>
          </w:p>
        </w:tc>
        <w:tc>
          <w:tcPr>
            <w:tcW w:w="1024"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E37142" w:rsidRDefault="005B658D" w:rsidP="00924A5F">
            <w:pPr>
              <w:autoSpaceDE w:val="0"/>
              <w:autoSpaceDN w:val="0"/>
              <w:adjustRightInd w:val="0"/>
              <w:ind w:left="60" w:right="60"/>
              <w:jc w:val="center"/>
            </w:pPr>
            <w:r w:rsidRPr="00E37142">
              <w:t>N</w:t>
            </w:r>
          </w:p>
        </w:tc>
        <w:tc>
          <w:tcPr>
            <w:tcW w:w="1024"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E37142" w:rsidRDefault="005B658D" w:rsidP="00924A5F">
            <w:pPr>
              <w:autoSpaceDE w:val="0"/>
              <w:autoSpaceDN w:val="0"/>
              <w:adjustRightInd w:val="0"/>
              <w:ind w:left="60" w:right="60"/>
              <w:jc w:val="center"/>
            </w:pPr>
            <w:r w:rsidRPr="00E37142">
              <w:t>Percent</w:t>
            </w:r>
          </w:p>
        </w:tc>
        <w:tc>
          <w:tcPr>
            <w:tcW w:w="1468" w:type="dxa"/>
            <w:vMerge/>
            <w:tcBorders>
              <w:top w:val="nil"/>
              <w:left w:val="single" w:sz="4" w:space="0" w:color="auto"/>
              <w:bottom w:val="nil"/>
              <w:right w:val="single" w:sz="4" w:space="0" w:color="auto"/>
            </w:tcBorders>
            <w:shd w:val="clear" w:color="auto" w:fill="FFFFFF"/>
            <w:vAlign w:val="bottom"/>
          </w:tcPr>
          <w:p w:rsidR="005B658D" w:rsidRPr="00E37142" w:rsidRDefault="005B658D" w:rsidP="00924A5F">
            <w:pPr>
              <w:autoSpaceDE w:val="0"/>
              <w:autoSpaceDN w:val="0"/>
              <w:adjustRightInd w:val="0"/>
            </w:pPr>
          </w:p>
        </w:tc>
      </w:tr>
      <w:tr w:rsidR="005B658D" w:rsidRPr="00C32252" w:rsidTr="008511CA">
        <w:trPr>
          <w:cantSplit/>
        </w:trPr>
        <w:tc>
          <w:tcPr>
            <w:tcW w:w="1529" w:type="dxa"/>
            <w:vMerge w:val="restart"/>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ind w:left="60" w:right="60"/>
              <w:rPr>
                <w:b/>
              </w:rPr>
            </w:pPr>
            <w:r w:rsidRPr="00E37142">
              <w:rPr>
                <w:b/>
              </w:rPr>
              <w:t>Fine outcome</w:t>
            </w:r>
            <w:r w:rsidRPr="00E37142">
              <w:rPr>
                <w:b/>
                <w:vertAlign w:val="superscript"/>
              </w:rPr>
              <w:t>a</w:t>
            </w:r>
          </w:p>
        </w:tc>
        <w:tc>
          <w:tcPr>
            <w:tcW w:w="2447" w:type="dxa"/>
            <w:tcBorders>
              <w:top w:val="single" w:sz="8" w:space="0" w:color="152935"/>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Reduced</w:t>
            </w:r>
          </w:p>
        </w:tc>
        <w:tc>
          <w:tcPr>
            <w:tcW w:w="1024" w:type="dxa"/>
            <w:tcBorders>
              <w:top w:val="single" w:sz="8" w:space="0" w:color="152935"/>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70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21.6%</w:t>
            </w:r>
          </w:p>
        </w:tc>
        <w:tc>
          <w:tcPr>
            <w:tcW w:w="1468" w:type="dxa"/>
            <w:tcBorders>
              <w:top w:val="single" w:sz="8" w:space="0" w:color="152935"/>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25.1%</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Withdrawn</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36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11.1%</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12.9%</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Given payment plan</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42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13.0%</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15.1%</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Paid in full</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42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13.0%</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15.1%</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Have not addressed payment</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85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26.2%</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30.5%</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Given information about fines options program</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6.8%</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7.9%</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Taken part in fines options program</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24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7.4%</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8.6%</w:t>
            </w:r>
          </w:p>
        </w:tc>
      </w:tr>
      <w:tr w:rsidR="005B658D" w:rsidRPr="00C32252" w:rsidTr="008511CA">
        <w:trPr>
          <w:cantSplit/>
        </w:trPr>
        <w:tc>
          <w:tcPr>
            <w:tcW w:w="1529" w:type="dxa"/>
            <w:vMerge/>
            <w:tcBorders>
              <w:top w:val="single" w:sz="8" w:space="0" w:color="152935"/>
              <w:left w:val="single" w:sz="4" w:space="0" w:color="auto"/>
              <w:bottom w:val="single" w:sz="8" w:space="0" w:color="AEAEAE"/>
              <w:right w:val="nil"/>
            </w:tcBorders>
            <w:shd w:val="clear" w:color="auto" w:fill="E0E0E0"/>
          </w:tcPr>
          <w:p w:rsidR="005B658D" w:rsidRPr="00E37142" w:rsidRDefault="005B658D" w:rsidP="00924A5F">
            <w:pPr>
              <w:autoSpaceDE w:val="0"/>
              <w:autoSpaceDN w:val="0"/>
              <w:adjustRightInd w:val="0"/>
              <w:rPr>
                <w:b/>
              </w:rPr>
            </w:pPr>
          </w:p>
        </w:tc>
        <w:tc>
          <w:tcPr>
            <w:tcW w:w="2447" w:type="dxa"/>
            <w:tcBorders>
              <w:top w:val="single" w:sz="8" w:space="0" w:color="AEAEAE"/>
              <w:left w:val="nil"/>
              <w:bottom w:val="single" w:sz="8" w:space="0" w:color="AEAEAE"/>
              <w:right w:val="single" w:sz="4" w:space="0" w:color="auto"/>
            </w:tcBorders>
            <w:shd w:val="clear" w:color="auto" w:fill="E0E0E0"/>
          </w:tcPr>
          <w:p w:rsidR="005B658D" w:rsidRPr="00E37142" w:rsidRDefault="005B658D" w:rsidP="00924A5F">
            <w:pPr>
              <w:autoSpaceDE w:val="0"/>
              <w:autoSpaceDN w:val="0"/>
              <w:adjustRightInd w:val="0"/>
              <w:ind w:left="60" w:right="60"/>
              <w:rPr>
                <w:b/>
              </w:rPr>
            </w:pPr>
            <w:r w:rsidRPr="00E37142">
              <w:rPr>
                <w:b/>
              </w:rPr>
              <w:t>Other</w:t>
            </w:r>
          </w:p>
        </w:tc>
        <w:tc>
          <w:tcPr>
            <w:tcW w:w="1024" w:type="dxa"/>
            <w:tcBorders>
              <w:top w:val="single" w:sz="8" w:space="0" w:color="AEAEAE"/>
              <w:left w:val="single" w:sz="4" w:space="0" w:color="auto"/>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0.9%</w:t>
            </w:r>
          </w:p>
        </w:tc>
        <w:tc>
          <w:tcPr>
            <w:tcW w:w="1468" w:type="dxa"/>
            <w:tcBorders>
              <w:top w:val="single" w:sz="8" w:space="0" w:color="AEAEAE"/>
              <w:left w:val="single" w:sz="8" w:space="0" w:color="E0E0E0"/>
              <w:bottom w:val="single" w:sz="8" w:space="0" w:color="AEAEAE"/>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1.1%</w:t>
            </w:r>
          </w:p>
        </w:tc>
      </w:tr>
      <w:tr w:rsidR="005B658D" w:rsidRPr="00C32252" w:rsidTr="008511CA">
        <w:trPr>
          <w:cantSplit/>
        </w:trPr>
        <w:tc>
          <w:tcPr>
            <w:tcW w:w="3976"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E37142" w:rsidRDefault="005B658D" w:rsidP="00924A5F">
            <w:pPr>
              <w:autoSpaceDE w:val="0"/>
              <w:autoSpaceDN w:val="0"/>
              <w:adjustRightInd w:val="0"/>
              <w:ind w:left="60" w:right="60"/>
            </w:pPr>
            <w:r w:rsidRPr="00E37142">
              <w:t>Total</w:t>
            </w:r>
          </w:p>
        </w:tc>
        <w:tc>
          <w:tcPr>
            <w:tcW w:w="1024" w:type="dxa"/>
            <w:tcBorders>
              <w:top w:val="single" w:sz="8" w:space="0" w:color="AEAEAE"/>
              <w:left w:val="single" w:sz="4" w:space="0" w:color="auto"/>
              <w:bottom w:val="single" w:sz="4" w:space="0" w:color="auto"/>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324</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E37142" w:rsidRDefault="005B658D" w:rsidP="00924A5F">
            <w:pPr>
              <w:autoSpaceDE w:val="0"/>
              <w:autoSpaceDN w:val="0"/>
              <w:adjustRightInd w:val="0"/>
              <w:ind w:left="60" w:right="60"/>
              <w:jc w:val="right"/>
            </w:pPr>
            <w:r w:rsidRPr="00E37142">
              <w:t>100.0%</w:t>
            </w:r>
          </w:p>
        </w:tc>
        <w:tc>
          <w:tcPr>
            <w:tcW w:w="1468" w:type="dxa"/>
            <w:tcBorders>
              <w:top w:val="single" w:sz="8" w:space="0" w:color="AEAEAE"/>
              <w:left w:val="single" w:sz="8" w:space="0" w:color="E0E0E0"/>
              <w:bottom w:val="single" w:sz="4" w:space="0" w:color="auto"/>
              <w:right w:val="single" w:sz="4" w:space="0" w:color="auto"/>
            </w:tcBorders>
            <w:shd w:val="clear" w:color="auto" w:fill="FFFFFF"/>
          </w:tcPr>
          <w:p w:rsidR="005B658D" w:rsidRPr="00E37142" w:rsidRDefault="005B658D" w:rsidP="00924A5F">
            <w:pPr>
              <w:autoSpaceDE w:val="0"/>
              <w:autoSpaceDN w:val="0"/>
              <w:adjustRightInd w:val="0"/>
              <w:ind w:left="60" w:right="60"/>
              <w:jc w:val="right"/>
            </w:pPr>
            <w:r w:rsidRPr="00E37142">
              <w:t>116.1%</w:t>
            </w:r>
          </w:p>
        </w:tc>
      </w:tr>
      <w:tr w:rsidR="005B658D" w:rsidRPr="00C32252" w:rsidTr="003052CB">
        <w:trPr>
          <w:cantSplit/>
        </w:trPr>
        <w:tc>
          <w:tcPr>
            <w:tcW w:w="7492" w:type="dxa"/>
            <w:gridSpan w:val="5"/>
            <w:tcBorders>
              <w:top w:val="single" w:sz="4" w:space="0" w:color="auto"/>
              <w:left w:val="nil"/>
              <w:bottom w:val="nil"/>
              <w:right w:val="nil"/>
            </w:tcBorders>
            <w:shd w:val="clear" w:color="auto" w:fill="FFFFFF"/>
          </w:tcPr>
          <w:p w:rsidR="005B658D" w:rsidRPr="00C32252" w:rsidRDefault="005B658D" w:rsidP="00924A5F">
            <w:pPr>
              <w:autoSpaceDE w:val="0"/>
              <w:autoSpaceDN w:val="0"/>
              <w:adjustRightInd w:val="0"/>
              <w:ind w:left="60" w:right="60"/>
            </w:pPr>
            <w:r w:rsidRPr="00C32252">
              <w:t>a. Group</w:t>
            </w:r>
          </w:p>
        </w:tc>
      </w:tr>
    </w:tbl>
    <w:p w:rsidR="005B658D" w:rsidRPr="00C32252" w:rsidRDefault="005B658D" w:rsidP="001432D2">
      <w:pPr>
        <w:autoSpaceDE w:val="0"/>
        <w:autoSpaceDN w:val="0"/>
        <w:adjustRightInd w:val="0"/>
        <w:spacing w:line="360" w:lineRule="auto"/>
      </w:pPr>
    </w:p>
    <w:p w:rsidR="007C3BD3" w:rsidRDefault="007C3BD3" w:rsidP="001432D2">
      <w:pPr>
        <w:spacing w:line="360" w:lineRule="auto"/>
      </w:pPr>
    </w:p>
    <w:p w:rsidR="00361991" w:rsidRDefault="00245DC6" w:rsidP="001432D2">
      <w:pPr>
        <w:spacing w:line="360" w:lineRule="auto"/>
      </w:pPr>
      <w:r w:rsidRPr="00ED1F32">
        <w:t>Table 3.11 shows respondents</w:t>
      </w:r>
      <w:r w:rsidR="00ED1F32" w:rsidRPr="00ED1F32">
        <w:t>’</w:t>
      </w:r>
      <w:r w:rsidRPr="00ED1F32">
        <w:t xml:space="preserve"> views on how likely they thought they might receive </w:t>
      </w:r>
      <w:r w:rsidR="00ED1F32" w:rsidRPr="00ED1F32">
        <w:t xml:space="preserve">a </w:t>
      </w:r>
      <w:r w:rsidRPr="00ED1F32">
        <w:t xml:space="preserve">similar </w:t>
      </w:r>
      <w:r w:rsidR="00ED1F32" w:rsidRPr="00ED1F32">
        <w:t>fine in the future.</w:t>
      </w:r>
      <w:r w:rsidR="00AA5B12">
        <w:t xml:space="preserve"> </w:t>
      </w:r>
      <w:r w:rsidR="00ED1F32" w:rsidRPr="00ED1F32">
        <w:t xml:space="preserve">14.2% of respondents reported that they were likely to receive similar fines in the </w:t>
      </w:r>
      <w:r w:rsidR="00ED1F32" w:rsidRPr="00ED1F32">
        <w:lastRenderedPageBreak/>
        <w:t>future.</w:t>
      </w:r>
      <w:r w:rsidR="00AA5B12">
        <w:t xml:space="preserve"> </w:t>
      </w:r>
      <w:r w:rsidR="00ED1F32" w:rsidRPr="00ED1F32">
        <w:t>16.6% reported they were somewhat likely to receive a similar fine in the future while 57.4% indicated there were unlikely and 11.8% were somewhat unlikely to receive a similar fine in the future.</w:t>
      </w:r>
    </w:p>
    <w:p w:rsidR="00ED1F32" w:rsidRPr="00C32252" w:rsidRDefault="00ED1F32" w:rsidP="001432D2">
      <w:pPr>
        <w:spacing w:line="360" w:lineRule="auto"/>
      </w:pPr>
    </w:p>
    <w:tbl>
      <w:tblPr>
        <w:tblW w:w="8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977"/>
        <w:gridCol w:w="1162"/>
        <w:gridCol w:w="1024"/>
        <w:gridCol w:w="1553"/>
        <w:gridCol w:w="2140"/>
      </w:tblGrid>
      <w:tr w:rsidR="005B658D" w:rsidRPr="00C32252" w:rsidTr="001432D2">
        <w:trPr>
          <w:cantSplit/>
        </w:trPr>
        <w:tc>
          <w:tcPr>
            <w:tcW w:w="8804" w:type="dxa"/>
            <w:gridSpan w:val="6"/>
            <w:tcBorders>
              <w:top w:val="nil"/>
              <w:left w:val="nil"/>
              <w:bottom w:val="single" w:sz="4" w:space="0" w:color="auto"/>
              <w:right w:val="nil"/>
            </w:tcBorders>
            <w:shd w:val="clear" w:color="auto" w:fill="FFFFFF"/>
            <w:vAlign w:val="center"/>
          </w:tcPr>
          <w:p w:rsidR="005B658D" w:rsidRPr="006B3905" w:rsidRDefault="003C76E0" w:rsidP="006B3905">
            <w:pPr>
              <w:autoSpaceDE w:val="0"/>
              <w:autoSpaceDN w:val="0"/>
              <w:adjustRightInd w:val="0"/>
              <w:ind w:left="60" w:right="60"/>
              <w:rPr>
                <w:sz w:val="28"/>
                <w:szCs w:val="28"/>
              </w:rPr>
            </w:pPr>
            <w:r>
              <w:rPr>
                <w:b/>
                <w:bCs/>
                <w:sz w:val="28"/>
                <w:szCs w:val="28"/>
              </w:rPr>
              <w:t xml:space="preserve">Table </w:t>
            </w:r>
            <w:r w:rsidR="006B3905" w:rsidRPr="006B3905">
              <w:rPr>
                <w:b/>
                <w:bCs/>
                <w:sz w:val="28"/>
                <w:szCs w:val="28"/>
              </w:rPr>
              <w:t xml:space="preserve">3.11 </w:t>
            </w:r>
            <w:r w:rsidR="006B3905">
              <w:rPr>
                <w:b/>
                <w:bCs/>
                <w:sz w:val="28"/>
                <w:szCs w:val="28"/>
              </w:rPr>
              <w:t>Likelihood of receiving</w:t>
            </w:r>
            <w:r w:rsidR="005B658D" w:rsidRPr="006B3905">
              <w:rPr>
                <w:b/>
                <w:bCs/>
                <w:sz w:val="28"/>
                <w:szCs w:val="28"/>
              </w:rPr>
              <w:t xml:space="preserve"> a similar fine in the future</w:t>
            </w:r>
          </w:p>
        </w:tc>
      </w:tr>
      <w:tr w:rsidR="005B658D" w:rsidRPr="00C32252" w:rsidTr="001432D2">
        <w:trPr>
          <w:cantSplit/>
        </w:trPr>
        <w:tc>
          <w:tcPr>
            <w:tcW w:w="292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6B3905" w:rsidRDefault="005B658D" w:rsidP="00924A5F">
            <w:pPr>
              <w:autoSpaceDE w:val="0"/>
              <w:autoSpaceDN w:val="0"/>
              <w:adjustRightInd w:val="0"/>
            </w:pPr>
          </w:p>
        </w:tc>
        <w:tc>
          <w:tcPr>
            <w:tcW w:w="1162" w:type="dxa"/>
            <w:tcBorders>
              <w:top w:val="single" w:sz="4" w:space="0" w:color="auto"/>
              <w:left w:val="single" w:sz="4" w:space="0" w:color="auto"/>
              <w:bottom w:val="single" w:sz="8" w:space="0" w:color="152935"/>
              <w:right w:val="single" w:sz="8" w:space="0" w:color="E0E0E0"/>
            </w:tcBorders>
            <w:shd w:val="clear" w:color="auto" w:fill="FFFFFF"/>
            <w:vAlign w:val="bottom"/>
          </w:tcPr>
          <w:p w:rsidR="005B658D" w:rsidRPr="006B3905" w:rsidRDefault="005B658D" w:rsidP="00924A5F">
            <w:pPr>
              <w:autoSpaceDE w:val="0"/>
              <w:autoSpaceDN w:val="0"/>
              <w:adjustRightInd w:val="0"/>
              <w:ind w:left="60" w:right="60"/>
              <w:jc w:val="center"/>
            </w:pPr>
            <w:r w:rsidRPr="006B3905">
              <w:t>Frequency</w:t>
            </w:r>
          </w:p>
        </w:tc>
        <w:tc>
          <w:tcPr>
            <w:tcW w:w="1024"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6B3905" w:rsidRDefault="005B658D" w:rsidP="00924A5F">
            <w:pPr>
              <w:autoSpaceDE w:val="0"/>
              <w:autoSpaceDN w:val="0"/>
              <w:adjustRightInd w:val="0"/>
              <w:ind w:left="60" w:right="60"/>
              <w:jc w:val="center"/>
            </w:pPr>
            <w:r w:rsidRPr="006B3905">
              <w:t>Percent</w:t>
            </w:r>
          </w:p>
        </w:tc>
        <w:tc>
          <w:tcPr>
            <w:tcW w:w="1553" w:type="dxa"/>
            <w:tcBorders>
              <w:top w:val="single" w:sz="4" w:space="0" w:color="auto"/>
              <w:left w:val="single" w:sz="8" w:space="0" w:color="E0E0E0"/>
              <w:bottom w:val="single" w:sz="8" w:space="0" w:color="152935"/>
              <w:right w:val="single" w:sz="8" w:space="0" w:color="E0E0E0"/>
            </w:tcBorders>
            <w:shd w:val="clear" w:color="auto" w:fill="FFFFFF"/>
            <w:vAlign w:val="bottom"/>
          </w:tcPr>
          <w:p w:rsidR="005B658D" w:rsidRPr="006B3905" w:rsidRDefault="005B658D" w:rsidP="00924A5F">
            <w:pPr>
              <w:autoSpaceDE w:val="0"/>
              <w:autoSpaceDN w:val="0"/>
              <w:adjustRightInd w:val="0"/>
              <w:ind w:left="60" w:right="60"/>
              <w:jc w:val="center"/>
            </w:pPr>
            <w:r w:rsidRPr="006B3905">
              <w:t>Valid Percent</w:t>
            </w:r>
          </w:p>
        </w:tc>
        <w:tc>
          <w:tcPr>
            <w:tcW w:w="2140" w:type="dxa"/>
            <w:tcBorders>
              <w:top w:val="single" w:sz="4" w:space="0" w:color="auto"/>
              <w:left w:val="single" w:sz="8" w:space="0" w:color="E0E0E0"/>
              <w:bottom w:val="single" w:sz="8" w:space="0" w:color="152935"/>
              <w:right w:val="single" w:sz="4" w:space="0" w:color="auto"/>
            </w:tcBorders>
            <w:shd w:val="clear" w:color="auto" w:fill="FFFFFF"/>
            <w:vAlign w:val="bottom"/>
          </w:tcPr>
          <w:p w:rsidR="005B658D" w:rsidRPr="006B3905" w:rsidRDefault="005B658D" w:rsidP="00924A5F">
            <w:pPr>
              <w:autoSpaceDE w:val="0"/>
              <w:autoSpaceDN w:val="0"/>
              <w:adjustRightInd w:val="0"/>
              <w:ind w:left="60" w:right="60"/>
              <w:jc w:val="center"/>
            </w:pPr>
            <w:r w:rsidRPr="006B3905">
              <w:t>Cumulative Percent</w:t>
            </w:r>
          </w:p>
        </w:tc>
      </w:tr>
      <w:tr w:rsidR="005B658D" w:rsidRPr="00C32252" w:rsidTr="001432D2">
        <w:trPr>
          <w:cantSplit/>
        </w:trPr>
        <w:tc>
          <w:tcPr>
            <w:tcW w:w="948" w:type="dxa"/>
            <w:vMerge w:val="restart"/>
            <w:tcBorders>
              <w:top w:val="single" w:sz="8" w:space="0" w:color="152935"/>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ind w:left="60" w:right="60"/>
            </w:pPr>
          </w:p>
        </w:tc>
        <w:tc>
          <w:tcPr>
            <w:tcW w:w="1977" w:type="dxa"/>
            <w:tcBorders>
              <w:top w:val="single" w:sz="8" w:space="0" w:color="152935"/>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rPr>
                <w:b/>
              </w:rPr>
            </w:pPr>
            <w:r w:rsidRPr="006B3905">
              <w:rPr>
                <w:b/>
              </w:rPr>
              <w:t>Likely</w:t>
            </w:r>
          </w:p>
        </w:tc>
        <w:tc>
          <w:tcPr>
            <w:tcW w:w="1162" w:type="dxa"/>
            <w:tcBorders>
              <w:top w:val="single" w:sz="8" w:space="0" w:color="152935"/>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47</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11.3</w:t>
            </w:r>
          </w:p>
        </w:tc>
        <w:tc>
          <w:tcPr>
            <w:tcW w:w="1553" w:type="dxa"/>
            <w:tcBorders>
              <w:top w:val="single" w:sz="8" w:space="0" w:color="152935"/>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14.2</w:t>
            </w:r>
          </w:p>
        </w:tc>
        <w:tc>
          <w:tcPr>
            <w:tcW w:w="2140" w:type="dxa"/>
            <w:tcBorders>
              <w:top w:val="single" w:sz="8" w:space="0" w:color="152935"/>
              <w:left w:val="single" w:sz="8" w:space="0" w:color="E0E0E0"/>
              <w:bottom w:val="single" w:sz="8" w:space="0" w:color="AEAEAE"/>
              <w:right w:val="single" w:sz="4" w:space="0" w:color="auto"/>
            </w:tcBorders>
            <w:shd w:val="clear" w:color="auto" w:fill="FFFFFF"/>
          </w:tcPr>
          <w:p w:rsidR="005B658D" w:rsidRPr="006B3905" w:rsidRDefault="005B658D" w:rsidP="00924A5F">
            <w:pPr>
              <w:autoSpaceDE w:val="0"/>
              <w:autoSpaceDN w:val="0"/>
              <w:adjustRightInd w:val="0"/>
              <w:ind w:left="60" w:right="60"/>
              <w:jc w:val="right"/>
            </w:pPr>
            <w:r w:rsidRPr="006B3905">
              <w:t>14.2</w:t>
            </w:r>
          </w:p>
        </w:tc>
      </w:tr>
      <w:tr w:rsidR="005B658D" w:rsidRPr="00C32252" w:rsidTr="001432D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pP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rPr>
                <w:b/>
              </w:rPr>
            </w:pPr>
            <w:r w:rsidRPr="006B3905">
              <w:rPr>
                <w:b/>
              </w:rPr>
              <w:t>Somewhat likely</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55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13.2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16.6</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6B3905" w:rsidRDefault="005B658D" w:rsidP="00924A5F">
            <w:pPr>
              <w:autoSpaceDE w:val="0"/>
              <w:autoSpaceDN w:val="0"/>
              <w:adjustRightInd w:val="0"/>
              <w:ind w:left="60" w:right="60"/>
              <w:jc w:val="right"/>
            </w:pPr>
            <w:r w:rsidRPr="006B3905">
              <w:t>30.8</w:t>
            </w:r>
          </w:p>
        </w:tc>
      </w:tr>
      <w:tr w:rsidR="005B658D" w:rsidRPr="00C32252" w:rsidTr="001432D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pP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rPr>
                <w:b/>
              </w:rPr>
            </w:pPr>
            <w:r w:rsidRPr="006B3905">
              <w:rPr>
                <w:b/>
              </w:rPr>
              <w:t>Unlikely</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190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45.6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57.4</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6B3905" w:rsidRDefault="005B658D" w:rsidP="00924A5F">
            <w:pPr>
              <w:autoSpaceDE w:val="0"/>
              <w:autoSpaceDN w:val="0"/>
              <w:adjustRightInd w:val="0"/>
              <w:ind w:left="60" w:right="60"/>
              <w:jc w:val="right"/>
            </w:pPr>
            <w:r w:rsidRPr="006B3905">
              <w:t>88.2</w:t>
            </w:r>
          </w:p>
        </w:tc>
      </w:tr>
      <w:tr w:rsidR="005B658D" w:rsidRPr="00C32252" w:rsidTr="001432D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pP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rPr>
                <w:b/>
              </w:rPr>
            </w:pPr>
            <w:r w:rsidRPr="006B3905">
              <w:rPr>
                <w:b/>
              </w:rPr>
              <w:t>Somewhat unlikely</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39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9.4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11.8</w:t>
            </w:r>
          </w:p>
        </w:tc>
        <w:tc>
          <w:tcPr>
            <w:tcW w:w="2140" w:type="dxa"/>
            <w:tcBorders>
              <w:top w:val="single" w:sz="8" w:space="0" w:color="AEAEAE"/>
              <w:left w:val="single" w:sz="8" w:space="0" w:color="E0E0E0"/>
              <w:bottom w:val="single" w:sz="8" w:space="0" w:color="AEAEAE"/>
              <w:right w:val="single" w:sz="4" w:space="0" w:color="auto"/>
            </w:tcBorders>
            <w:shd w:val="clear" w:color="auto" w:fill="FFFFFF"/>
          </w:tcPr>
          <w:p w:rsidR="005B658D" w:rsidRPr="006B3905" w:rsidRDefault="005B658D" w:rsidP="00924A5F">
            <w:pPr>
              <w:autoSpaceDE w:val="0"/>
              <w:autoSpaceDN w:val="0"/>
              <w:adjustRightInd w:val="0"/>
              <w:ind w:left="60" w:right="60"/>
              <w:jc w:val="right"/>
            </w:pPr>
            <w:r w:rsidRPr="006B3905">
              <w:t>100.0</w:t>
            </w:r>
          </w:p>
        </w:tc>
      </w:tr>
      <w:tr w:rsidR="005B658D" w:rsidRPr="00C32252" w:rsidTr="001432D2">
        <w:trPr>
          <w:cantSplit/>
        </w:trPr>
        <w:tc>
          <w:tcPr>
            <w:tcW w:w="948" w:type="dxa"/>
            <w:vMerge/>
            <w:tcBorders>
              <w:top w:val="single" w:sz="8" w:space="0" w:color="152935"/>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pP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pPr>
            <w:r w:rsidRPr="006B3905">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331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79.4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100.0</w:t>
            </w: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6B3905" w:rsidRDefault="005B658D" w:rsidP="00924A5F">
            <w:pPr>
              <w:autoSpaceDE w:val="0"/>
              <w:autoSpaceDN w:val="0"/>
              <w:adjustRightInd w:val="0"/>
            </w:pPr>
          </w:p>
        </w:tc>
      </w:tr>
      <w:tr w:rsidR="005B658D" w:rsidRPr="00C32252" w:rsidTr="001432D2">
        <w:trPr>
          <w:cantSplit/>
        </w:trPr>
        <w:tc>
          <w:tcPr>
            <w:tcW w:w="948" w:type="dxa"/>
            <w:vMerge w:val="restart"/>
            <w:tcBorders>
              <w:top w:val="single" w:sz="8" w:space="0" w:color="AEAEAE"/>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ind w:left="60" w:right="60"/>
            </w:pPr>
            <w:r w:rsidRPr="006B3905">
              <w:t>Missing</w:t>
            </w: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pPr>
            <w:r w:rsidRPr="006B3905">
              <w:t>Don't know</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56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13.4</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6B3905"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6B3905" w:rsidRDefault="005B658D" w:rsidP="00924A5F">
            <w:pPr>
              <w:autoSpaceDE w:val="0"/>
              <w:autoSpaceDN w:val="0"/>
              <w:adjustRightInd w:val="0"/>
            </w:pPr>
          </w:p>
        </w:tc>
      </w:tr>
      <w:tr w:rsidR="005B658D" w:rsidRPr="00C32252" w:rsidTr="001432D2">
        <w:trPr>
          <w:cantSplit/>
        </w:trPr>
        <w:tc>
          <w:tcPr>
            <w:tcW w:w="948" w:type="dxa"/>
            <w:vMerge/>
            <w:tcBorders>
              <w:top w:val="single" w:sz="8" w:space="0" w:color="AEAEAE"/>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pP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pPr>
            <w:r w:rsidRPr="006B3905">
              <w:t>Missing</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30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7.2</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6B3905"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6B3905" w:rsidRDefault="005B658D" w:rsidP="00924A5F">
            <w:pPr>
              <w:autoSpaceDE w:val="0"/>
              <w:autoSpaceDN w:val="0"/>
              <w:adjustRightInd w:val="0"/>
            </w:pPr>
          </w:p>
        </w:tc>
      </w:tr>
      <w:tr w:rsidR="005B658D" w:rsidRPr="00C32252" w:rsidTr="001432D2">
        <w:trPr>
          <w:cantSplit/>
        </w:trPr>
        <w:tc>
          <w:tcPr>
            <w:tcW w:w="948" w:type="dxa"/>
            <w:vMerge/>
            <w:tcBorders>
              <w:top w:val="single" w:sz="8" w:space="0" w:color="AEAEAE"/>
              <w:left w:val="single" w:sz="4" w:space="0" w:color="auto"/>
              <w:bottom w:val="single" w:sz="8" w:space="0" w:color="AEAEAE"/>
              <w:right w:val="nil"/>
            </w:tcBorders>
            <w:shd w:val="clear" w:color="auto" w:fill="E0E0E0"/>
          </w:tcPr>
          <w:p w:rsidR="005B658D" w:rsidRPr="006B3905" w:rsidRDefault="005B658D" w:rsidP="00924A5F">
            <w:pPr>
              <w:autoSpaceDE w:val="0"/>
              <w:autoSpaceDN w:val="0"/>
              <w:adjustRightInd w:val="0"/>
            </w:pPr>
          </w:p>
        </w:tc>
        <w:tc>
          <w:tcPr>
            <w:tcW w:w="1977" w:type="dxa"/>
            <w:tcBorders>
              <w:top w:val="single" w:sz="8" w:space="0" w:color="AEAEAE"/>
              <w:left w:val="nil"/>
              <w:bottom w:val="single" w:sz="8" w:space="0" w:color="AEAEAE"/>
              <w:right w:val="single" w:sz="4" w:space="0" w:color="auto"/>
            </w:tcBorders>
            <w:shd w:val="clear" w:color="auto" w:fill="E0E0E0"/>
          </w:tcPr>
          <w:p w:rsidR="005B658D" w:rsidRPr="006B3905" w:rsidRDefault="005B658D" w:rsidP="00924A5F">
            <w:pPr>
              <w:autoSpaceDE w:val="0"/>
              <w:autoSpaceDN w:val="0"/>
              <w:adjustRightInd w:val="0"/>
              <w:ind w:left="60" w:right="60"/>
            </w:pPr>
            <w:r w:rsidRPr="006B3905">
              <w:t>Total</w:t>
            </w:r>
          </w:p>
        </w:tc>
        <w:tc>
          <w:tcPr>
            <w:tcW w:w="1162" w:type="dxa"/>
            <w:tcBorders>
              <w:top w:val="single" w:sz="8" w:space="0" w:color="AEAEAE"/>
              <w:left w:val="single" w:sz="4" w:space="0" w:color="auto"/>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86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20.6</w:t>
            </w:r>
          </w:p>
        </w:tc>
        <w:tc>
          <w:tcPr>
            <w:tcW w:w="155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B658D" w:rsidRPr="006B3905" w:rsidRDefault="005B658D" w:rsidP="00924A5F">
            <w:pPr>
              <w:autoSpaceDE w:val="0"/>
              <w:autoSpaceDN w:val="0"/>
              <w:adjustRightInd w:val="0"/>
            </w:pPr>
          </w:p>
        </w:tc>
        <w:tc>
          <w:tcPr>
            <w:tcW w:w="2140" w:type="dxa"/>
            <w:tcBorders>
              <w:top w:val="single" w:sz="8" w:space="0" w:color="AEAEAE"/>
              <w:left w:val="single" w:sz="8" w:space="0" w:color="E0E0E0"/>
              <w:bottom w:val="single" w:sz="8" w:space="0" w:color="AEAEAE"/>
              <w:right w:val="single" w:sz="4" w:space="0" w:color="auto"/>
            </w:tcBorders>
            <w:shd w:val="clear" w:color="auto" w:fill="FFFFFF"/>
            <w:vAlign w:val="center"/>
          </w:tcPr>
          <w:p w:rsidR="005B658D" w:rsidRPr="006B3905" w:rsidRDefault="005B658D" w:rsidP="00924A5F">
            <w:pPr>
              <w:autoSpaceDE w:val="0"/>
              <w:autoSpaceDN w:val="0"/>
              <w:adjustRightInd w:val="0"/>
            </w:pPr>
          </w:p>
        </w:tc>
      </w:tr>
      <w:tr w:rsidR="005B658D" w:rsidRPr="00C32252" w:rsidTr="001432D2">
        <w:trPr>
          <w:cantSplit/>
        </w:trPr>
        <w:tc>
          <w:tcPr>
            <w:tcW w:w="2925" w:type="dxa"/>
            <w:gridSpan w:val="2"/>
            <w:tcBorders>
              <w:top w:val="single" w:sz="8" w:space="0" w:color="AEAEAE"/>
              <w:left w:val="single" w:sz="4" w:space="0" w:color="auto"/>
              <w:bottom w:val="single" w:sz="4" w:space="0" w:color="auto"/>
              <w:right w:val="single" w:sz="4" w:space="0" w:color="auto"/>
            </w:tcBorders>
            <w:shd w:val="clear" w:color="auto" w:fill="E0E0E0"/>
          </w:tcPr>
          <w:p w:rsidR="005B658D" w:rsidRPr="006B3905" w:rsidRDefault="005B658D" w:rsidP="00924A5F">
            <w:pPr>
              <w:autoSpaceDE w:val="0"/>
              <w:autoSpaceDN w:val="0"/>
              <w:adjustRightInd w:val="0"/>
              <w:ind w:left="60" w:right="60"/>
            </w:pPr>
            <w:r w:rsidRPr="006B3905">
              <w:t>Total</w:t>
            </w:r>
          </w:p>
        </w:tc>
        <w:tc>
          <w:tcPr>
            <w:tcW w:w="1162" w:type="dxa"/>
            <w:tcBorders>
              <w:top w:val="single" w:sz="8" w:space="0" w:color="AEAEAE"/>
              <w:left w:val="single" w:sz="4" w:space="0" w:color="auto"/>
              <w:bottom w:val="single" w:sz="4" w:space="0" w:color="auto"/>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417</w:t>
            </w:r>
          </w:p>
        </w:tc>
        <w:tc>
          <w:tcPr>
            <w:tcW w:w="1024" w:type="dxa"/>
            <w:tcBorders>
              <w:top w:val="single" w:sz="8" w:space="0" w:color="AEAEAE"/>
              <w:left w:val="single" w:sz="8" w:space="0" w:color="E0E0E0"/>
              <w:bottom w:val="single" w:sz="4" w:space="0" w:color="auto"/>
              <w:right w:val="single" w:sz="8" w:space="0" w:color="E0E0E0"/>
            </w:tcBorders>
            <w:shd w:val="clear" w:color="auto" w:fill="FFFFFF"/>
          </w:tcPr>
          <w:p w:rsidR="005B658D" w:rsidRPr="006B3905" w:rsidRDefault="005B658D" w:rsidP="00924A5F">
            <w:pPr>
              <w:autoSpaceDE w:val="0"/>
              <w:autoSpaceDN w:val="0"/>
              <w:adjustRightInd w:val="0"/>
              <w:ind w:left="60" w:right="60"/>
              <w:jc w:val="right"/>
            </w:pPr>
            <w:r w:rsidRPr="006B3905">
              <w:t>100.0</w:t>
            </w:r>
          </w:p>
        </w:tc>
        <w:tc>
          <w:tcPr>
            <w:tcW w:w="1553" w:type="dxa"/>
            <w:tcBorders>
              <w:top w:val="single" w:sz="8" w:space="0" w:color="AEAEAE"/>
              <w:left w:val="single" w:sz="8" w:space="0" w:color="E0E0E0"/>
              <w:bottom w:val="single" w:sz="4" w:space="0" w:color="auto"/>
              <w:right w:val="single" w:sz="8" w:space="0" w:color="E0E0E0"/>
            </w:tcBorders>
            <w:shd w:val="clear" w:color="auto" w:fill="FFFFFF"/>
            <w:vAlign w:val="center"/>
          </w:tcPr>
          <w:p w:rsidR="005B658D" w:rsidRPr="006B3905" w:rsidRDefault="005B658D" w:rsidP="00924A5F">
            <w:pPr>
              <w:autoSpaceDE w:val="0"/>
              <w:autoSpaceDN w:val="0"/>
              <w:adjustRightInd w:val="0"/>
            </w:pPr>
          </w:p>
        </w:tc>
        <w:tc>
          <w:tcPr>
            <w:tcW w:w="2140" w:type="dxa"/>
            <w:tcBorders>
              <w:top w:val="single" w:sz="8" w:space="0" w:color="AEAEAE"/>
              <w:left w:val="single" w:sz="8" w:space="0" w:color="E0E0E0"/>
              <w:bottom w:val="single" w:sz="4" w:space="0" w:color="auto"/>
              <w:right w:val="single" w:sz="4" w:space="0" w:color="auto"/>
            </w:tcBorders>
            <w:shd w:val="clear" w:color="auto" w:fill="FFFFFF"/>
            <w:vAlign w:val="center"/>
          </w:tcPr>
          <w:p w:rsidR="005B658D" w:rsidRPr="006B3905" w:rsidRDefault="005B658D" w:rsidP="00924A5F">
            <w:pPr>
              <w:autoSpaceDE w:val="0"/>
              <w:autoSpaceDN w:val="0"/>
              <w:adjustRightInd w:val="0"/>
            </w:pPr>
          </w:p>
        </w:tc>
      </w:tr>
    </w:tbl>
    <w:p w:rsidR="003434D8" w:rsidRPr="00EE4AF5" w:rsidRDefault="003434D8" w:rsidP="001432D2">
      <w:pPr>
        <w:spacing w:line="360" w:lineRule="auto"/>
        <w:rPr>
          <w:b/>
          <w:sz w:val="28"/>
          <w:szCs w:val="28"/>
          <w:u w:val="single"/>
        </w:rPr>
      </w:pPr>
    </w:p>
    <w:p w:rsidR="005B658D" w:rsidRDefault="002C1D3D" w:rsidP="001432D2">
      <w:pPr>
        <w:spacing w:line="360" w:lineRule="auto"/>
        <w:rPr>
          <w:b/>
          <w:i/>
          <w:sz w:val="28"/>
          <w:szCs w:val="28"/>
          <w:u w:val="single"/>
        </w:rPr>
      </w:pPr>
      <w:r w:rsidRPr="002C1D3D">
        <w:rPr>
          <w:b/>
          <w:i/>
          <w:sz w:val="28"/>
          <w:szCs w:val="28"/>
          <w:u w:val="single"/>
        </w:rPr>
        <w:t xml:space="preserve">Court and Community </w:t>
      </w:r>
      <w:r w:rsidR="000050A1">
        <w:rPr>
          <w:b/>
          <w:i/>
          <w:sz w:val="28"/>
          <w:szCs w:val="28"/>
          <w:u w:val="single"/>
        </w:rPr>
        <w:t xml:space="preserve">Sample </w:t>
      </w:r>
      <w:r w:rsidRPr="002C1D3D">
        <w:rPr>
          <w:b/>
          <w:i/>
          <w:sz w:val="28"/>
          <w:szCs w:val="28"/>
          <w:u w:val="single"/>
        </w:rPr>
        <w:t>Comparisons</w:t>
      </w:r>
    </w:p>
    <w:p w:rsidR="001432D2" w:rsidRDefault="001432D2" w:rsidP="001432D2">
      <w:pPr>
        <w:spacing w:line="360" w:lineRule="auto"/>
      </w:pPr>
    </w:p>
    <w:p w:rsidR="004C08AF" w:rsidRDefault="004C08AF" w:rsidP="001432D2">
      <w:pPr>
        <w:spacing w:line="360" w:lineRule="auto"/>
      </w:pPr>
      <w:r>
        <w:t xml:space="preserve">This section examines the survey data by looking separately at the court and community </w:t>
      </w:r>
      <w:r w:rsidR="006E1B3A">
        <w:t>survey samples.</w:t>
      </w:r>
      <w:r w:rsidR="00AA5B12">
        <w:t xml:space="preserve"> </w:t>
      </w:r>
      <w:r w:rsidR="006E1B3A">
        <w:t xml:space="preserve">This </w:t>
      </w:r>
      <w:r w:rsidR="006E1B3A">
        <w:lastRenderedPageBreak/>
        <w:t xml:space="preserve">was done in </w:t>
      </w:r>
      <w:r w:rsidR="00820C27">
        <w:t>order to determine if there might be</w:t>
      </w:r>
      <w:r w:rsidR="006E1B3A">
        <w:t xml:space="preserve"> any meaningful similarities</w:t>
      </w:r>
      <w:r w:rsidR="006A2974">
        <w:t>/</w:t>
      </w:r>
      <w:r w:rsidR="006E1B3A">
        <w:t xml:space="preserve"> differences between the two sample groups.</w:t>
      </w:r>
      <w:r w:rsidR="00AA5B12">
        <w:t xml:space="preserve"> </w:t>
      </w:r>
      <w:r w:rsidR="007E346B">
        <w:t xml:space="preserve">Recall that we had a total of </w:t>
      </w:r>
      <w:r w:rsidR="007E346B" w:rsidRPr="00C32252">
        <w:t xml:space="preserve">417 respondents </w:t>
      </w:r>
      <w:r w:rsidR="007E346B">
        <w:t>who had reported having received</w:t>
      </w:r>
      <w:r w:rsidR="007E346B" w:rsidRPr="00C32252">
        <w:t xml:space="preserve"> at least one municipal</w:t>
      </w:r>
      <w:r w:rsidR="00A46D67">
        <w:t xml:space="preserve"> by</w:t>
      </w:r>
      <w:r w:rsidR="007E346B">
        <w:t xml:space="preserve">law fine over the </w:t>
      </w:r>
      <w:r w:rsidR="007E346B">
        <w:lastRenderedPageBreak/>
        <w:t xml:space="preserve">past year, and of </w:t>
      </w:r>
      <w:r w:rsidR="007E346B" w:rsidRPr="00C32252">
        <w:t>these respondents, 297 were completed at court and 120 were completed in the community.</w:t>
      </w:r>
      <w:r w:rsidR="00AA5B12">
        <w:t xml:space="preserve"> </w:t>
      </w:r>
      <w:r w:rsidR="007E346B">
        <w:t>It is these groups that we will examine in section 4.</w:t>
      </w:r>
      <w:r w:rsidR="00AA5B12">
        <w:t xml:space="preserve"> </w:t>
      </w:r>
      <w:r w:rsidR="007E346B">
        <w:t>We begin by looking at some basic demographics.</w:t>
      </w:r>
      <w:r w:rsidR="00AA5B12">
        <w:t xml:space="preserve"> </w:t>
      </w:r>
    </w:p>
    <w:p w:rsidR="001432D2" w:rsidRPr="004C08AF" w:rsidRDefault="001432D2" w:rsidP="001432D2">
      <w:pPr>
        <w:spacing w:line="360" w:lineRule="auto"/>
      </w:pPr>
    </w:p>
    <w:p w:rsidR="00474CA8" w:rsidRDefault="00E20C67" w:rsidP="001432D2">
      <w:pPr>
        <w:autoSpaceDE w:val="0"/>
        <w:autoSpaceDN w:val="0"/>
        <w:adjustRightInd w:val="0"/>
        <w:spacing w:line="360" w:lineRule="auto"/>
        <w:rPr>
          <w:b/>
          <w:i/>
          <w:sz w:val="28"/>
          <w:szCs w:val="28"/>
        </w:rPr>
      </w:pPr>
      <w:r w:rsidRPr="00E20C67">
        <w:rPr>
          <w:b/>
          <w:i/>
          <w:sz w:val="28"/>
          <w:szCs w:val="28"/>
        </w:rPr>
        <w:lastRenderedPageBreak/>
        <w:t>Community and Court Sample Demographics</w:t>
      </w:r>
    </w:p>
    <w:p w:rsidR="001D1FE4" w:rsidRDefault="001D1FE4" w:rsidP="001432D2">
      <w:pPr>
        <w:spacing w:line="360" w:lineRule="auto"/>
      </w:pPr>
    </w:p>
    <w:p w:rsidR="001D1FE4" w:rsidRPr="004C08AF" w:rsidRDefault="001D1FE4" w:rsidP="001432D2">
      <w:pPr>
        <w:spacing w:line="360" w:lineRule="auto"/>
      </w:pPr>
      <w:r>
        <w:t>Table 4.1 shows the age breakdown for the community and court survey samples.</w:t>
      </w:r>
      <w:r w:rsidR="00AA5B12">
        <w:t xml:space="preserve"> </w:t>
      </w:r>
      <w:r>
        <w:t xml:space="preserve">We see that the community sample appears to slightly older compared to the </w:t>
      </w:r>
      <w:r>
        <w:lastRenderedPageBreak/>
        <w:t>court survey group.</w:t>
      </w:r>
      <w:r w:rsidR="00AA5B12">
        <w:t xml:space="preserve"> </w:t>
      </w:r>
      <w:r>
        <w:t>For example, 48.3% of the court sample was between 18-30 years of age while this age group represented 25.8% of the community sample.</w:t>
      </w:r>
      <w:r w:rsidR="00AA5B12">
        <w:t xml:space="preserve"> </w:t>
      </w:r>
      <w:r>
        <w:t xml:space="preserve">In addition, f we look at respondents that were 31 years of age or older we find that they made up 49.6% of the court </w:t>
      </w:r>
      <w:r>
        <w:lastRenderedPageBreak/>
        <w:t>sample and 74.2% of the community sample.</w:t>
      </w:r>
    </w:p>
    <w:p w:rsidR="001D1FE4" w:rsidRPr="001432D2" w:rsidRDefault="001D1FE4" w:rsidP="001432D2">
      <w:pPr>
        <w:autoSpaceDE w:val="0"/>
        <w:autoSpaceDN w:val="0"/>
        <w:adjustRightInd w:val="0"/>
        <w:spacing w:line="360" w:lineRule="auto"/>
        <w:rPr>
          <w:b/>
          <w:sz w:val="28"/>
          <w:szCs w:val="28"/>
        </w:rPr>
      </w:pPr>
    </w:p>
    <w:tbl>
      <w:tblPr>
        <w:tblW w:w="8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6"/>
        <w:gridCol w:w="1773"/>
        <w:gridCol w:w="1984"/>
        <w:gridCol w:w="1905"/>
        <w:gridCol w:w="1642"/>
      </w:tblGrid>
      <w:tr w:rsidR="00474CA8" w:rsidRPr="002B30EF" w:rsidTr="00EE4AF5">
        <w:trPr>
          <w:cantSplit/>
          <w:trHeight w:val="274"/>
        </w:trPr>
        <w:tc>
          <w:tcPr>
            <w:tcW w:w="8650" w:type="dxa"/>
            <w:gridSpan w:val="5"/>
            <w:tcBorders>
              <w:top w:val="nil"/>
              <w:left w:val="nil"/>
              <w:bottom w:val="nil"/>
              <w:right w:val="nil"/>
            </w:tcBorders>
            <w:shd w:val="clear" w:color="auto" w:fill="FFFFFF"/>
            <w:vAlign w:val="center"/>
          </w:tcPr>
          <w:p w:rsidR="00474CA8" w:rsidRPr="002B30EF" w:rsidRDefault="003C76E0" w:rsidP="002B30EF">
            <w:pPr>
              <w:autoSpaceDE w:val="0"/>
              <w:autoSpaceDN w:val="0"/>
              <w:adjustRightInd w:val="0"/>
              <w:spacing w:line="320" w:lineRule="atLeast"/>
              <w:ind w:left="60" w:right="60"/>
              <w:rPr>
                <w:color w:val="010205"/>
                <w:sz w:val="28"/>
                <w:szCs w:val="28"/>
              </w:rPr>
            </w:pPr>
            <w:r>
              <w:rPr>
                <w:b/>
                <w:bCs/>
                <w:sz w:val="28"/>
                <w:szCs w:val="28"/>
              </w:rPr>
              <w:t xml:space="preserve">Table </w:t>
            </w:r>
            <w:r w:rsidR="006B7DE3">
              <w:rPr>
                <w:b/>
                <w:bCs/>
                <w:color w:val="010205"/>
                <w:sz w:val="28"/>
                <w:szCs w:val="28"/>
              </w:rPr>
              <w:t xml:space="preserve">4.1 </w:t>
            </w:r>
            <w:r w:rsidR="002B30EF" w:rsidRPr="002B30EF">
              <w:rPr>
                <w:b/>
                <w:bCs/>
                <w:color w:val="010205"/>
                <w:sz w:val="28"/>
                <w:szCs w:val="28"/>
              </w:rPr>
              <w:t>Age by Sample Type</w:t>
            </w:r>
          </w:p>
        </w:tc>
      </w:tr>
      <w:tr w:rsidR="002B30EF" w:rsidRPr="002B30EF" w:rsidTr="00EE4AF5">
        <w:trPr>
          <w:cantSplit/>
          <w:trHeight w:val="274"/>
        </w:trPr>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2B30EF" w:rsidP="00474CA8">
            <w:pPr>
              <w:autoSpaceDE w:val="0"/>
              <w:autoSpaceDN w:val="0"/>
              <w:adjustRightInd w:val="0"/>
              <w:rPr>
                <w:b/>
              </w:rPr>
            </w:pPr>
            <w:r w:rsidRPr="00471BC0">
              <w:rPr>
                <w:b/>
              </w:rPr>
              <w:t>Age</w:t>
            </w:r>
          </w:p>
        </w:tc>
        <w:tc>
          <w:tcPr>
            <w:tcW w:w="388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474CA8" w:rsidP="00474CA8">
            <w:pPr>
              <w:autoSpaceDE w:val="0"/>
              <w:autoSpaceDN w:val="0"/>
              <w:adjustRightInd w:val="0"/>
              <w:spacing w:line="320" w:lineRule="atLeast"/>
              <w:ind w:left="60" w:right="60"/>
              <w:jc w:val="center"/>
              <w:rPr>
                <w:b/>
                <w:color w:val="000000" w:themeColor="text1"/>
              </w:rPr>
            </w:pPr>
            <w:r w:rsidRPr="00471BC0">
              <w:rPr>
                <w:b/>
                <w:color w:val="000000" w:themeColor="text1"/>
              </w:rPr>
              <w:t>Survey location</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2B30EF" w:rsidRDefault="00474CA8" w:rsidP="00474CA8">
            <w:pPr>
              <w:autoSpaceDE w:val="0"/>
              <w:autoSpaceDN w:val="0"/>
              <w:adjustRightInd w:val="0"/>
              <w:spacing w:line="320" w:lineRule="atLeast"/>
              <w:ind w:left="60" w:right="60"/>
              <w:jc w:val="center"/>
              <w:rPr>
                <w:color w:val="000000" w:themeColor="text1"/>
              </w:rPr>
            </w:pPr>
            <w:r w:rsidRPr="002B30EF">
              <w:rPr>
                <w:color w:val="000000" w:themeColor="text1"/>
              </w:rPr>
              <w:t>Total</w:t>
            </w:r>
          </w:p>
        </w:tc>
      </w:tr>
      <w:tr w:rsidR="002B30EF" w:rsidRPr="002B30EF" w:rsidTr="00EE4AF5">
        <w:trPr>
          <w:cantSplit/>
          <w:trHeight w:val="274"/>
        </w:trPr>
        <w:tc>
          <w:tcPr>
            <w:tcW w:w="311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2B30EF" w:rsidRDefault="00474CA8" w:rsidP="00474CA8">
            <w:pPr>
              <w:autoSpaceDE w:val="0"/>
              <w:autoSpaceDN w:val="0"/>
              <w:adjustRightInd w:val="0"/>
              <w:rPr>
                <w:color w:val="264A6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474CA8" w:rsidP="00474CA8">
            <w:pPr>
              <w:autoSpaceDE w:val="0"/>
              <w:autoSpaceDN w:val="0"/>
              <w:adjustRightInd w:val="0"/>
              <w:spacing w:line="320" w:lineRule="atLeast"/>
              <w:ind w:left="60" w:right="60"/>
              <w:jc w:val="center"/>
              <w:rPr>
                <w:b/>
                <w:color w:val="000000" w:themeColor="text1"/>
              </w:rPr>
            </w:pPr>
            <w:r w:rsidRPr="00471BC0">
              <w:rPr>
                <w:b/>
                <w:color w:val="000000" w:themeColor="text1"/>
              </w:rPr>
              <w:t>Court</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474CA8" w:rsidP="00474CA8">
            <w:pPr>
              <w:autoSpaceDE w:val="0"/>
              <w:autoSpaceDN w:val="0"/>
              <w:adjustRightInd w:val="0"/>
              <w:spacing w:line="320" w:lineRule="atLeast"/>
              <w:ind w:left="60" w:right="60"/>
              <w:jc w:val="center"/>
              <w:rPr>
                <w:b/>
                <w:color w:val="000000" w:themeColor="text1"/>
              </w:rPr>
            </w:pPr>
            <w:r w:rsidRPr="00471BC0">
              <w:rPr>
                <w:b/>
                <w:color w:val="000000" w:themeColor="text1"/>
              </w:rPr>
              <w:t>Community</w:t>
            </w:r>
          </w:p>
        </w:tc>
        <w:tc>
          <w:tcPr>
            <w:tcW w:w="1642" w:type="dxa"/>
            <w:vMerge/>
            <w:tcBorders>
              <w:top w:val="nil"/>
              <w:left w:val="single" w:sz="4" w:space="0" w:color="auto"/>
              <w:bottom w:val="single" w:sz="4" w:space="0" w:color="auto"/>
              <w:right w:val="single" w:sz="4" w:space="0" w:color="auto"/>
            </w:tcBorders>
            <w:shd w:val="clear" w:color="auto" w:fill="FFFFFF"/>
            <w:vAlign w:val="bottom"/>
          </w:tcPr>
          <w:p w:rsidR="00474CA8" w:rsidRPr="002B30EF" w:rsidRDefault="00474CA8" w:rsidP="00474CA8">
            <w:pPr>
              <w:autoSpaceDE w:val="0"/>
              <w:autoSpaceDN w:val="0"/>
              <w:adjustRightInd w:val="0"/>
              <w:rPr>
                <w:color w:val="000000" w:themeColor="text1"/>
              </w:rPr>
            </w:pPr>
          </w:p>
        </w:tc>
      </w:tr>
      <w:tr w:rsidR="002B30EF" w:rsidRPr="002B30EF" w:rsidTr="00EE4AF5">
        <w:trPr>
          <w:cantSplit/>
          <w:trHeight w:val="274"/>
        </w:trPr>
        <w:tc>
          <w:tcPr>
            <w:tcW w:w="1346" w:type="dxa"/>
            <w:vMerge w:val="restart"/>
            <w:tcBorders>
              <w:top w:val="single" w:sz="4" w:space="0" w:color="auto"/>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spacing w:line="320" w:lineRule="atLeast"/>
              <w:ind w:left="60" w:right="60"/>
              <w:rPr>
                <w:color w:val="000000" w:themeColor="text1"/>
              </w:rPr>
            </w:pPr>
          </w:p>
        </w:tc>
        <w:tc>
          <w:tcPr>
            <w:tcW w:w="1773" w:type="dxa"/>
            <w:vMerge w:val="restart"/>
            <w:tcBorders>
              <w:top w:val="single" w:sz="4" w:space="0" w:color="auto"/>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spacing w:line="320" w:lineRule="atLeast"/>
              <w:ind w:left="60" w:right="60"/>
              <w:rPr>
                <w:b/>
                <w:color w:val="000000" w:themeColor="text1"/>
              </w:rPr>
            </w:pPr>
            <w:r w:rsidRPr="00471BC0">
              <w:rPr>
                <w:b/>
                <w:color w:val="000000" w:themeColor="text1"/>
              </w:rPr>
              <w:t>17 and under</w:t>
            </w:r>
          </w:p>
        </w:tc>
        <w:tc>
          <w:tcPr>
            <w:tcW w:w="1984" w:type="dxa"/>
            <w:tcBorders>
              <w:top w:val="single" w:sz="4" w:space="0" w:color="auto"/>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6</w:t>
            </w:r>
          </w:p>
        </w:tc>
        <w:tc>
          <w:tcPr>
            <w:tcW w:w="1905" w:type="dxa"/>
            <w:tcBorders>
              <w:top w:val="single" w:sz="4" w:space="0" w:color="auto"/>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0</w:t>
            </w:r>
          </w:p>
        </w:tc>
        <w:tc>
          <w:tcPr>
            <w:tcW w:w="1642" w:type="dxa"/>
            <w:tcBorders>
              <w:top w:val="single" w:sz="4" w:space="0" w:color="auto"/>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6</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tcBorders>
              <w:top w:val="single" w:sz="8" w:space="0" w:color="152935"/>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rPr>
                <w:b/>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2.0%</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0.0%</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1.4%</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val="restart"/>
            <w:tcBorders>
              <w:top w:val="single" w:sz="8" w:space="0" w:color="AEAEAE"/>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spacing w:line="320" w:lineRule="atLeast"/>
              <w:ind w:left="60" w:right="60"/>
              <w:rPr>
                <w:b/>
                <w:color w:val="000000" w:themeColor="text1"/>
              </w:rPr>
            </w:pPr>
            <w:r w:rsidRPr="00471BC0">
              <w:rPr>
                <w:b/>
                <w:color w:val="000000" w:themeColor="text1"/>
              </w:rPr>
              <w:t>18-30 years</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143</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31</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174</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tcBorders>
              <w:top w:val="single" w:sz="8" w:space="0" w:color="AEAEAE"/>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rPr>
                <w:b/>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48.3%</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25.8%</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41.8%</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val="restart"/>
            <w:tcBorders>
              <w:top w:val="single" w:sz="8" w:space="0" w:color="AEAEAE"/>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spacing w:line="320" w:lineRule="atLeast"/>
              <w:ind w:left="60" w:right="60"/>
              <w:rPr>
                <w:b/>
                <w:color w:val="000000" w:themeColor="text1"/>
              </w:rPr>
            </w:pPr>
            <w:r w:rsidRPr="00471BC0">
              <w:rPr>
                <w:b/>
                <w:color w:val="000000" w:themeColor="text1"/>
              </w:rPr>
              <w:t>31-50 years</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109</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60</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169</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tcBorders>
              <w:top w:val="single" w:sz="8" w:space="0" w:color="AEAEAE"/>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rPr>
                <w:b/>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36.8%</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50.0%</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40.6%</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val="restart"/>
            <w:tcBorders>
              <w:top w:val="single" w:sz="8" w:space="0" w:color="AEAEAE"/>
              <w:left w:val="nil"/>
              <w:bottom w:val="single" w:sz="4" w:space="0" w:color="auto"/>
              <w:right w:val="single" w:sz="4" w:space="0" w:color="auto"/>
            </w:tcBorders>
            <w:shd w:val="clear" w:color="auto" w:fill="E0E0E0"/>
          </w:tcPr>
          <w:p w:rsidR="002B30EF" w:rsidRPr="00471BC0" w:rsidRDefault="002B30EF" w:rsidP="00474CA8">
            <w:pPr>
              <w:autoSpaceDE w:val="0"/>
              <w:autoSpaceDN w:val="0"/>
              <w:adjustRightInd w:val="0"/>
              <w:spacing w:line="320" w:lineRule="atLeast"/>
              <w:ind w:left="60" w:right="60"/>
              <w:rPr>
                <w:b/>
                <w:color w:val="000000" w:themeColor="text1"/>
              </w:rPr>
            </w:pPr>
            <w:r w:rsidRPr="00471BC0">
              <w:rPr>
                <w:b/>
                <w:color w:val="000000" w:themeColor="text1"/>
              </w:rPr>
              <w:t>51 or more years</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38</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29</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67</w:t>
            </w:r>
          </w:p>
        </w:tc>
      </w:tr>
      <w:tr w:rsidR="002B30EF" w:rsidRPr="002B30EF" w:rsidTr="00EE4AF5">
        <w:trPr>
          <w:cantSplit/>
          <w:trHeight w:val="274"/>
        </w:trPr>
        <w:tc>
          <w:tcPr>
            <w:tcW w:w="1346" w:type="dxa"/>
            <w:vMerge/>
            <w:tcBorders>
              <w:top w:val="single" w:sz="8" w:space="0" w:color="152935"/>
              <w:left w:val="single" w:sz="4" w:space="0" w:color="auto"/>
              <w:bottom w:val="single" w:sz="4" w:space="0" w:color="auto"/>
              <w:right w:val="nil"/>
            </w:tcBorders>
            <w:shd w:val="clear" w:color="auto" w:fill="E0E0E0"/>
          </w:tcPr>
          <w:p w:rsidR="002B30EF" w:rsidRPr="002B30EF" w:rsidRDefault="002B30EF" w:rsidP="00474CA8">
            <w:pPr>
              <w:autoSpaceDE w:val="0"/>
              <w:autoSpaceDN w:val="0"/>
              <w:adjustRightInd w:val="0"/>
              <w:rPr>
                <w:color w:val="000000" w:themeColor="text1"/>
              </w:rPr>
            </w:pPr>
          </w:p>
        </w:tc>
        <w:tc>
          <w:tcPr>
            <w:tcW w:w="1773" w:type="dxa"/>
            <w:vMerge/>
            <w:tcBorders>
              <w:top w:val="single" w:sz="8" w:space="0" w:color="AEAEAE"/>
              <w:left w:val="nil"/>
              <w:bottom w:val="single" w:sz="4" w:space="0" w:color="auto"/>
              <w:right w:val="single" w:sz="4" w:space="0" w:color="auto"/>
            </w:tcBorders>
            <w:shd w:val="clear" w:color="auto" w:fill="E0E0E0"/>
          </w:tcPr>
          <w:p w:rsidR="002B30EF" w:rsidRPr="002B30EF" w:rsidRDefault="002B30EF" w:rsidP="00474CA8">
            <w:pPr>
              <w:autoSpaceDE w:val="0"/>
              <w:autoSpaceDN w:val="0"/>
              <w:adjustRightInd w:val="0"/>
              <w:rPr>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12.8%</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24.2%</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16.1%</w:t>
            </w:r>
          </w:p>
        </w:tc>
      </w:tr>
      <w:tr w:rsidR="002B30EF" w:rsidRPr="002B30EF" w:rsidTr="00EE4AF5">
        <w:trPr>
          <w:cantSplit/>
          <w:trHeight w:val="274"/>
        </w:trPr>
        <w:tc>
          <w:tcPr>
            <w:tcW w:w="3119" w:type="dxa"/>
            <w:gridSpan w:val="2"/>
            <w:vMerge w:val="restart"/>
            <w:tcBorders>
              <w:top w:val="single" w:sz="8" w:space="0" w:color="AEAEAE"/>
              <w:left w:val="single" w:sz="4" w:space="0" w:color="auto"/>
              <w:bottom w:val="single" w:sz="4" w:space="0" w:color="auto"/>
              <w:right w:val="single" w:sz="4" w:space="0" w:color="auto"/>
            </w:tcBorders>
            <w:shd w:val="clear" w:color="auto" w:fill="E0E0E0"/>
          </w:tcPr>
          <w:p w:rsidR="002B30EF" w:rsidRPr="002B30EF" w:rsidRDefault="002B30EF" w:rsidP="00474CA8">
            <w:pPr>
              <w:autoSpaceDE w:val="0"/>
              <w:autoSpaceDN w:val="0"/>
              <w:adjustRightInd w:val="0"/>
              <w:spacing w:line="320" w:lineRule="atLeast"/>
              <w:ind w:left="60" w:right="60"/>
              <w:rPr>
                <w:color w:val="000000" w:themeColor="text1"/>
              </w:rPr>
            </w:pPr>
            <w:r w:rsidRPr="002B30EF">
              <w:rPr>
                <w:color w:val="000000" w:themeColor="text1"/>
              </w:rPr>
              <w:t>Total</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296</w:t>
            </w:r>
          </w:p>
        </w:tc>
        <w:tc>
          <w:tcPr>
            <w:tcW w:w="1905"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120</w:t>
            </w:r>
          </w:p>
        </w:tc>
        <w:tc>
          <w:tcPr>
            <w:tcW w:w="1642" w:type="dxa"/>
            <w:tcBorders>
              <w:top w:val="single" w:sz="8" w:space="0" w:color="AEAEAE"/>
              <w:left w:val="single" w:sz="4" w:space="0" w:color="auto"/>
              <w:bottom w:val="single" w:sz="8" w:space="0" w:color="AEAEAE"/>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416</w:t>
            </w:r>
          </w:p>
        </w:tc>
      </w:tr>
      <w:tr w:rsidR="002B30EF" w:rsidRPr="002B30EF" w:rsidTr="00EE4AF5">
        <w:trPr>
          <w:cantSplit/>
          <w:trHeight w:val="274"/>
        </w:trPr>
        <w:tc>
          <w:tcPr>
            <w:tcW w:w="3119" w:type="dxa"/>
            <w:gridSpan w:val="2"/>
            <w:vMerge/>
            <w:tcBorders>
              <w:top w:val="single" w:sz="8" w:space="0" w:color="AEAEAE"/>
              <w:left w:val="single" w:sz="4" w:space="0" w:color="auto"/>
              <w:bottom w:val="single" w:sz="4" w:space="0" w:color="auto"/>
              <w:right w:val="single" w:sz="4" w:space="0" w:color="auto"/>
            </w:tcBorders>
            <w:shd w:val="clear" w:color="auto" w:fill="E0E0E0"/>
          </w:tcPr>
          <w:p w:rsidR="002B30EF" w:rsidRPr="002B30EF" w:rsidRDefault="002B30EF" w:rsidP="00474CA8">
            <w:pPr>
              <w:autoSpaceDE w:val="0"/>
              <w:autoSpaceDN w:val="0"/>
              <w:adjustRightInd w:val="0"/>
              <w:rPr>
                <w:color w:val="010205"/>
              </w:rPr>
            </w:pPr>
          </w:p>
        </w:tc>
        <w:tc>
          <w:tcPr>
            <w:tcW w:w="1984" w:type="dxa"/>
            <w:tcBorders>
              <w:top w:val="single" w:sz="8" w:space="0" w:color="AEAEAE"/>
              <w:left w:val="single" w:sz="4" w:space="0" w:color="auto"/>
              <w:bottom w:val="single" w:sz="4" w:space="0" w:color="auto"/>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100.0%</w:t>
            </w:r>
          </w:p>
        </w:tc>
        <w:tc>
          <w:tcPr>
            <w:tcW w:w="1905" w:type="dxa"/>
            <w:tcBorders>
              <w:top w:val="single" w:sz="8" w:space="0" w:color="AEAEAE"/>
              <w:left w:val="single" w:sz="4" w:space="0" w:color="auto"/>
              <w:bottom w:val="single" w:sz="4" w:space="0" w:color="auto"/>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100.0%</w:t>
            </w:r>
          </w:p>
        </w:tc>
        <w:tc>
          <w:tcPr>
            <w:tcW w:w="1642" w:type="dxa"/>
            <w:tcBorders>
              <w:top w:val="single" w:sz="8" w:space="0" w:color="AEAEAE"/>
              <w:left w:val="single" w:sz="4" w:space="0" w:color="auto"/>
              <w:bottom w:val="single" w:sz="4" w:space="0" w:color="auto"/>
              <w:right w:val="single" w:sz="4" w:space="0" w:color="auto"/>
            </w:tcBorders>
            <w:shd w:val="clear" w:color="auto" w:fill="FFFFFF"/>
          </w:tcPr>
          <w:p w:rsidR="002B30EF" w:rsidRPr="002B30EF" w:rsidRDefault="002B30EF" w:rsidP="00474CA8">
            <w:pPr>
              <w:autoSpaceDE w:val="0"/>
              <w:autoSpaceDN w:val="0"/>
              <w:adjustRightInd w:val="0"/>
              <w:spacing w:line="320" w:lineRule="atLeast"/>
              <w:ind w:left="60" w:right="60"/>
              <w:jc w:val="right"/>
              <w:rPr>
                <w:color w:val="000000" w:themeColor="text1"/>
              </w:rPr>
            </w:pPr>
            <w:r w:rsidRPr="002B30EF">
              <w:rPr>
                <w:color w:val="000000" w:themeColor="text1"/>
              </w:rPr>
              <w:t>100.0%</w:t>
            </w:r>
          </w:p>
        </w:tc>
      </w:tr>
    </w:tbl>
    <w:p w:rsidR="00C269AC" w:rsidRDefault="00C269AC" w:rsidP="001432D2">
      <w:pPr>
        <w:autoSpaceDE w:val="0"/>
        <w:autoSpaceDN w:val="0"/>
        <w:adjustRightInd w:val="0"/>
        <w:spacing w:line="360" w:lineRule="auto"/>
      </w:pPr>
    </w:p>
    <w:p w:rsidR="00545877" w:rsidRDefault="00545877" w:rsidP="001432D2">
      <w:pPr>
        <w:autoSpaceDE w:val="0"/>
        <w:autoSpaceDN w:val="0"/>
        <w:adjustRightInd w:val="0"/>
        <w:spacing w:line="360" w:lineRule="auto"/>
      </w:pPr>
      <w:r>
        <w:lastRenderedPageBreak/>
        <w:t>Table 4.2 shows the gender breakdown for the community and court survey samples.</w:t>
      </w:r>
      <w:r w:rsidR="00AA5B12">
        <w:t xml:space="preserve"> </w:t>
      </w:r>
      <w:r>
        <w:t>There appears to be little difference between the two groups, with females making up 40.1% (court) and 42.0% (community) sample.</w:t>
      </w:r>
    </w:p>
    <w:p w:rsidR="00424775" w:rsidRPr="002B30EF" w:rsidRDefault="00424775" w:rsidP="001432D2">
      <w:pPr>
        <w:autoSpaceDE w:val="0"/>
        <w:autoSpaceDN w:val="0"/>
        <w:adjustRightInd w:val="0"/>
        <w:spacing w:line="360" w:lineRule="auto"/>
      </w:pP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8"/>
        <w:gridCol w:w="2201"/>
        <w:gridCol w:w="1984"/>
        <w:gridCol w:w="1843"/>
        <w:gridCol w:w="1691"/>
      </w:tblGrid>
      <w:tr w:rsidR="00474CA8" w:rsidRPr="002B30EF" w:rsidTr="00EE4AF5">
        <w:trPr>
          <w:cantSplit/>
          <w:trHeight w:val="274"/>
        </w:trPr>
        <w:tc>
          <w:tcPr>
            <w:tcW w:w="8637" w:type="dxa"/>
            <w:gridSpan w:val="5"/>
            <w:tcBorders>
              <w:top w:val="nil"/>
              <w:left w:val="nil"/>
              <w:bottom w:val="nil"/>
              <w:right w:val="nil"/>
            </w:tcBorders>
            <w:shd w:val="clear" w:color="auto" w:fill="FFFFFF"/>
            <w:vAlign w:val="center"/>
          </w:tcPr>
          <w:p w:rsidR="00474CA8" w:rsidRPr="006B7DE3" w:rsidRDefault="003C76E0" w:rsidP="006B7DE3">
            <w:pPr>
              <w:autoSpaceDE w:val="0"/>
              <w:autoSpaceDN w:val="0"/>
              <w:adjustRightInd w:val="0"/>
              <w:spacing w:line="320" w:lineRule="atLeast"/>
              <w:ind w:left="60" w:right="60"/>
              <w:rPr>
                <w:color w:val="010205"/>
                <w:sz w:val="28"/>
                <w:szCs w:val="28"/>
              </w:rPr>
            </w:pPr>
            <w:r>
              <w:rPr>
                <w:b/>
                <w:bCs/>
                <w:sz w:val="28"/>
                <w:szCs w:val="28"/>
              </w:rPr>
              <w:t xml:space="preserve">Table </w:t>
            </w:r>
            <w:r w:rsidR="006B7DE3" w:rsidRPr="006B7DE3">
              <w:rPr>
                <w:b/>
                <w:bCs/>
                <w:color w:val="010205"/>
                <w:sz w:val="28"/>
                <w:szCs w:val="28"/>
              </w:rPr>
              <w:t>4.2 Gender by Sample Type</w:t>
            </w:r>
          </w:p>
        </w:tc>
      </w:tr>
      <w:tr w:rsidR="006B7DE3" w:rsidRPr="002B30EF" w:rsidTr="00EE4AF5">
        <w:trPr>
          <w:cantSplit/>
          <w:trHeight w:val="274"/>
        </w:trPr>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2E39C6" w:rsidP="00474CA8">
            <w:pPr>
              <w:autoSpaceDE w:val="0"/>
              <w:autoSpaceDN w:val="0"/>
              <w:adjustRightInd w:val="0"/>
              <w:rPr>
                <w:b/>
              </w:rPr>
            </w:pPr>
            <w:r w:rsidRPr="00471BC0">
              <w:rPr>
                <w:b/>
              </w:rPr>
              <w:t>Gender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474CA8" w:rsidP="00474CA8">
            <w:pPr>
              <w:autoSpaceDE w:val="0"/>
              <w:autoSpaceDN w:val="0"/>
              <w:adjustRightInd w:val="0"/>
              <w:spacing w:line="320" w:lineRule="atLeast"/>
              <w:ind w:left="60" w:right="60"/>
              <w:jc w:val="center"/>
              <w:rPr>
                <w:b/>
                <w:color w:val="000000" w:themeColor="text1"/>
              </w:rPr>
            </w:pPr>
            <w:r w:rsidRPr="00471BC0">
              <w:rPr>
                <w:b/>
                <w:color w:val="000000" w:themeColor="text1"/>
              </w:rPr>
              <w:t>Survey location</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2E39C6" w:rsidRDefault="002E39C6" w:rsidP="00474CA8">
            <w:pPr>
              <w:autoSpaceDE w:val="0"/>
              <w:autoSpaceDN w:val="0"/>
              <w:adjustRightInd w:val="0"/>
              <w:spacing w:line="320" w:lineRule="atLeast"/>
              <w:ind w:left="60" w:right="60"/>
              <w:jc w:val="center"/>
              <w:rPr>
                <w:color w:val="000000" w:themeColor="text1"/>
              </w:rPr>
            </w:pPr>
            <w:r w:rsidRPr="002E39C6">
              <w:rPr>
                <w:color w:val="000000" w:themeColor="text1"/>
              </w:rPr>
              <w:t>Tot</w:t>
            </w:r>
            <w:r w:rsidR="00474CA8" w:rsidRPr="002E39C6">
              <w:rPr>
                <w:color w:val="000000" w:themeColor="text1"/>
              </w:rPr>
              <w:t>al</w:t>
            </w:r>
          </w:p>
        </w:tc>
      </w:tr>
      <w:tr w:rsidR="006B7DE3" w:rsidRPr="002B30EF" w:rsidTr="00EE4AF5">
        <w:trPr>
          <w:cantSplit/>
          <w:trHeight w:val="274"/>
        </w:trPr>
        <w:tc>
          <w:tcPr>
            <w:tcW w:w="311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2B30EF" w:rsidRDefault="00474CA8" w:rsidP="00474CA8">
            <w:pPr>
              <w:autoSpaceDE w:val="0"/>
              <w:autoSpaceDN w:val="0"/>
              <w:adjustRightInd w:val="0"/>
              <w:rPr>
                <w:color w:val="264A6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474CA8" w:rsidP="00474CA8">
            <w:pPr>
              <w:autoSpaceDE w:val="0"/>
              <w:autoSpaceDN w:val="0"/>
              <w:adjustRightInd w:val="0"/>
              <w:spacing w:line="320" w:lineRule="atLeast"/>
              <w:ind w:left="60" w:right="60"/>
              <w:jc w:val="center"/>
              <w:rPr>
                <w:b/>
                <w:color w:val="000000" w:themeColor="text1"/>
              </w:rPr>
            </w:pPr>
            <w:r w:rsidRPr="00471BC0">
              <w:rPr>
                <w:b/>
                <w:color w:val="000000" w:themeColor="text1"/>
              </w:rPr>
              <w:t>Court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74CA8" w:rsidRPr="00471BC0" w:rsidRDefault="00474CA8" w:rsidP="00474CA8">
            <w:pPr>
              <w:autoSpaceDE w:val="0"/>
              <w:autoSpaceDN w:val="0"/>
              <w:adjustRightInd w:val="0"/>
              <w:spacing w:line="320" w:lineRule="atLeast"/>
              <w:ind w:left="60" w:right="60"/>
              <w:jc w:val="center"/>
              <w:rPr>
                <w:b/>
                <w:color w:val="000000" w:themeColor="text1"/>
              </w:rPr>
            </w:pPr>
            <w:r w:rsidRPr="00471BC0">
              <w:rPr>
                <w:b/>
                <w:color w:val="000000" w:themeColor="text1"/>
              </w:rPr>
              <w:t>Community</w:t>
            </w:r>
          </w:p>
        </w:tc>
        <w:tc>
          <w:tcPr>
            <w:tcW w:w="1691" w:type="dxa"/>
            <w:vMerge/>
            <w:tcBorders>
              <w:top w:val="nil"/>
              <w:left w:val="single" w:sz="4" w:space="0" w:color="auto"/>
              <w:bottom w:val="single" w:sz="4" w:space="0" w:color="auto"/>
              <w:right w:val="single" w:sz="4" w:space="0" w:color="auto"/>
            </w:tcBorders>
            <w:shd w:val="clear" w:color="auto" w:fill="FFFFFF"/>
            <w:vAlign w:val="bottom"/>
          </w:tcPr>
          <w:p w:rsidR="00474CA8" w:rsidRPr="002E39C6" w:rsidRDefault="00474CA8" w:rsidP="00474CA8">
            <w:pPr>
              <w:autoSpaceDE w:val="0"/>
              <w:autoSpaceDN w:val="0"/>
              <w:adjustRightInd w:val="0"/>
              <w:rPr>
                <w:color w:val="000000" w:themeColor="text1"/>
              </w:rPr>
            </w:pPr>
          </w:p>
        </w:tc>
      </w:tr>
      <w:tr w:rsidR="006B7DE3" w:rsidRPr="002B30EF" w:rsidTr="00EE4AF5">
        <w:trPr>
          <w:cantSplit/>
          <w:trHeight w:val="274"/>
        </w:trPr>
        <w:tc>
          <w:tcPr>
            <w:tcW w:w="918" w:type="dxa"/>
            <w:vMerge w:val="restart"/>
            <w:tcBorders>
              <w:top w:val="single" w:sz="4" w:space="0" w:color="auto"/>
              <w:left w:val="single" w:sz="4" w:space="0" w:color="auto"/>
              <w:bottom w:val="single" w:sz="4" w:space="0" w:color="auto"/>
              <w:right w:val="nil"/>
            </w:tcBorders>
            <w:shd w:val="clear" w:color="auto" w:fill="E0E0E0"/>
          </w:tcPr>
          <w:p w:rsidR="006B7DE3" w:rsidRPr="002E39C6" w:rsidRDefault="006B7DE3" w:rsidP="00474CA8">
            <w:pPr>
              <w:autoSpaceDE w:val="0"/>
              <w:autoSpaceDN w:val="0"/>
              <w:adjustRightInd w:val="0"/>
              <w:spacing w:line="320" w:lineRule="atLeast"/>
              <w:ind w:left="60" w:right="60"/>
              <w:rPr>
                <w:color w:val="000000" w:themeColor="text1"/>
              </w:rPr>
            </w:pPr>
          </w:p>
        </w:tc>
        <w:tc>
          <w:tcPr>
            <w:tcW w:w="2201" w:type="dxa"/>
            <w:vMerge w:val="restart"/>
            <w:tcBorders>
              <w:top w:val="single" w:sz="4" w:space="0" w:color="auto"/>
              <w:left w:val="nil"/>
              <w:bottom w:val="single" w:sz="4" w:space="0" w:color="auto"/>
              <w:right w:val="single" w:sz="4" w:space="0" w:color="auto"/>
            </w:tcBorders>
            <w:shd w:val="clear" w:color="auto" w:fill="E0E0E0"/>
          </w:tcPr>
          <w:p w:rsidR="006B7DE3" w:rsidRPr="00471BC0" w:rsidRDefault="006B7DE3" w:rsidP="00474CA8">
            <w:pPr>
              <w:autoSpaceDE w:val="0"/>
              <w:autoSpaceDN w:val="0"/>
              <w:adjustRightInd w:val="0"/>
              <w:spacing w:line="320" w:lineRule="atLeast"/>
              <w:ind w:left="60" w:right="60"/>
              <w:rPr>
                <w:b/>
                <w:color w:val="000000" w:themeColor="text1"/>
              </w:rPr>
            </w:pPr>
            <w:r w:rsidRPr="00471BC0">
              <w:rPr>
                <w:b/>
                <w:color w:val="000000" w:themeColor="text1"/>
              </w:rPr>
              <w:t>Female</w:t>
            </w:r>
          </w:p>
        </w:tc>
        <w:tc>
          <w:tcPr>
            <w:tcW w:w="1984" w:type="dxa"/>
            <w:tcBorders>
              <w:top w:val="single" w:sz="4" w:space="0" w:color="auto"/>
              <w:left w:val="single" w:sz="4" w:space="0" w:color="auto"/>
              <w:bottom w:val="single" w:sz="8" w:space="0" w:color="AEAEAE"/>
              <w:right w:val="single" w:sz="4" w:space="0" w:color="auto"/>
            </w:tcBorders>
            <w:shd w:val="clear" w:color="auto" w:fill="FFFFFF"/>
          </w:tcPr>
          <w:p w:rsidR="006B7DE3" w:rsidRPr="002E39C6" w:rsidRDefault="006B7DE3" w:rsidP="00474CA8">
            <w:pPr>
              <w:autoSpaceDE w:val="0"/>
              <w:autoSpaceDN w:val="0"/>
              <w:adjustRightInd w:val="0"/>
              <w:spacing w:line="320" w:lineRule="atLeast"/>
              <w:ind w:left="60" w:right="60"/>
              <w:jc w:val="right"/>
              <w:rPr>
                <w:color w:val="000000" w:themeColor="text1"/>
              </w:rPr>
            </w:pPr>
            <w:r w:rsidRPr="002E39C6">
              <w:rPr>
                <w:color w:val="000000" w:themeColor="text1"/>
              </w:rPr>
              <w:t>113</w:t>
            </w:r>
          </w:p>
        </w:tc>
        <w:tc>
          <w:tcPr>
            <w:tcW w:w="1843" w:type="dxa"/>
            <w:tcBorders>
              <w:top w:val="single" w:sz="4" w:space="0" w:color="auto"/>
              <w:left w:val="single" w:sz="4" w:space="0" w:color="auto"/>
              <w:bottom w:val="single" w:sz="8" w:space="0" w:color="AEAEAE"/>
              <w:right w:val="single" w:sz="4" w:space="0" w:color="auto"/>
            </w:tcBorders>
            <w:shd w:val="clear" w:color="auto" w:fill="FFFFFF"/>
          </w:tcPr>
          <w:p w:rsidR="006B7DE3" w:rsidRPr="002E39C6" w:rsidRDefault="006B7DE3" w:rsidP="00474CA8">
            <w:pPr>
              <w:autoSpaceDE w:val="0"/>
              <w:autoSpaceDN w:val="0"/>
              <w:adjustRightInd w:val="0"/>
              <w:spacing w:line="320" w:lineRule="atLeast"/>
              <w:ind w:left="60" w:right="60"/>
              <w:jc w:val="right"/>
              <w:rPr>
                <w:color w:val="000000" w:themeColor="text1"/>
              </w:rPr>
            </w:pPr>
            <w:r w:rsidRPr="002E39C6">
              <w:rPr>
                <w:color w:val="000000" w:themeColor="text1"/>
              </w:rPr>
              <w:t>47</w:t>
            </w:r>
          </w:p>
        </w:tc>
        <w:tc>
          <w:tcPr>
            <w:tcW w:w="1691" w:type="dxa"/>
            <w:tcBorders>
              <w:top w:val="single" w:sz="4" w:space="0" w:color="auto"/>
              <w:left w:val="single" w:sz="4" w:space="0" w:color="auto"/>
              <w:bottom w:val="single" w:sz="8" w:space="0" w:color="AEAEAE"/>
              <w:right w:val="single" w:sz="4" w:space="0" w:color="auto"/>
            </w:tcBorders>
            <w:shd w:val="clear" w:color="auto" w:fill="FFFFFF"/>
          </w:tcPr>
          <w:p w:rsidR="006B7DE3" w:rsidRPr="002E39C6" w:rsidRDefault="006B7DE3" w:rsidP="00474CA8">
            <w:pPr>
              <w:autoSpaceDE w:val="0"/>
              <w:autoSpaceDN w:val="0"/>
              <w:adjustRightInd w:val="0"/>
              <w:spacing w:line="320" w:lineRule="atLeast"/>
              <w:ind w:left="60" w:right="60"/>
              <w:jc w:val="right"/>
              <w:rPr>
                <w:color w:val="000000" w:themeColor="text1"/>
              </w:rPr>
            </w:pPr>
            <w:r w:rsidRPr="002E39C6">
              <w:rPr>
                <w:color w:val="000000" w:themeColor="text1"/>
              </w:rPr>
              <w:t>160</w:t>
            </w:r>
          </w:p>
        </w:tc>
      </w:tr>
      <w:tr w:rsidR="006B7DE3" w:rsidRPr="002B30EF" w:rsidTr="00EE4AF5">
        <w:trPr>
          <w:cantSplit/>
          <w:trHeight w:val="274"/>
        </w:trPr>
        <w:tc>
          <w:tcPr>
            <w:tcW w:w="918" w:type="dxa"/>
            <w:vMerge/>
            <w:tcBorders>
              <w:top w:val="single" w:sz="8" w:space="0" w:color="152935"/>
              <w:left w:val="single" w:sz="4" w:space="0" w:color="auto"/>
              <w:bottom w:val="single" w:sz="4" w:space="0" w:color="auto"/>
              <w:right w:val="nil"/>
            </w:tcBorders>
            <w:shd w:val="clear" w:color="auto" w:fill="E0E0E0"/>
          </w:tcPr>
          <w:p w:rsidR="006B7DE3" w:rsidRPr="002E39C6" w:rsidRDefault="006B7DE3" w:rsidP="00474CA8">
            <w:pPr>
              <w:autoSpaceDE w:val="0"/>
              <w:autoSpaceDN w:val="0"/>
              <w:adjustRightInd w:val="0"/>
              <w:rPr>
                <w:color w:val="000000" w:themeColor="text1"/>
              </w:rPr>
            </w:pPr>
          </w:p>
        </w:tc>
        <w:tc>
          <w:tcPr>
            <w:tcW w:w="2201" w:type="dxa"/>
            <w:vMerge/>
            <w:tcBorders>
              <w:top w:val="single" w:sz="8" w:space="0" w:color="152935"/>
              <w:left w:val="nil"/>
              <w:bottom w:val="single" w:sz="4" w:space="0" w:color="auto"/>
              <w:right w:val="single" w:sz="4" w:space="0" w:color="auto"/>
            </w:tcBorders>
            <w:shd w:val="clear" w:color="auto" w:fill="E0E0E0"/>
          </w:tcPr>
          <w:p w:rsidR="006B7DE3" w:rsidRPr="00471BC0" w:rsidRDefault="006B7DE3" w:rsidP="00474CA8">
            <w:pPr>
              <w:autoSpaceDE w:val="0"/>
              <w:autoSpaceDN w:val="0"/>
              <w:adjustRightInd w:val="0"/>
              <w:rPr>
                <w:b/>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40.1%</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42.0%</w:t>
            </w:r>
          </w:p>
        </w:tc>
        <w:tc>
          <w:tcPr>
            <w:tcW w:w="1691"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40.6%</w:t>
            </w:r>
          </w:p>
        </w:tc>
      </w:tr>
      <w:tr w:rsidR="006B7DE3" w:rsidRPr="002B30EF" w:rsidTr="00EE4AF5">
        <w:trPr>
          <w:cantSplit/>
          <w:trHeight w:val="274"/>
        </w:trPr>
        <w:tc>
          <w:tcPr>
            <w:tcW w:w="918" w:type="dxa"/>
            <w:vMerge/>
            <w:tcBorders>
              <w:top w:val="single" w:sz="8" w:space="0" w:color="152935"/>
              <w:left w:val="single" w:sz="4" w:space="0" w:color="auto"/>
              <w:bottom w:val="single" w:sz="4" w:space="0" w:color="auto"/>
              <w:right w:val="nil"/>
            </w:tcBorders>
            <w:shd w:val="clear" w:color="auto" w:fill="E0E0E0"/>
          </w:tcPr>
          <w:p w:rsidR="006B7DE3" w:rsidRPr="002E39C6" w:rsidRDefault="006B7DE3" w:rsidP="00474CA8">
            <w:pPr>
              <w:autoSpaceDE w:val="0"/>
              <w:autoSpaceDN w:val="0"/>
              <w:adjustRightInd w:val="0"/>
              <w:rPr>
                <w:color w:val="000000" w:themeColor="text1"/>
              </w:rPr>
            </w:pPr>
          </w:p>
        </w:tc>
        <w:tc>
          <w:tcPr>
            <w:tcW w:w="2201" w:type="dxa"/>
            <w:vMerge w:val="restart"/>
            <w:tcBorders>
              <w:top w:val="single" w:sz="8" w:space="0" w:color="AEAEAE"/>
              <w:left w:val="nil"/>
              <w:bottom w:val="single" w:sz="4" w:space="0" w:color="auto"/>
              <w:right w:val="single" w:sz="4" w:space="0" w:color="auto"/>
            </w:tcBorders>
            <w:shd w:val="clear" w:color="auto" w:fill="E0E0E0"/>
          </w:tcPr>
          <w:p w:rsidR="006B7DE3" w:rsidRPr="00471BC0" w:rsidRDefault="006B7DE3" w:rsidP="00474CA8">
            <w:pPr>
              <w:autoSpaceDE w:val="0"/>
              <w:autoSpaceDN w:val="0"/>
              <w:adjustRightInd w:val="0"/>
              <w:spacing w:line="320" w:lineRule="atLeast"/>
              <w:ind w:left="60" w:right="60"/>
              <w:rPr>
                <w:b/>
                <w:color w:val="000000" w:themeColor="text1"/>
              </w:rPr>
            </w:pPr>
            <w:r w:rsidRPr="00471BC0">
              <w:rPr>
                <w:b/>
                <w:color w:val="000000" w:themeColor="text1"/>
              </w:rPr>
              <w:t>Male</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168</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65</w:t>
            </w:r>
          </w:p>
        </w:tc>
        <w:tc>
          <w:tcPr>
            <w:tcW w:w="1691"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233</w:t>
            </w:r>
          </w:p>
        </w:tc>
      </w:tr>
      <w:tr w:rsidR="006B7DE3" w:rsidRPr="002B30EF" w:rsidTr="00EE4AF5">
        <w:trPr>
          <w:cantSplit/>
          <w:trHeight w:val="274"/>
        </w:trPr>
        <w:tc>
          <w:tcPr>
            <w:tcW w:w="918" w:type="dxa"/>
            <w:vMerge/>
            <w:tcBorders>
              <w:top w:val="single" w:sz="8" w:space="0" w:color="152935"/>
              <w:left w:val="single" w:sz="4" w:space="0" w:color="auto"/>
              <w:bottom w:val="single" w:sz="4" w:space="0" w:color="auto"/>
              <w:right w:val="nil"/>
            </w:tcBorders>
            <w:shd w:val="clear" w:color="auto" w:fill="E0E0E0"/>
          </w:tcPr>
          <w:p w:rsidR="006B7DE3" w:rsidRPr="002E39C6" w:rsidRDefault="006B7DE3" w:rsidP="00474CA8">
            <w:pPr>
              <w:autoSpaceDE w:val="0"/>
              <w:autoSpaceDN w:val="0"/>
              <w:adjustRightInd w:val="0"/>
              <w:rPr>
                <w:color w:val="000000" w:themeColor="text1"/>
              </w:rPr>
            </w:pPr>
          </w:p>
        </w:tc>
        <w:tc>
          <w:tcPr>
            <w:tcW w:w="2201" w:type="dxa"/>
            <w:vMerge/>
            <w:tcBorders>
              <w:top w:val="single" w:sz="8" w:space="0" w:color="AEAEAE"/>
              <w:left w:val="nil"/>
              <w:bottom w:val="single" w:sz="4" w:space="0" w:color="auto"/>
              <w:right w:val="single" w:sz="4" w:space="0" w:color="auto"/>
            </w:tcBorders>
            <w:shd w:val="clear" w:color="auto" w:fill="E0E0E0"/>
          </w:tcPr>
          <w:p w:rsidR="006B7DE3" w:rsidRPr="002E39C6" w:rsidRDefault="006B7DE3" w:rsidP="00474CA8">
            <w:pPr>
              <w:autoSpaceDE w:val="0"/>
              <w:autoSpaceDN w:val="0"/>
              <w:adjustRightInd w:val="0"/>
              <w:rPr>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59.6%</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58.0%</w:t>
            </w:r>
          </w:p>
        </w:tc>
        <w:tc>
          <w:tcPr>
            <w:tcW w:w="1691"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59.1%</w:t>
            </w:r>
          </w:p>
        </w:tc>
      </w:tr>
      <w:tr w:rsidR="006B7DE3" w:rsidRPr="002B30EF" w:rsidTr="00EE4AF5">
        <w:trPr>
          <w:cantSplit/>
          <w:trHeight w:val="274"/>
        </w:trPr>
        <w:tc>
          <w:tcPr>
            <w:tcW w:w="918" w:type="dxa"/>
            <w:vMerge/>
            <w:tcBorders>
              <w:top w:val="single" w:sz="8" w:space="0" w:color="152935"/>
              <w:left w:val="single" w:sz="4" w:space="0" w:color="auto"/>
              <w:bottom w:val="single" w:sz="4" w:space="0" w:color="auto"/>
              <w:right w:val="nil"/>
            </w:tcBorders>
            <w:shd w:val="clear" w:color="auto" w:fill="E0E0E0"/>
          </w:tcPr>
          <w:p w:rsidR="006B7DE3" w:rsidRPr="002E39C6" w:rsidRDefault="006B7DE3" w:rsidP="00474CA8">
            <w:pPr>
              <w:autoSpaceDE w:val="0"/>
              <w:autoSpaceDN w:val="0"/>
              <w:adjustRightInd w:val="0"/>
              <w:rPr>
                <w:color w:val="000000" w:themeColor="text1"/>
              </w:rPr>
            </w:pPr>
          </w:p>
        </w:tc>
        <w:tc>
          <w:tcPr>
            <w:tcW w:w="2201" w:type="dxa"/>
            <w:vMerge w:val="restart"/>
            <w:tcBorders>
              <w:top w:val="single" w:sz="8" w:space="0" w:color="AEAEAE"/>
              <w:left w:val="nil"/>
              <w:bottom w:val="single" w:sz="4" w:space="0" w:color="auto"/>
              <w:right w:val="single" w:sz="4" w:space="0" w:color="auto"/>
            </w:tcBorders>
            <w:shd w:val="clear" w:color="auto" w:fill="E0E0E0"/>
          </w:tcPr>
          <w:p w:rsidR="006B7DE3" w:rsidRPr="00471BC0" w:rsidRDefault="006B7DE3" w:rsidP="00474CA8">
            <w:pPr>
              <w:autoSpaceDE w:val="0"/>
              <w:autoSpaceDN w:val="0"/>
              <w:adjustRightInd w:val="0"/>
              <w:spacing w:line="320" w:lineRule="atLeast"/>
              <w:ind w:left="60" w:right="60"/>
              <w:rPr>
                <w:b/>
                <w:color w:val="000000" w:themeColor="text1"/>
              </w:rPr>
            </w:pPr>
            <w:r w:rsidRPr="00471BC0">
              <w:rPr>
                <w:b/>
                <w:color w:val="000000" w:themeColor="text1"/>
              </w:rPr>
              <w:t>Other</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0</w:t>
            </w:r>
          </w:p>
        </w:tc>
        <w:tc>
          <w:tcPr>
            <w:tcW w:w="1691"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w:t>
            </w:r>
          </w:p>
        </w:tc>
      </w:tr>
      <w:tr w:rsidR="006B7DE3" w:rsidRPr="002B30EF" w:rsidTr="00EE4AF5">
        <w:trPr>
          <w:cantSplit/>
          <w:trHeight w:val="274"/>
        </w:trPr>
        <w:tc>
          <w:tcPr>
            <w:tcW w:w="918" w:type="dxa"/>
            <w:vMerge/>
            <w:tcBorders>
              <w:top w:val="single" w:sz="8" w:space="0" w:color="152935"/>
              <w:left w:val="single" w:sz="4" w:space="0" w:color="auto"/>
              <w:bottom w:val="single" w:sz="4" w:space="0" w:color="auto"/>
              <w:right w:val="nil"/>
            </w:tcBorders>
            <w:shd w:val="clear" w:color="auto" w:fill="E0E0E0"/>
          </w:tcPr>
          <w:p w:rsidR="006B7DE3" w:rsidRPr="002E39C6" w:rsidRDefault="006B7DE3" w:rsidP="00474CA8">
            <w:pPr>
              <w:autoSpaceDE w:val="0"/>
              <w:autoSpaceDN w:val="0"/>
              <w:adjustRightInd w:val="0"/>
              <w:rPr>
                <w:color w:val="000000" w:themeColor="text1"/>
              </w:rPr>
            </w:pPr>
          </w:p>
        </w:tc>
        <w:tc>
          <w:tcPr>
            <w:tcW w:w="2201" w:type="dxa"/>
            <w:vMerge/>
            <w:tcBorders>
              <w:top w:val="single" w:sz="8" w:space="0" w:color="AEAEAE"/>
              <w:left w:val="nil"/>
              <w:bottom w:val="single" w:sz="4" w:space="0" w:color="auto"/>
              <w:right w:val="single" w:sz="4" w:space="0" w:color="auto"/>
            </w:tcBorders>
            <w:shd w:val="clear" w:color="auto" w:fill="E0E0E0"/>
          </w:tcPr>
          <w:p w:rsidR="006B7DE3" w:rsidRPr="002E39C6" w:rsidRDefault="006B7DE3" w:rsidP="00474CA8">
            <w:pPr>
              <w:autoSpaceDE w:val="0"/>
              <w:autoSpaceDN w:val="0"/>
              <w:adjustRightInd w:val="0"/>
              <w:rPr>
                <w:color w:val="000000" w:themeColor="text1"/>
              </w:rPr>
            </w:pP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0.4%</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0.0%</w:t>
            </w:r>
          </w:p>
        </w:tc>
        <w:tc>
          <w:tcPr>
            <w:tcW w:w="1691"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0.3%</w:t>
            </w:r>
          </w:p>
        </w:tc>
      </w:tr>
      <w:tr w:rsidR="006B7DE3" w:rsidRPr="002B30EF" w:rsidTr="00EE4AF5">
        <w:trPr>
          <w:cantSplit/>
          <w:trHeight w:val="274"/>
        </w:trPr>
        <w:tc>
          <w:tcPr>
            <w:tcW w:w="3119" w:type="dxa"/>
            <w:gridSpan w:val="2"/>
            <w:vMerge w:val="restart"/>
            <w:tcBorders>
              <w:top w:val="single" w:sz="8" w:space="0" w:color="AEAEAE"/>
              <w:left w:val="single" w:sz="4" w:space="0" w:color="auto"/>
              <w:bottom w:val="single" w:sz="4" w:space="0" w:color="auto"/>
              <w:right w:val="single" w:sz="4" w:space="0" w:color="auto"/>
            </w:tcBorders>
            <w:shd w:val="clear" w:color="auto" w:fill="E0E0E0"/>
          </w:tcPr>
          <w:p w:rsidR="006B7DE3" w:rsidRPr="002E39C6" w:rsidRDefault="006B7DE3" w:rsidP="00474CA8">
            <w:pPr>
              <w:autoSpaceDE w:val="0"/>
              <w:autoSpaceDN w:val="0"/>
              <w:adjustRightInd w:val="0"/>
              <w:spacing w:line="320" w:lineRule="atLeast"/>
              <w:ind w:left="60" w:right="60"/>
              <w:rPr>
                <w:color w:val="000000" w:themeColor="text1"/>
              </w:rPr>
            </w:pPr>
            <w:r w:rsidRPr="002E39C6">
              <w:rPr>
                <w:color w:val="000000" w:themeColor="text1"/>
              </w:rPr>
              <w:t>Total</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282</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112</w:t>
            </w:r>
          </w:p>
        </w:tc>
        <w:tc>
          <w:tcPr>
            <w:tcW w:w="1691" w:type="dxa"/>
            <w:tcBorders>
              <w:top w:val="single" w:sz="8" w:space="0" w:color="AEAEAE"/>
              <w:left w:val="single" w:sz="4" w:space="0" w:color="auto"/>
              <w:bottom w:val="single" w:sz="8" w:space="0" w:color="AEAEAE"/>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394</w:t>
            </w:r>
          </w:p>
        </w:tc>
      </w:tr>
      <w:tr w:rsidR="006B7DE3" w:rsidRPr="002B30EF" w:rsidTr="00EE4AF5">
        <w:trPr>
          <w:cantSplit/>
          <w:trHeight w:val="274"/>
        </w:trPr>
        <w:tc>
          <w:tcPr>
            <w:tcW w:w="3119" w:type="dxa"/>
            <w:gridSpan w:val="2"/>
            <w:vMerge/>
            <w:tcBorders>
              <w:top w:val="single" w:sz="8" w:space="0" w:color="AEAEAE"/>
              <w:left w:val="single" w:sz="4" w:space="0" w:color="auto"/>
              <w:bottom w:val="single" w:sz="4" w:space="0" w:color="auto"/>
              <w:right w:val="single" w:sz="4" w:space="0" w:color="auto"/>
            </w:tcBorders>
            <w:shd w:val="clear" w:color="auto" w:fill="E0E0E0"/>
          </w:tcPr>
          <w:p w:rsidR="006B7DE3" w:rsidRPr="002B30EF" w:rsidRDefault="006B7DE3" w:rsidP="00474CA8">
            <w:pPr>
              <w:autoSpaceDE w:val="0"/>
              <w:autoSpaceDN w:val="0"/>
              <w:adjustRightInd w:val="0"/>
              <w:rPr>
                <w:color w:val="010205"/>
              </w:rPr>
            </w:pPr>
          </w:p>
        </w:tc>
        <w:tc>
          <w:tcPr>
            <w:tcW w:w="1984" w:type="dxa"/>
            <w:tcBorders>
              <w:top w:val="single" w:sz="8" w:space="0" w:color="AEAEAE"/>
              <w:left w:val="single" w:sz="4" w:space="0" w:color="auto"/>
              <w:bottom w:val="single" w:sz="4" w:space="0" w:color="auto"/>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100.0%</w:t>
            </w:r>
          </w:p>
        </w:tc>
        <w:tc>
          <w:tcPr>
            <w:tcW w:w="1843" w:type="dxa"/>
            <w:tcBorders>
              <w:top w:val="single" w:sz="8" w:space="0" w:color="AEAEAE"/>
              <w:left w:val="single" w:sz="4" w:space="0" w:color="auto"/>
              <w:bottom w:val="single" w:sz="4" w:space="0" w:color="auto"/>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100.0%</w:t>
            </w:r>
          </w:p>
        </w:tc>
        <w:tc>
          <w:tcPr>
            <w:tcW w:w="1691" w:type="dxa"/>
            <w:tcBorders>
              <w:top w:val="single" w:sz="8" w:space="0" w:color="AEAEAE"/>
              <w:left w:val="single" w:sz="4" w:space="0" w:color="auto"/>
              <w:bottom w:val="single" w:sz="4" w:space="0" w:color="auto"/>
              <w:right w:val="single" w:sz="4" w:space="0" w:color="auto"/>
            </w:tcBorders>
            <w:shd w:val="clear" w:color="auto" w:fill="FFFFFF"/>
          </w:tcPr>
          <w:p w:rsidR="006B7DE3" w:rsidRPr="002B30EF" w:rsidRDefault="006B7DE3" w:rsidP="00474CA8">
            <w:pPr>
              <w:autoSpaceDE w:val="0"/>
              <w:autoSpaceDN w:val="0"/>
              <w:adjustRightInd w:val="0"/>
              <w:spacing w:line="320" w:lineRule="atLeast"/>
              <w:ind w:left="60" w:right="60"/>
              <w:jc w:val="right"/>
              <w:rPr>
                <w:color w:val="010205"/>
              </w:rPr>
            </w:pPr>
            <w:r w:rsidRPr="002B30EF">
              <w:rPr>
                <w:color w:val="010205"/>
              </w:rPr>
              <w:t>100.0%</w:t>
            </w:r>
          </w:p>
        </w:tc>
      </w:tr>
    </w:tbl>
    <w:p w:rsidR="00474CA8" w:rsidRDefault="00474CA8" w:rsidP="001432D2">
      <w:pPr>
        <w:autoSpaceDE w:val="0"/>
        <w:autoSpaceDN w:val="0"/>
        <w:adjustRightInd w:val="0"/>
        <w:spacing w:line="360" w:lineRule="auto"/>
      </w:pPr>
    </w:p>
    <w:p w:rsidR="00A05AB1" w:rsidRDefault="00A05AB1" w:rsidP="001432D2">
      <w:pPr>
        <w:autoSpaceDE w:val="0"/>
        <w:autoSpaceDN w:val="0"/>
        <w:adjustRightInd w:val="0"/>
        <w:spacing w:line="360" w:lineRule="auto"/>
      </w:pPr>
      <w:r>
        <w:t>Table 4.3 highlights the highest level of education attained by community and court survey groups.</w:t>
      </w:r>
      <w:r w:rsidR="00AA5B12">
        <w:t xml:space="preserve"> </w:t>
      </w:r>
      <w:r>
        <w:t xml:space="preserve">Not surprisingly the court sample respondents appear to have slightly higher </w:t>
      </w:r>
      <w:r>
        <w:lastRenderedPageBreak/>
        <w:t>levels of education either partially or entirely completed while community survey respondents appeared to have the lowest levels of education attained.</w:t>
      </w:r>
      <w:r w:rsidR="00AA5B12">
        <w:t xml:space="preserve"> </w:t>
      </w:r>
      <w:r>
        <w:t>For example, 13.6% of cour</w:t>
      </w:r>
      <w:r w:rsidR="00EE4AF5">
        <w:t xml:space="preserve">t respondents indicated having </w:t>
      </w:r>
      <w:r>
        <w:t xml:space="preserve">completed some high school while 42.7% of </w:t>
      </w:r>
      <w:r>
        <w:lastRenderedPageBreak/>
        <w:t>community respondents indicated completing some high school as their highest level of education attained.</w:t>
      </w:r>
      <w:r w:rsidR="00AA5B12">
        <w:t xml:space="preserve"> </w:t>
      </w:r>
      <w:r>
        <w:t xml:space="preserve">25.5% of court respondents indicated some college or University, while 6.0% of community respondents indicated some college or university as </w:t>
      </w:r>
      <w:r>
        <w:lastRenderedPageBreak/>
        <w:t>the highest level of education attained.</w:t>
      </w:r>
    </w:p>
    <w:p w:rsidR="00A05AB1" w:rsidRPr="002B30EF" w:rsidRDefault="00A05AB1" w:rsidP="001432D2">
      <w:pPr>
        <w:autoSpaceDE w:val="0"/>
        <w:autoSpaceDN w:val="0"/>
        <w:adjustRightInd w:val="0"/>
        <w:spacing w:line="360" w:lineRule="auto"/>
      </w:pPr>
    </w:p>
    <w:tbl>
      <w:tblPr>
        <w:tblW w:w="90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859"/>
        <w:gridCol w:w="2126"/>
        <w:gridCol w:w="2102"/>
        <w:gridCol w:w="1701"/>
      </w:tblGrid>
      <w:tr w:rsidR="005B658D" w:rsidRPr="00C32252" w:rsidTr="006E1B3A">
        <w:trPr>
          <w:cantSplit/>
        </w:trPr>
        <w:tc>
          <w:tcPr>
            <w:tcW w:w="9048" w:type="dxa"/>
            <w:gridSpan w:val="5"/>
            <w:tcBorders>
              <w:top w:val="nil"/>
              <w:left w:val="nil"/>
              <w:bottom w:val="single" w:sz="4" w:space="0" w:color="auto"/>
              <w:right w:val="nil"/>
            </w:tcBorders>
            <w:shd w:val="clear" w:color="auto" w:fill="FFFFFF"/>
            <w:vAlign w:val="center"/>
          </w:tcPr>
          <w:p w:rsidR="005B658D" w:rsidRPr="006E1B3A" w:rsidRDefault="003C76E0" w:rsidP="006E1B3A">
            <w:pPr>
              <w:autoSpaceDE w:val="0"/>
              <w:autoSpaceDN w:val="0"/>
              <w:adjustRightInd w:val="0"/>
              <w:ind w:left="60" w:right="60"/>
              <w:rPr>
                <w:sz w:val="28"/>
                <w:szCs w:val="28"/>
              </w:rPr>
            </w:pPr>
            <w:r>
              <w:rPr>
                <w:b/>
                <w:bCs/>
                <w:sz w:val="28"/>
                <w:szCs w:val="28"/>
              </w:rPr>
              <w:t xml:space="preserve">Table </w:t>
            </w:r>
            <w:r w:rsidR="00C1466C">
              <w:rPr>
                <w:b/>
                <w:bCs/>
                <w:sz w:val="28"/>
                <w:szCs w:val="28"/>
              </w:rPr>
              <w:t>4.3</w:t>
            </w:r>
            <w:r w:rsidR="006E1B3A" w:rsidRPr="006E1B3A">
              <w:rPr>
                <w:b/>
                <w:bCs/>
                <w:sz w:val="28"/>
                <w:szCs w:val="28"/>
              </w:rPr>
              <w:t xml:space="preserve"> </w:t>
            </w:r>
            <w:r w:rsidR="005B658D" w:rsidRPr="006E1B3A">
              <w:rPr>
                <w:b/>
                <w:bCs/>
                <w:sz w:val="28"/>
                <w:szCs w:val="28"/>
              </w:rPr>
              <w:t xml:space="preserve">Highest level of education </w:t>
            </w:r>
            <w:r w:rsidR="006E1B3A" w:rsidRPr="006E1B3A">
              <w:rPr>
                <w:b/>
                <w:bCs/>
                <w:sz w:val="28"/>
                <w:szCs w:val="28"/>
              </w:rPr>
              <w:t xml:space="preserve">by </w:t>
            </w:r>
            <w:r w:rsidR="00BD467D">
              <w:rPr>
                <w:b/>
                <w:bCs/>
                <w:sz w:val="28"/>
                <w:szCs w:val="28"/>
              </w:rPr>
              <w:t>Sample Type</w:t>
            </w:r>
          </w:p>
        </w:tc>
      </w:tr>
      <w:tr w:rsidR="006E1B3A" w:rsidRPr="00C32252" w:rsidTr="006E1B3A">
        <w:trPr>
          <w:cantSplit/>
        </w:trPr>
        <w:tc>
          <w:tcPr>
            <w:tcW w:w="3119"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6E1B3A" w:rsidRDefault="005B658D" w:rsidP="00924A5F">
            <w:pPr>
              <w:autoSpaceDE w:val="0"/>
              <w:autoSpaceDN w:val="0"/>
              <w:adjustRightInd w:val="0"/>
            </w:pPr>
          </w:p>
        </w:tc>
        <w:tc>
          <w:tcPr>
            <w:tcW w:w="42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6E1B3A" w:rsidRDefault="005B658D" w:rsidP="00924A5F">
            <w:pPr>
              <w:autoSpaceDE w:val="0"/>
              <w:autoSpaceDN w:val="0"/>
              <w:adjustRightInd w:val="0"/>
              <w:ind w:left="60" w:right="60"/>
              <w:jc w:val="center"/>
              <w:rPr>
                <w:b/>
              </w:rPr>
            </w:pPr>
            <w:r w:rsidRPr="006E1B3A">
              <w:rPr>
                <w:b/>
              </w:rPr>
              <w:t>Survey location</w:t>
            </w:r>
          </w:p>
        </w:tc>
        <w:tc>
          <w:tcPr>
            <w:tcW w:w="1701"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6E1B3A" w:rsidRDefault="005B658D" w:rsidP="00924A5F">
            <w:pPr>
              <w:autoSpaceDE w:val="0"/>
              <w:autoSpaceDN w:val="0"/>
              <w:adjustRightInd w:val="0"/>
              <w:ind w:left="60" w:right="60"/>
              <w:jc w:val="center"/>
            </w:pPr>
            <w:r w:rsidRPr="006E1B3A">
              <w:t>Total</w:t>
            </w:r>
          </w:p>
        </w:tc>
      </w:tr>
      <w:tr w:rsidR="006E1B3A" w:rsidRPr="00C32252" w:rsidTr="0020359E">
        <w:trPr>
          <w:cantSplit/>
        </w:trPr>
        <w:tc>
          <w:tcPr>
            <w:tcW w:w="3119" w:type="dxa"/>
            <w:gridSpan w:val="2"/>
            <w:vMerge/>
            <w:tcBorders>
              <w:top w:val="nil"/>
              <w:left w:val="single" w:sz="4" w:space="0" w:color="auto"/>
              <w:bottom w:val="nil"/>
              <w:right w:val="single" w:sz="4" w:space="0" w:color="auto"/>
            </w:tcBorders>
            <w:shd w:val="clear" w:color="auto" w:fill="FFFFFF"/>
            <w:vAlign w:val="bottom"/>
          </w:tcPr>
          <w:p w:rsidR="005B658D" w:rsidRPr="006E1B3A" w:rsidRDefault="005B658D" w:rsidP="00924A5F">
            <w:pPr>
              <w:autoSpaceDE w:val="0"/>
              <w:autoSpaceDN w:val="0"/>
              <w:adjustRightInd w:val="0"/>
            </w:pPr>
          </w:p>
        </w:tc>
        <w:tc>
          <w:tcPr>
            <w:tcW w:w="2126" w:type="dxa"/>
            <w:tcBorders>
              <w:top w:val="nil"/>
              <w:left w:val="single" w:sz="4" w:space="0" w:color="auto"/>
              <w:bottom w:val="single" w:sz="8" w:space="0" w:color="152935"/>
              <w:right w:val="single" w:sz="4" w:space="0" w:color="auto"/>
            </w:tcBorders>
            <w:shd w:val="clear" w:color="auto" w:fill="FFFFFF"/>
            <w:vAlign w:val="bottom"/>
          </w:tcPr>
          <w:p w:rsidR="005B658D" w:rsidRPr="006E1B3A" w:rsidRDefault="005B658D" w:rsidP="00924A5F">
            <w:pPr>
              <w:autoSpaceDE w:val="0"/>
              <w:autoSpaceDN w:val="0"/>
              <w:adjustRightInd w:val="0"/>
              <w:ind w:left="60" w:right="60"/>
              <w:jc w:val="center"/>
              <w:rPr>
                <w:b/>
              </w:rPr>
            </w:pPr>
            <w:r w:rsidRPr="006E1B3A">
              <w:rPr>
                <w:b/>
              </w:rPr>
              <w:t>Court</w:t>
            </w:r>
          </w:p>
        </w:tc>
        <w:tc>
          <w:tcPr>
            <w:tcW w:w="2102"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6E1B3A" w:rsidRDefault="005B658D" w:rsidP="00924A5F">
            <w:pPr>
              <w:autoSpaceDE w:val="0"/>
              <w:autoSpaceDN w:val="0"/>
              <w:adjustRightInd w:val="0"/>
              <w:ind w:left="60" w:right="60"/>
              <w:jc w:val="center"/>
              <w:rPr>
                <w:b/>
              </w:rPr>
            </w:pPr>
            <w:r w:rsidRPr="006E1B3A">
              <w:rPr>
                <w:b/>
              </w:rPr>
              <w:t>Community</w:t>
            </w:r>
          </w:p>
        </w:tc>
        <w:tc>
          <w:tcPr>
            <w:tcW w:w="1701" w:type="dxa"/>
            <w:vMerge/>
            <w:tcBorders>
              <w:top w:val="nil"/>
              <w:left w:val="single" w:sz="4" w:space="0" w:color="auto"/>
              <w:bottom w:val="nil"/>
              <w:right w:val="single" w:sz="4" w:space="0" w:color="auto"/>
            </w:tcBorders>
            <w:shd w:val="clear" w:color="auto" w:fill="FFFFFF"/>
            <w:vAlign w:val="bottom"/>
          </w:tcPr>
          <w:p w:rsidR="005B658D" w:rsidRPr="006E1B3A" w:rsidRDefault="005B658D" w:rsidP="00924A5F">
            <w:pPr>
              <w:autoSpaceDE w:val="0"/>
              <w:autoSpaceDN w:val="0"/>
              <w:adjustRightInd w:val="0"/>
            </w:pPr>
          </w:p>
        </w:tc>
      </w:tr>
      <w:tr w:rsidR="006E1B3A" w:rsidRPr="00C32252" w:rsidTr="0020359E">
        <w:trPr>
          <w:cantSplit/>
        </w:trPr>
        <w:tc>
          <w:tcPr>
            <w:tcW w:w="1260" w:type="dxa"/>
            <w:vMerge w:val="restart"/>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ind w:left="60" w:right="60"/>
              <w:rPr>
                <w:b/>
              </w:rPr>
            </w:pPr>
            <w:r w:rsidRPr="006E1B3A">
              <w:rPr>
                <w:b/>
              </w:rPr>
              <w:t>Highest level of education</w:t>
            </w:r>
          </w:p>
        </w:tc>
        <w:tc>
          <w:tcPr>
            <w:tcW w:w="1859" w:type="dxa"/>
            <w:vMerge w:val="restart"/>
            <w:tcBorders>
              <w:top w:val="single" w:sz="8" w:space="0" w:color="152935"/>
              <w:left w:val="nil"/>
              <w:bottom w:val="nil"/>
              <w:right w:val="nil"/>
            </w:tcBorders>
            <w:shd w:val="clear" w:color="auto" w:fill="E0E0E0"/>
          </w:tcPr>
          <w:p w:rsidR="006E1B3A" w:rsidRPr="006E1B3A" w:rsidRDefault="006E1B3A" w:rsidP="00924A5F">
            <w:pPr>
              <w:autoSpaceDE w:val="0"/>
              <w:autoSpaceDN w:val="0"/>
              <w:adjustRightInd w:val="0"/>
              <w:ind w:left="60" w:right="60"/>
              <w:rPr>
                <w:b/>
              </w:rPr>
            </w:pPr>
            <w:r w:rsidRPr="006E1B3A">
              <w:rPr>
                <w:b/>
              </w:rPr>
              <w:t>Some high school</w:t>
            </w:r>
          </w:p>
        </w:tc>
        <w:tc>
          <w:tcPr>
            <w:tcW w:w="2126" w:type="dxa"/>
            <w:tcBorders>
              <w:top w:val="single" w:sz="8" w:space="0" w:color="152935"/>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40</w:t>
            </w:r>
          </w:p>
        </w:tc>
        <w:tc>
          <w:tcPr>
            <w:tcW w:w="2102" w:type="dxa"/>
            <w:tcBorders>
              <w:top w:val="single" w:sz="8" w:space="0" w:color="152935"/>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50</w:t>
            </w:r>
          </w:p>
        </w:tc>
        <w:tc>
          <w:tcPr>
            <w:tcW w:w="1701" w:type="dxa"/>
            <w:tcBorders>
              <w:top w:val="single" w:sz="8" w:space="0" w:color="152935"/>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90</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tcBorders>
              <w:top w:val="single" w:sz="8" w:space="0" w:color="152935"/>
              <w:left w:val="nil"/>
              <w:bottom w:val="nil"/>
              <w:right w:val="nil"/>
            </w:tcBorders>
            <w:shd w:val="clear" w:color="auto" w:fill="E0E0E0"/>
          </w:tcPr>
          <w:p w:rsidR="006E1B3A" w:rsidRPr="006E1B3A" w:rsidRDefault="006E1B3A"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13.6%</w:t>
            </w:r>
          </w:p>
        </w:tc>
        <w:tc>
          <w:tcPr>
            <w:tcW w:w="2102"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42.7%</w:t>
            </w:r>
          </w:p>
        </w:tc>
        <w:tc>
          <w:tcPr>
            <w:tcW w:w="1701"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21.9%</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val="restart"/>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ind w:left="60" w:right="60"/>
              <w:rPr>
                <w:b/>
              </w:rPr>
            </w:pPr>
            <w:r w:rsidRPr="006E1B3A">
              <w:rPr>
                <w:b/>
              </w:rPr>
              <w:t>High school diploma</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65</w:t>
            </w:r>
          </w:p>
        </w:tc>
        <w:tc>
          <w:tcPr>
            <w:tcW w:w="2102"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27</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92</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22.1%</w:t>
            </w:r>
          </w:p>
        </w:tc>
        <w:tc>
          <w:tcPr>
            <w:tcW w:w="2102"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23.1%</w:t>
            </w:r>
          </w:p>
        </w:tc>
        <w:tc>
          <w:tcPr>
            <w:tcW w:w="1701"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22.4%</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val="restart"/>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ind w:left="60" w:right="60"/>
              <w:rPr>
                <w:b/>
              </w:rPr>
            </w:pPr>
            <w:r w:rsidRPr="006E1B3A">
              <w:rPr>
                <w:b/>
              </w:rPr>
              <w:t>Some college or university</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75</w:t>
            </w:r>
          </w:p>
        </w:tc>
        <w:tc>
          <w:tcPr>
            <w:tcW w:w="2102"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7</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82</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25.5%</w:t>
            </w:r>
          </w:p>
        </w:tc>
        <w:tc>
          <w:tcPr>
            <w:tcW w:w="2102"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6.0%</w:t>
            </w:r>
          </w:p>
        </w:tc>
        <w:tc>
          <w:tcPr>
            <w:tcW w:w="1701"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20.0%</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val="restart"/>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ind w:left="60" w:right="60"/>
              <w:rPr>
                <w:b/>
              </w:rPr>
            </w:pPr>
            <w:r w:rsidRPr="006E1B3A">
              <w:rPr>
                <w:b/>
              </w:rPr>
              <w:t>College diploma/</w:t>
            </w:r>
          </w:p>
          <w:p w:rsidR="006E1B3A" w:rsidRPr="006E1B3A" w:rsidRDefault="006E1B3A" w:rsidP="00924A5F">
            <w:pPr>
              <w:autoSpaceDE w:val="0"/>
              <w:autoSpaceDN w:val="0"/>
              <w:adjustRightInd w:val="0"/>
              <w:ind w:left="60" w:right="60"/>
              <w:rPr>
                <w:b/>
              </w:rPr>
            </w:pPr>
            <w:r w:rsidRPr="006E1B3A">
              <w:rPr>
                <w:b/>
              </w:rPr>
              <w:t>university degree</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112</w:t>
            </w:r>
          </w:p>
        </w:tc>
        <w:tc>
          <w:tcPr>
            <w:tcW w:w="2102"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26</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138</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38.1%</w:t>
            </w:r>
          </w:p>
        </w:tc>
        <w:tc>
          <w:tcPr>
            <w:tcW w:w="2102"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22.2%</w:t>
            </w:r>
          </w:p>
        </w:tc>
        <w:tc>
          <w:tcPr>
            <w:tcW w:w="1701"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33.6%</w:t>
            </w:r>
          </w:p>
        </w:tc>
      </w:tr>
      <w:tr w:rsidR="006E1B3A" w:rsidRPr="00C32252" w:rsidTr="0020359E">
        <w:trPr>
          <w:cantSplit/>
          <w:trHeight w:val="301"/>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rPr>
                <w:b/>
              </w:rPr>
            </w:pPr>
          </w:p>
        </w:tc>
        <w:tc>
          <w:tcPr>
            <w:tcW w:w="1859" w:type="dxa"/>
            <w:vMerge w:val="restart"/>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ind w:left="60" w:right="60"/>
              <w:rPr>
                <w:b/>
              </w:rPr>
            </w:pPr>
            <w:r w:rsidRPr="006E1B3A">
              <w:rPr>
                <w:b/>
              </w:rPr>
              <w:t>Other</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w:t>
            </w:r>
          </w:p>
        </w:tc>
        <w:tc>
          <w:tcPr>
            <w:tcW w:w="2102"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7</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9</w:t>
            </w:r>
          </w:p>
        </w:tc>
      </w:tr>
      <w:tr w:rsidR="006E1B3A"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6E1B3A" w:rsidRPr="006E1B3A" w:rsidRDefault="006E1B3A" w:rsidP="00924A5F">
            <w:pPr>
              <w:autoSpaceDE w:val="0"/>
              <w:autoSpaceDN w:val="0"/>
              <w:adjustRightInd w:val="0"/>
            </w:pPr>
          </w:p>
        </w:tc>
        <w:tc>
          <w:tcPr>
            <w:tcW w:w="1859" w:type="dxa"/>
            <w:vMerge/>
            <w:tcBorders>
              <w:top w:val="single" w:sz="8" w:space="0" w:color="AEAEAE"/>
              <w:left w:val="nil"/>
              <w:bottom w:val="nil"/>
              <w:right w:val="nil"/>
            </w:tcBorders>
            <w:shd w:val="clear" w:color="auto" w:fill="E0E0E0"/>
          </w:tcPr>
          <w:p w:rsidR="006E1B3A" w:rsidRPr="006E1B3A" w:rsidRDefault="006E1B3A" w:rsidP="00924A5F">
            <w:pPr>
              <w:autoSpaceDE w:val="0"/>
              <w:autoSpaceDN w:val="0"/>
              <w:adjustRightInd w:val="0"/>
            </w:pPr>
          </w:p>
        </w:tc>
        <w:tc>
          <w:tcPr>
            <w:tcW w:w="2126"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0.7%</w:t>
            </w:r>
          </w:p>
        </w:tc>
        <w:tc>
          <w:tcPr>
            <w:tcW w:w="2102"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6.0%</w:t>
            </w:r>
          </w:p>
        </w:tc>
        <w:tc>
          <w:tcPr>
            <w:tcW w:w="1701" w:type="dxa"/>
            <w:tcBorders>
              <w:top w:val="single" w:sz="8" w:space="0" w:color="AEAEAE"/>
              <w:left w:val="single" w:sz="4" w:space="0" w:color="auto"/>
              <w:bottom w:val="nil"/>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2.2%</w:t>
            </w:r>
          </w:p>
        </w:tc>
      </w:tr>
      <w:tr w:rsidR="006E1B3A" w:rsidRPr="00C32252" w:rsidTr="0020359E">
        <w:trPr>
          <w:cantSplit/>
        </w:trPr>
        <w:tc>
          <w:tcPr>
            <w:tcW w:w="3119" w:type="dxa"/>
            <w:gridSpan w:val="2"/>
            <w:vMerge w:val="restart"/>
            <w:tcBorders>
              <w:top w:val="single" w:sz="8" w:space="0" w:color="AEAEAE"/>
              <w:left w:val="single" w:sz="4" w:space="0" w:color="auto"/>
              <w:bottom w:val="single" w:sz="8" w:space="0" w:color="152935"/>
              <w:right w:val="nil"/>
            </w:tcBorders>
            <w:shd w:val="clear" w:color="auto" w:fill="E0E0E0"/>
          </w:tcPr>
          <w:p w:rsidR="006E1B3A" w:rsidRPr="006E1B3A" w:rsidRDefault="006E1B3A" w:rsidP="00924A5F">
            <w:pPr>
              <w:autoSpaceDE w:val="0"/>
              <w:autoSpaceDN w:val="0"/>
              <w:adjustRightInd w:val="0"/>
              <w:ind w:left="60" w:right="60"/>
            </w:pPr>
            <w:r w:rsidRPr="006E1B3A">
              <w:t>Total</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294</w:t>
            </w:r>
          </w:p>
        </w:tc>
        <w:tc>
          <w:tcPr>
            <w:tcW w:w="2102"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117</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411</w:t>
            </w:r>
          </w:p>
        </w:tc>
      </w:tr>
      <w:tr w:rsidR="006E1B3A" w:rsidRPr="00C32252" w:rsidTr="0020359E">
        <w:trPr>
          <w:cantSplit/>
        </w:trPr>
        <w:tc>
          <w:tcPr>
            <w:tcW w:w="3119" w:type="dxa"/>
            <w:gridSpan w:val="2"/>
            <w:vMerge/>
            <w:tcBorders>
              <w:top w:val="single" w:sz="8" w:space="0" w:color="AEAEAE"/>
              <w:left w:val="single" w:sz="4" w:space="0" w:color="auto"/>
              <w:bottom w:val="single" w:sz="4" w:space="0" w:color="auto"/>
              <w:right w:val="nil"/>
            </w:tcBorders>
            <w:shd w:val="clear" w:color="auto" w:fill="E0E0E0"/>
          </w:tcPr>
          <w:p w:rsidR="006E1B3A" w:rsidRPr="006E1B3A" w:rsidRDefault="006E1B3A" w:rsidP="00924A5F">
            <w:pPr>
              <w:autoSpaceDE w:val="0"/>
              <w:autoSpaceDN w:val="0"/>
              <w:adjustRightInd w:val="0"/>
            </w:pPr>
          </w:p>
        </w:tc>
        <w:tc>
          <w:tcPr>
            <w:tcW w:w="2126" w:type="dxa"/>
            <w:tcBorders>
              <w:top w:val="single" w:sz="8" w:space="0" w:color="AEAEAE"/>
              <w:left w:val="single" w:sz="4" w:space="0" w:color="auto"/>
              <w:bottom w:val="single" w:sz="4" w:space="0" w:color="auto"/>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100.0%</w:t>
            </w:r>
          </w:p>
        </w:tc>
        <w:tc>
          <w:tcPr>
            <w:tcW w:w="2102" w:type="dxa"/>
            <w:tcBorders>
              <w:top w:val="single" w:sz="8" w:space="0" w:color="AEAEAE"/>
              <w:left w:val="single" w:sz="4" w:space="0" w:color="auto"/>
              <w:bottom w:val="single" w:sz="4" w:space="0" w:color="auto"/>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100.0%</w:t>
            </w:r>
          </w:p>
        </w:tc>
        <w:tc>
          <w:tcPr>
            <w:tcW w:w="1701" w:type="dxa"/>
            <w:tcBorders>
              <w:top w:val="single" w:sz="8" w:space="0" w:color="AEAEAE"/>
              <w:left w:val="single" w:sz="4" w:space="0" w:color="auto"/>
              <w:bottom w:val="single" w:sz="4" w:space="0" w:color="auto"/>
              <w:right w:val="single" w:sz="4" w:space="0" w:color="auto"/>
            </w:tcBorders>
            <w:shd w:val="clear" w:color="auto" w:fill="FFFFFF"/>
          </w:tcPr>
          <w:p w:rsidR="006E1B3A" w:rsidRPr="006E1B3A" w:rsidRDefault="006E1B3A" w:rsidP="00924A5F">
            <w:pPr>
              <w:autoSpaceDE w:val="0"/>
              <w:autoSpaceDN w:val="0"/>
              <w:adjustRightInd w:val="0"/>
              <w:ind w:left="60" w:right="60"/>
              <w:jc w:val="right"/>
            </w:pPr>
            <w:r w:rsidRPr="006E1B3A">
              <w:t>100.0%</w:t>
            </w:r>
          </w:p>
        </w:tc>
      </w:tr>
    </w:tbl>
    <w:p w:rsidR="00034962" w:rsidRDefault="00034962" w:rsidP="001432D2">
      <w:pPr>
        <w:autoSpaceDE w:val="0"/>
        <w:autoSpaceDN w:val="0"/>
        <w:adjustRightInd w:val="0"/>
        <w:spacing w:line="360" w:lineRule="auto"/>
      </w:pPr>
    </w:p>
    <w:p w:rsidR="005B658D" w:rsidRDefault="00E33B4F" w:rsidP="001432D2">
      <w:pPr>
        <w:autoSpaceDE w:val="0"/>
        <w:autoSpaceDN w:val="0"/>
        <w:adjustRightInd w:val="0"/>
        <w:spacing w:line="360" w:lineRule="auto"/>
      </w:pPr>
      <w:r w:rsidRPr="00E33B4F">
        <w:lastRenderedPageBreak/>
        <w:t>As with education, sources of income varied somewhat between the court and community samples.</w:t>
      </w:r>
      <w:r w:rsidR="00AA5B12">
        <w:t xml:space="preserve"> </w:t>
      </w:r>
      <w:r w:rsidR="00034962">
        <w:t>Court respondents were most likely to report working full time (43.7% of cases) while only 6.7% of the community sample reported working full time.</w:t>
      </w:r>
      <w:r w:rsidR="00AA5B12">
        <w:t xml:space="preserve"> </w:t>
      </w:r>
      <w:r w:rsidR="00034962">
        <w:t>Community re</w:t>
      </w:r>
      <w:r w:rsidR="004E1FFA">
        <w:t>sp</w:t>
      </w:r>
      <w:r w:rsidR="00034962">
        <w:t xml:space="preserve">ondents were </w:t>
      </w:r>
      <w:r w:rsidR="00034962">
        <w:lastRenderedPageBreak/>
        <w:t>most likely to report either being currently unemployed (35.7% of cases compared to 12.9% of court respondents) or on government assistance (33.9% compared to 9.4% of court respondents).</w:t>
      </w:r>
      <w:r w:rsidR="00AA5B12">
        <w:t xml:space="preserve"> </w:t>
      </w:r>
      <w:r w:rsidR="004E1FFA">
        <w:t xml:space="preserve">Finally, 21.3% of court respondents </w:t>
      </w:r>
      <w:r w:rsidR="004E1FFA">
        <w:lastRenderedPageBreak/>
        <w:t>and 11.3% of community respondents indicated they were working part time.</w:t>
      </w:r>
    </w:p>
    <w:p w:rsidR="001432D2" w:rsidRPr="002376E8" w:rsidRDefault="001432D2" w:rsidP="001432D2">
      <w:pPr>
        <w:autoSpaceDE w:val="0"/>
        <w:autoSpaceDN w:val="0"/>
        <w:adjustRightInd w:val="0"/>
        <w:spacing w:line="360" w:lineRule="auto"/>
      </w:pPr>
    </w:p>
    <w:p w:rsidR="001432D2" w:rsidRDefault="001432D2">
      <w:r>
        <w:br w:type="page"/>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2284"/>
        <w:gridCol w:w="2126"/>
        <w:gridCol w:w="1985"/>
        <w:gridCol w:w="1701"/>
      </w:tblGrid>
      <w:tr w:rsidR="00C32252" w:rsidRPr="00C32252" w:rsidTr="007E346B">
        <w:trPr>
          <w:cantSplit/>
        </w:trPr>
        <w:tc>
          <w:tcPr>
            <w:tcW w:w="9356" w:type="dxa"/>
            <w:gridSpan w:val="5"/>
            <w:tcBorders>
              <w:top w:val="nil"/>
              <w:left w:val="nil"/>
              <w:bottom w:val="single" w:sz="4" w:space="0" w:color="auto"/>
              <w:right w:val="nil"/>
            </w:tcBorders>
            <w:shd w:val="clear" w:color="auto" w:fill="FFFFFF"/>
            <w:vAlign w:val="center"/>
          </w:tcPr>
          <w:p w:rsidR="005B658D" w:rsidRPr="007E346B" w:rsidRDefault="003C76E0" w:rsidP="007E346B">
            <w:pPr>
              <w:autoSpaceDE w:val="0"/>
              <w:autoSpaceDN w:val="0"/>
              <w:adjustRightInd w:val="0"/>
              <w:ind w:left="60" w:right="60"/>
              <w:rPr>
                <w:sz w:val="28"/>
                <w:szCs w:val="28"/>
              </w:rPr>
            </w:pPr>
            <w:r>
              <w:rPr>
                <w:b/>
                <w:bCs/>
                <w:sz w:val="28"/>
                <w:szCs w:val="28"/>
              </w:rPr>
              <w:lastRenderedPageBreak/>
              <w:t xml:space="preserve">Table </w:t>
            </w:r>
            <w:r w:rsidR="00C1466C">
              <w:rPr>
                <w:b/>
                <w:bCs/>
                <w:sz w:val="28"/>
                <w:szCs w:val="28"/>
              </w:rPr>
              <w:t>4.4</w:t>
            </w:r>
            <w:r w:rsidR="007E346B" w:rsidRPr="007E346B">
              <w:rPr>
                <w:b/>
                <w:bCs/>
                <w:sz w:val="28"/>
                <w:szCs w:val="28"/>
              </w:rPr>
              <w:t xml:space="preserve"> Source of income by </w:t>
            </w:r>
            <w:r w:rsidR="00C1466C">
              <w:rPr>
                <w:b/>
                <w:bCs/>
                <w:sz w:val="28"/>
                <w:szCs w:val="28"/>
              </w:rPr>
              <w:t>Sample Type</w:t>
            </w:r>
          </w:p>
        </w:tc>
      </w:tr>
      <w:tr w:rsidR="007E346B" w:rsidRPr="00C32252" w:rsidTr="007E346B">
        <w:trPr>
          <w:cantSplit/>
        </w:trPr>
        <w:tc>
          <w:tcPr>
            <w:tcW w:w="3544"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C32252" w:rsidRDefault="005B658D" w:rsidP="00924A5F">
            <w:pPr>
              <w:autoSpaceDE w:val="0"/>
              <w:autoSpaceDN w:val="0"/>
              <w:adjustRightInd w:val="0"/>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rPr>
                <w:b/>
              </w:rPr>
            </w:pPr>
            <w:r w:rsidRPr="00C32252">
              <w:rPr>
                <w:b/>
              </w:rPr>
              <w:t>Survey location</w:t>
            </w:r>
          </w:p>
        </w:tc>
        <w:tc>
          <w:tcPr>
            <w:tcW w:w="1701"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pPr>
            <w:r w:rsidRPr="00C32252">
              <w:t>Total</w:t>
            </w:r>
          </w:p>
        </w:tc>
      </w:tr>
      <w:tr w:rsidR="007E346B" w:rsidRPr="00C32252" w:rsidTr="0020359E">
        <w:trPr>
          <w:cantSplit/>
          <w:trHeight w:val="325"/>
        </w:trPr>
        <w:tc>
          <w:tcPr>
            <w:tcW w:w="3544" w:type="dxa"/>
            <w:gridSpan w:val="2"/>
            <w:vMerge/>
            <w:tcBorders>
              <w:top w:val="nil"/>
              <w:left w:val="single" w:sz="4" w:space="0" w:color="auto"/>
              <w:bottom w:val="nil"/>
              <w:right w:val="single" w:sz="4" w:space="0" w:color="auto"/>
            </w:tcBorders>
            <w:shd w:val="clear" w:color="auto" w:fill="FFFFFF"/>
            <w:vAlign w:val="bottom"/>
          </w:tcPr>
          <w:p w:rsidR="005B658D" w:rsidRPr="00C32252" w:rsidRDefault="005B658D" w:rsidP="00924A5F">
            <w:pPr>
              <w:autoSpaceDE w:val="0"/>
              <w:autoSpaceDN w:val="0"/>
              <w:adjustRightInd w:val="0"/>
            </w:pPr>
          </w:p>
        </w:tc>
        <w:tc>
          <w:tcPr>
            <w:tcW w:w="2126"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rPr>
                <w:b/>
              </w:rPr>
            </w:pPr>
            <w:r w:rsidRPr="00C32252">
              <w:rPr>
                <w:b/>
              </w:rPr>
              <w:t>Court</w:t>
            </w:r>
          </w:p>
        </w:tc>
        <w:tc>
          <w:tcPr>
            <w:tcW w:w="1985"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C32252" w:rsidRDefault="005B658D" w:rsidP="00924A5F">
            <w:pPr>
              <w:autoSpaceDE w:val="0"/>
              <w:autoSpaceDN w:val="0"/>
              <w:adjustRightInd w:val="0"/>
              <w:ind w:left="60" w:right="60"/>
              <w:jc w:val="center"/>
              <w:rPr>
                <w:b/>
              </w:rPr>
            </w:pPr>
            <w:r w:rsidRPr="00C32252">
              <w:rPr>
                <w:b/>
              </w:rPr>
              <w:t>Community</w:t>
            </w:r>
          </w:p>
        </w:tc>
        <w:tc>
          <w:tcPr>
            <w:tcW w:w="1701" w:type="dxa"/>
            <w:vMerge/>
            <w:tcBorders>
              <w:top w:val="nil"/>
              <w:left w:val="single" w:sz="4" w:space="0" w:color="auto"/>
              <w:bottom w:val="nil"/>
              <w:right w:val="single" w:sz="4" w:space="0" w:color="auto"/>
            </w:tcBorders>
            <w:shd w:val="clear" w:color="auto" w:fill="FFFFFF"/>
            <w:vAlign w:val="bottom"/>
          </w:tcPr>
          <w:p w:rsidR="005B658D" w:rsidRPr="00C32252" w:rsidRDefault="005B658D" w:rsidP="00924A5F">
            <w:pPr>
              <w:autoSpaceDE w:val="0"/>
              <w:autoSpaceDN w:val="0"/>
              <w:adjustRightInd w:val="0"/>
            </w:pPr>
          </w:p>
        </w:tc>
      </w:tr>
      <w:tr w:rsidR="007E346B" w:rsidRPr="00C32252" w:rsidTr="0020359E">
        <w:trPr>
          <w:cantSplit/>
        </w:trPr>
        <w:tc>
          <w:tcPr>
            <w:tcW w:w="1260" w:type="dxa"/>
            <w:vMerge w:val="restart"/>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ind w:left="60" w:right="60"/>
              <w:rPr>
                <w:b/>
              </w:rPr>
            </w:pPr>
            <w:r w:rsidRPr="00C32252">
              <w:rPr>
                <w:b/>
              </w:rPr>
              <w:t xml:space="preserve">Source of income </w:t>
            </w:r>
          </w:p>
        </w:tc>
        <w:tc>
          <w:tcPr>
            <w:tcW w:w="2284" w:type="dxa"/>
            <w:vMerge w:val="restart"/>
            <w:tcBorders>
              <w:top w:val="single" w:sz="8" w:space="0" w:color="152935"/>
              <w:left w:val="nil"/>
              <w:bottom w:val="nil"/>
              <w:right w:val="nil"/>
            </w:tcBorders>
            <w:shd w:val="clear" w:color="auto" w:fill="E0E0E0"/>
          </w:tcPr>
          <w:p w:rsidR="007E346B" w:rsidRPr="00C32252" w:rsidRDefault="007E346B" w:rsidP="00924A5F">
            <w:pPr>
              <w:autoSpaceDE w:val="0"/>
              <w:autoSpaceDN w:val="0"/>
              <w:adjustRightInd w:val="0"/>
              <w:ind w:left="60" w:right="60"/>
              <w:rPr>
                <w:b/>
              </w:rPr>
            </w:pPr>
            <w:r w:rsidRPr="00C32252">
              <w:rPr>
                <w:b/>
              </w:rPr>
              <w:t>Part time, seasonal, or temporary</w:t>
            </w:r>
          </w:p>
        </w:tc>
        <w:tc>
          <w:tcPr>
            <w:tcW w:w="2126" w:type="dxa"/>
            <w:tcBorders>
              <w:top w:val="single" w:sz="8" w:space="0" w:color="152935"/>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61</w:t>
            </w:r>
          </w:p>
        </w:tc>
        <w:tc>
          <w:tcPr>
            <w:tcW w:w="1985" w:type="dxa"/>
            <w:tcBorders>
              <w:top w:val="single" w:sz="8" w:space="0" w:color="152935"/>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13</w:t>
            </w:r>
          </w:p>
        </w:tc>
        <w:tc>
          <w:tcPr>
            <w:tcW w:w="1701" w:type="dxa"/>
            <w:tcBorders>
              <w:top w:val="single" w:sz="8" w:space="0" w:color="152935"/>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74</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tcBorders>
              <w:top w:val="single" w:sz="8" w:space="0" w:color="152935"/>
              <w:left w:val="nil"/>
              <w:bottom w:val="nil"/>
              <w:right w:val="nil"/>
            </w:tcBorders>
            <w:shd w:val="clear" w:color="auto" w:fill="E0E0E0"/>
          </w:tcPr>
          <w:p w:rsidR="007E346B" w:rsidRPr="00C32252" w:rsidRDefault="007E346B"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21.3%</w:t>
            </w:r>
          </w:p>
        </w:tc>
        <w:tc>
          <w:tcPr>
            <w:tcW w:w="1985"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11.3%</w:t>
            </w:r>
          </w:p>
        </w:tc>
        <w:tc>
          <w:tcPr>
            <w:tcW w:w="1701"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18.5%</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val="restart"/>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ind w:left="60" w:right="60"/>
              <w:rPr>
                <w:b/>
              </w:rPr>
            </w:pPr>
            <w:r w:rsidRPr="00C32252">
              <w:rPr>
                <w:b/>
              </w:rPr>
              <w:t>Full time</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125</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7</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132</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43.7%</w:t>
            </w:r>
          </w:p>
        </w:tc>
        <w:tc>
          <w:tcPr>
            <w:tcW w:w="1985"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6.1%</w:t>
            </w:r>
          </w:p>
        </w:tc>
        <w:tc>
          <w:tcPr>
            <w:tcW w:w="1701"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32.9%</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val="restart"/>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ind w:left="60" w:right="60"/>
              <w:rPr>
                <w:b/>
              </w:rPr>
            </w:pPr>
            <w:r w:rsidRPr="00C32252">
              <w:rPr>
                <w:b/>
              </w:rPr>
              <w:t>Not working</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37</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41</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78</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12.9%</w:t>
            </w:r>
          </w:p>
        </w:tc>
        <w:tc>
          <w:tcPr>
            <w:tcW w:w="1985"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35.7%</w:t>
            </w:r>
          </w:p>
        </w:tc>
        <w:tc>
          <w:tcPr>
            <w:tcW w:w="1701"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19.5%</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val="restart"/>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ind w:left="60" w:right="60"/>
              <w:rPr>
                <w:b/>
              </w:rPr>
            </w:pPr>
            <w:r w:rsidRPr="00C32252">
              <w:rPr>
                <w:b/>
              </w:rPr>
              <w:t>Government assistance</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27</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39</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66</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rPr>
                <w:b/>
              </w:rPr>
            </w:pPr>
          </w:p>
        </w:tc>
        <w:tc>
          <w:tcPr>
            <w:tcW w:w="2126"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9.4%</w:t>
            </w:r>
          </w:p>
        </w:tc>
        <w:tc>
          <w:tcPr>
            <w:tcW w:w="1985"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33.9%</w:t>
            </w:r>
          </w:p>
        </w:tc>
        <w:tc>
          <w:tcPr>
            <w:tcW w:w="1701"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16.5%</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rPr>
                <w:b/>
              </w:rPr>
            </w:pPr>
          </w:p>
        </w:tc>
        <w:tc>
          <w:tcPr>
            <w:tcW w:w="2284" w:type="dxa"/>
            <w:vMerge w:val="restart"/>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ind w:left="60" w:right="60"/>
              <w:rPr>
                <w:b/>
              </w:rPr>
            </w:pPr>
            <w:r w:rsidRPr="00C32252">
              <w:rPr>
                <w:b/>
              </w:rPr>
              <w:t>Other</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36</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15</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51</w:t>
            </w:r>
          </w:p>
        </w:tc>
      </w:tr>
      <w:tr w:rsidR="007E346B" w:rsidRPr="00C32252" w:rsidTr="0020359E">
        <w:trPr>
          <w:cantSplit/>
        </w:trPr>
        <w:tc>
          <w:tcPr>
            <w:tcW w:w="1260" w:type="dxa"/>
            <w:vMerge/>
            <w:tcBorders>
              <w:top w:val="single" w:sz="8" w:space="0" w:color="152935"/>
              <w:left w:val="single" w:sz="4" w:space="0" w:color="auto"/>
              <w:bottom w:val="nil"/>
              <w:right w:val="nil"/>
            </w:tcBorders>
            <w:shd w:val="clear" w:color="auto" w:fill="E0E0E0"/>
          </w:tcPr>
          <w:p w:rsidR="007E346B" w:rsidRPr="00C32252" w:rsidRDefault="007E346B" w:rsidP="00924A5F">
            <w:pPr>
              <w:autoSpaceDE w:val="0"/>
              <w:autoSpaceDN w:val="0"/>
              <w:adjustRightInd w:val="0"/>
            </w:pPr>
          </w:p>
        </w:tc>
        <w:tc>
          <w:tcPr>
            <w:tcW w:w="2284" w:type="dxa"/>
            <w:vMerge/>
            <w:tcBorders>
              <w:top w:val="single" w:sz="8" w:space="0" w:color="AEAEAE"/>
              <w:left w:val="nil"/>
              <w:bottom w:val="nil"/>
              <w:right w:val="nil"/>
            </w:tcBorders>
            <w:shd w:val="clear" w:color="auto" w:fill="E0E0E0"/>
          </w:tcPr>
          <w:p w:rsidR="007E346B" w:rsidRPr="00C32252" w:rsidRDefault="007E346B" w:rsidP="00924A5F">
            <w:pPr>
              <w:autoSpaceDE w:val="0"/>
              <w:autoSpaceDN w:val="0"/>
              <w:adjustRightInd w:val="0"/>
            </w:pPr>
          </w:p>
        </w:tc>
        <w:tc>
          <w:tcPr>
            <w:tcW w:w="2126"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12.6%</w:t>
            </w:r>
          </w:p>
        </w:tc>
        <w:tc>
          <w:tcPr>
            <w:tcW w:w="1985"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13.0%</w:t>
            </w:r>
          </w:p>
        </w:tc>
        <w:tc>
          <w:tcPr>
            <w:tcW w:w="1701" w:type="dxa"/>
            <w:tcBorders>
              <w:top w:val="single" w:sz="8" w:space="0" w:color="AEAEAE"/>
              <w:left w:val="single" w:sz="4" w:space="0" w:color="auto"/>
              <w:bottom w:val="nil"/>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12.7%</w:t>
            </w:r>
          </w:p>
        </w:tc>
      </w:tr>
      <w:tr w:rsidR="007E346B" w:rsidRPr="00C32252" w:rsidTr="0020359E">
        <w:trPr>
          <w:cantSplit/>
        </w:trPr>
        <w:tc>
          <w:tcPr>
            <w:tcW w:w="3544" w:type="dxa"/>
            <w:gridSpan w:val="2"/>
            <w:vMerge w:val="restart"/>
            <w:tcBorders>
              <w:top w:val="single" w:sz="8" w:space="0" w:color="AEAEAE"/>
              <w:left w:val="single" w:sz="4" w:space="0" w:color="auto"/>
              <w:bottom w:val="single" w:sz="8" w:space="0" w:color="152935"/>
              <w:right w:val="nil"/>
            </w:tcBorders>
            <w:shd w:val="clear" w:color="auto" w:fill="E0E0E0"/>
          </w:tcPr>
          <w:p w:rsidR="007E346B" w:rsidRPr="00C32252" w:rsidRDefault="007E346B" w:rsidP="00924A5F">
            <w:pPr>
              <w:autoSpaceDE w:val="0"/>
              <w:autoSpaceDN w:val="0"/>
              <w:adjustRightInd w:val="0"/>
              <w:ind w:left="60" w:right="60"/>
            </w:pPr>
            <w:r w:rsidRPr="00C32252">
              <w:t>Total</w:t>
            </w:r>
          </w:p>
        </w:tc>
        <w:tc>
          <w:tcPr>
            <w:tcW w:w="2126"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286</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115</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401</w:t>
            </w:r>
          </w:p>
        </w:tc>
      </w:tr>
      <w:tr w:rsidR="007E346B" w:rsidRPr="00C32252" w:rsidTr="0020359E">
        <w:trPr>
          <w:cantSplit/>
        </w:trPr>
        <w:tc>
          <w:tcPr>
            <w:tcW w:w="3544" w:type="dxa"/>
            <w:gridSpan w:val="2"/>
            <w:vMerge/>
            <w:tcBorders>
              <w:top w:val="single" w:sz="8" w:space="0" w:color="AEAEAE"/>
              <w:left w:val="single" w:sz="4" w:space="0" w:color="auto"/>
              <w:bottom w:val="single" w:sz="4" w:space="0" w:color="auto"/>
              <w:right w:val="nil"/>
            </w:tcBorders>
            <w:shd w:val="clear" w:color="auto" w:fill="E0E0E0"/>
          </w:tcPr>
          <w:p w:rsidR="007E346B" w:rsidRPr="00C32252" w:rsidRDefault="007E346B" w:rsidP="00924A5F">
            <w:pPr>
              <w:autoSpaceDE w:val="0"/>
              <w:autoSpaceDN w:val="0"/>
              <w:adjustRightInd w:val="0"/>
            </w:pPr>
          </w:p>
        </w:tc>
        <w:tc>
          <w:tcPr>
            <w:tcW w:w="2126" w:type="dxa"/>
            <w:tcBorders>
              <w:top w:val="single" w:sz="8" w:space="0" w:color="AEAEAE"/>
              <w:left w:val="single" w:sz="4" w:space="0" w:color="auto"/>
              <w:bottom w:val="single" w:sz="4" w:space="0" w:color="auto"/>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100.0%</w:t>
            </w:r>
          </w:p>
        </w:tc>
        <w:tc>
          <w:tcPr>
            <w:tcW w:w="1985" w:type="dxa"/>
            <w:tcBorders>
              <w:top w:val="single" w:sz="8" w:space="0" w:color="AEAEAE"/>
              <w:left w:val="single" w:sz="4" w:space="0" w:color="auto"/>
              <w:bottom w:val="single" w:sz="4" w:space="0" w:color="auto"/>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100.0%</w:t>
            </w:r>
          </w:p>
        </w:tc>
        <w:tc>
          <w:tcPr>
            <w:tcW w:w="1701" w:type="dxa"/>
            <w:tcBorders>
              <w:top w:val="single" w:sz="8" w:space="0" w:color="AEAEAE"/>
              <w:left w:val="single" w:sz="4" w:space="0" w:color="auto"/>
              <w:bottom w:val="single" w:sz="4" w:space="0" w:color="auto"/>
              <w:right w:val="single" w:sz="4" w:space="0" w:color="auto"/>
            </w:tcBorders>
            <w:shd w:val="clear" w:color="auto" w:fill="FFFFFF"/>
          </w:tcPr>
          <w:p w:rsidR="007E346B" w:rsidRPr="00C32252" w:rsidRDefault="007E346B" w:rsidP="00924A5F">
            <w:pPr>
              <w:autoSpaceDE w:val="0"/>
              <w:autoSpaceDN w:val="0"/>
              <w:adjustRightInd w:val="0"/>
              <w:ind w:left="60" w:right="60"/>
              <w:jc w:val="right"/>
            </w:pPr>
            <w:r w:rsidRPr="00C32252">
              <w:t>100.0%</w:t>
            </w:r>
          </w:p>
        </w:tc>
      </w:tr>
    </w:tbl>
    <w:p w:rsidR="002376E8" w:rsidRDefault="002376E8" w:rsidP="001432D2">
      <w:pPr>
        <w:spacing w:line="360" w:lineRule="auto"/>
      </w:pPr>
    </w:p>
    <w:p w:rsidR="00C32252" w:rsidRDefault="002376E8" w:rsidP="001432D2">
      <w:pPr>
        <w:spacing w:line="360" w:lineRule="auto"/>
      </w:pPr>
      <w:r w:rsidRPr="00B25996">
        <w:t xml:space="preserve">Table 4.5 shows household income by community </w:t>
      </w:r>
      <w:r w:rsidR="008B2D50" w:rsidRPr="00B25996">
        <w:t>and court sam</w:t>
      </w:r>
      <w:r w:rsidRPr="00B25996">
        <w:t>ple groups.</w:t>
      </w:r>
      <w:r w:rsidR="00AA5B12">
        <w:t xml:space="preserve"> </w:t>
      </w:r>
      <w:r w:rsidRPr="00B25996">
        <w:t>It appears that community respondents on average re</w:t>
      </w:r>
      <w:r w:rsidRPr="00B25996">
        <w:lastRenderedPageBreak/>
        <w:t>porte</w:t>
      </w:r>
      <w:r w:rsidR="008B2D50" w:rsidRPr="00B25996">
        <w:t>d</w:t>
      </w:r>
      <w:r w:rsidRPr="00B25996">
        <w:t xml:space="preserve"> lower household incomes than court respondents.</w:t>
      </w:r>
      <w:r w:rsidR="00AA5B12">
        <w:t xml:space="preserve"> </w:t>
      </w:r>
      <w:r w:rsidR="008B2D50" w:rsidRPr="00B25996">
        <w:t xml:space="preserve"> For example, 23.1% of court respondents and 56.8% of community respondents indicated household incomes of less than $15,000 and 24.8% of court respondents and 3.2% of community respond</w:t>
      </w:r>
      <w:r w:rsidR="008B2D50" w:rsidRPr="00B25996">
        <w:lastRenderedPageBreak/>
        <w:t>ents indicated household incomes of greater than $70,000.</w:t>
      </w:r>
      <w:r w:rsidR="00AA5B12">
        <w:t xml:space="preserve"> </w:t>
      </w:r>
      <w:r w:rsidR="008B2D50" w:rsidRPr="00B25996">
        <w:t>It should be noted that this does not account for the number of persons in each household.</w:t>
      </w:r>
      <w:r w:rsidR="00AA5B12">
        <w:t xml:space="preserve"> </w:t>
      </w:r>
      <w:r w:rsidR="008B2D50" w:rsidRPr="00B25996">
        <w:t xml:space="preserve">As was shown in Table 1.6, 100% of respondents reporting an income of 15,000 or less had one person households, while 100% of </w:t>
      </w:r>
      <w:r w:rsidR="008B2D50" w:rsidRPr="00B25996">
        <w:lastRenderedPageBreak/>
        <w:t>the respondents reporting household incomes greater than $70,000 also reported having 5 or more family members in their household.</w:t>
      </w:r>
      <w:r w:rsidR="00AA5B12">
        <w:t xml:space="preserve"> </w:t>
      </w:r>
      <w:r w:rsidR="008B2D50" w:rsidRPr="00B25996">
        <w:t>Thus, the differences we see a</w:t>
      </w:r>
      <w:r w:rsidR="00682CE1">
        <w:t xml:space="preserve">re likely reduced </w:t>
      </w:r>
      <w:r w:rsidR="008B2D50" w:rsidRPr="00B25996">
        <w:t>when we account for the number of household members.</w:t>
      </w:r>
      <w:r w:rsidR="00AA5B12">
        <w:t xml:space="preserve"> </w:t>
      </w:r>
      <w:r w:rsidR="008B2D50" w:rsidRPr="00B25996">
        <w:t xml:space="preserve">That is, </w:t>
      </w:r>
      <w:r w:rsidR="008B2D50" w:rsidRPr="00B25996">
        <w:lastRenderedPageBreak/>
        <w:t>it may be that court respondents were more likely to be younger and have families while the community sample</w:t>
      </w:r>
      <w:r w:rsidR="00B25996" w:rsidRPr="00B25996">
        <w:t xml:space="preserve"> may be more likely to be older and living alone.</w:t>
      </w:r>
    </w:p>
    <w:p w:rsidR="003434D8" w:rsidRPr="00B25996" w:rsidRDefault="003434D8" w:rsidP="001432D2">
      <w:pPr>
        <w:spacing w:line="360" w:lineRule="auto"/>
      </w:pPr>
    </w:p>
    <w:p w:rsidR="001432D2" w:rsidRDefault="001432D2">
      <w:r>
        <w:br w:type="page"/>
      </w: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1910"/>
        <w:gridCol w:w="1985"/>
        <w:gridCol w:w="1842"/>
        <w:gridCol w:w="1283"/>
      </w:tblGrid>
      <w:tr w:rsidR="00C32252" w:rsidRPr="001222AD" w:rsidTr="00EE4AF5">
        <w:trPr>
          <w:cantSplit/>
        </w:trPr>
        <w:tc>
          <w:tcPr>
            <w:tcW w:w="8730" w:type="dxa"/>
            <w:gridSpan w:val="5"/>
            <w:tcBorders>
              <w:top w:val="nil"/>
              <w:left w:val="nil"/>
              <w:bottom w:val="single" w:sz="4" w:space="0" w:color="auto"/>
              <w:right w:val="nil"/>
            </w:tcBorders>
            <w:shd w:val="clear" w:color="auto" w:fill="FFFFFF"/>
            <w:vAlign w:val="center"/>
          </w:tcPr>
          <w:p w:rsidR="005B658D" w:rsidRPr="00EB590F" w:rsidRDefault="003C76E0" w:rsidP="00994BDC">
            <w:pPr>
              <w:autoSpaceDE w:val="0"/>
              <w:autoSpaceDN w:val="0"/>
              <w:adjustRightInd w:val="0"/>
              <w:ind w:left="60" w:right="60"/>
              <w:rPr>
                <w:sz w:val="28"/>
                <w:szCs w:val="28"/>
              </w:rPr>
            </w:pPr>
            <w:r>
              <w:rPr>
                <w:b/>
                <w:bCs/>
                <w:sz w:val="28"/>
                <w:szCs w:val="28"/>
              </w:rPr>
              <w:lastRenderedPageBreak/>
              <w:t xml:space="preserve">Table </w:t>
            </w:r>
            <w:r w:rsidR="00C1466C" w:rsidRPr="00EB590F">
              <w:rPr>
                <w:b/>
                <w:bCs/>
                <w:sz w:val="28"/>
                <w:szCs w:val="28"/>
              </w:rPr>
              <w:t>4.5</w:t>
            </w:r>
            <w:r w:rsidR="00994BDC" w:rsidRPr="00EB590F">
              <w:rPr>
                <w:b/>
                <w:bCs/>
                <w:sz w:val="28"/>
                <w:szCs w:val="28"/>
              </w:rPr>
              <w:t xml:space="preserve"> </w:t>
            </w:r>
            <w:r w:rsidR="00613B89">
              <w:rPr>
                <w:b/>
                <w:bCs/>
                <w:sz w:val="28"/>
                <w:szCs w:val="28"/>
              </w:rPr>
              <w:t>Household I</w:t>
            </w:r>
            <w:r w:rsidR="005B658D" w:rsidRPr="00EB590F">
              <w:rPr>
                <w:b/>
                <w:bCs/>
                <w:sz w:val="28"/>
                <w:szCs w:val="28"/>
              </w:rPr>
              <w:t>ncome</w:t>
            </w:r>
            <w:r w:rsidR="00C1466C" w:rsidRPr="00EB590F">
              <w:rPr>
                <w:b/>
                <w:bCs/>
                <w:sz w:val="28"/>
                <w:szCs w:val="28"/>
              </w:rPr>
              <w:t xml:space="preserve"> </w:t>
            </w:r>
            <w:r w:rsidR="00994BDC" w:rsidRPr="00EB590F">
              <w:rPr>
                <w:b/>
                <w:bCs/>
                <w:sz w:val="28"/>
                <w:szCs w:val="28"/>
              </w:rPr>
              <w:t xml:space="preserve">by </w:t>
            </w:r>
            <w:r w:rsidR="00C1466C" w:rsidRPr="00EB590F">
              <w:rPr>
                <w:b/>
                <w:bCs/>
                <w:sz w:val="28"/>
                <w:szCs w:val="28"/>
              </w:rPr>
              <w:t>Sample Type</w:t>
            </w:r>
          </w:p>
        </w:tc>
      </w:tr>
      <w:tr w:rsidR="00B03265" w:rsidRPr="001222AD" w:rsidTr="00EE4AF5">
        <w:trPr>
          <w:cantSplit/>
        </w:trPr>
        <w:tc>
          <w:tcPr>
            <w:tcW w:w="362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rPr>
                <w:b/>
              </w:rPr>
            </w:pPr>
            <w:r w:rsidRPr="001222AD">
              <w:rPr>
                <w:b/>
              </w:rPr>
              <w:t>Survey location</w:t>
            </w:r>
          </w:p>
        </w:tc>
        <w:tc>
          <w:tcPr>
            <w:tcW w:w="1283"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pPr>
            <w:r w:rsidRPr="001222AD">
              <w:t>Total</w:t>
            </w:r>
          </w:p>
        </w:tc>
      </w:tr>
      <w:tr w:rsidR="00B03265" w:rsidRPr="001222AD" w:rsidTr="00EE4AF5">
        <w:trPr>
          <w:cantSplit/>
        </w:trPr>
        <w:tc>
          <w:tcPr>
            <w:tcW w:w="3620" w:type="dxa"/>
            <w:gridSpan w:val="2"/>
            <w:vMerge/>
            <w:tcBorders>
              <w:top w:val="nil"/>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pPr>
          </w:p>
        </w:tc>
        <w:tc>
          <w:tcPr>
            <w:tcW w:w="1985"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rPr>
                <w:b/>
              </w:rPr>
            </w:pPr>
            <w:r w:rsidRPr="001222AD">
              <w:rPr>
                <w:b/>
              </w:rPr>
              <w:t>Court</w:t>
            </w:r>
          </w:p>
        </w:tc>
        <w:tc>
          <w:tcPr>
            <w:tcW w:w="1842"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rPr>
                <w:b/>
              </w:rPr>
            </w:pPr>
            <w:r w:rsidRPr="001222AD">
              <w:rPr>
                <w:b/>
              </w:rPr>
              <w:t>Community</w:t>
            </w:r>
          </w:p>
        </w:tc>
        <w:tc>
          <w:tcPr>
            <w:tcW w:w="1283" w:type="dxa"/>
            <w:vMerge/>
            <w:tcBorders>
              <w:top w:val="nil"/>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pPr>
          </w:p>
        </w:tc>
      </w:tr>
      <w:tr w:rsidR="00B03265" w:rsidRPr="001222AD" w:rsidTr="00EE4AF5">
        <w:trPr>
          <w:cantSplit/>
        </w:trPr>
        <w:tc>
          <w:tcPr>
            <w:tcW w:w="1710" w:type="dxa"/>
            <w:vMerge w:val="restart"/>
            <w:tcBorders>
              <w:top w:val="single" w:sz="8" w:space="0" w:color="152935"/>
              <w:left w:val="single" w:sz="4" w:space="0" w:color="auto"/>
              <w:bottom w:val="nil"/>
              <w:right w:val="nil"/>
            </w:tcBorders>
            <w:shd w:val="clear" w:color="auto" w:fill="E0E0E0"/>
          </w:tcPr>
          <w:p w:rsidR="00994BDC" w:rsidRPr="001222AD" w:rsidRDefault="00994BDC" w:rsidP="00EE4AF5">
            <w:pPr>
              <w:autoSpaceDE w:val="0"/>
              <w:autoSpaceDN w:val="0"/>
              <w:adjustRightInd w:val="0"/>
              <w:ind w:left="60" w:right="60"/>
              <w:rPr>
                <w:b/>
              </w:rPr>
            </w:pPr>
            <w:r w:rsidRPr="001222AD">
              <w:rPr>
                <w:b/>
              </w:rPr>
              <w:t xml:space="preserve">Household income </w:t>
            </w:r>
          </w:p>
        </w:tc>
        <w:tc>
          <w:tcPr>
            <w:tcW w:w="1910" w:type="dxa"/>
            <w:vMerge w:val="restart"/>
            <w:tcBorders>
              <w:top w:val="single" w:sz="8" w:space="0" w:color="152935"/>
              <w:left w:val="nil"/>
              <w:bottom w:val="nil"/>
              <w:right w:val="nil"/>
            </w:tcBorders>
            <w:shd w:val="clear" w:color="auto" w:fill="E0E0E0"/>
          </w:tcPr>
          <w:p w:rsidR="00994BDC" w:rsidRPr="001222AD" w:rsidRDefault="00994BDC" w:rsidP="00924A5F">
            <w:pPr>
              <w:autoSpaceDE w:val="0"/>
              <w:autoSpaceDN w:val="0"/>
              <w:adjustRightInd w:val="0"/>
              <w:ind w:left="60" w:right="60"/>
              <w:rPr>
                <w:b/>
              </w:rPr>
            </w:pPr>
            <w:r w:rsidRPr="001222AD">
              <w:rPr>
                <w:b/>
              </w:rPr>
              <w:t xml:space="preserve">≤ $15,000 </w:t>
            </w:r>
          </w:p>
        </w:tc>
        <w:tc>
          <w:tcPr>
            <w:tcW w:w="1985" w:type="dxa"/>
            <w:tcBorders>
              <w:top w:val="single" w:sz="8" w:space="0" w:color="152935"/>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55</w:t>
            </w:r>
          </w:p>
        </w:tc>
        <w:tc>
          <w:tcPr>
            <w:tcW w:w="1842" w:type="dxa"/>
            <w:tcBorders>
              <w:top w:val="single" w:sz="8" w:space="0" w:color="152935"/>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54</w:t>
            </w:r>
          </w:p>
        </w:tc>
        <w:tc>
          <w:tcPr>
            <w:tcW w:w="1283" w:type="dxa"/>
            <w:tcBorders>
              <w:top w:val="single" w:sz="8" w:space="0" w:color="152935"/>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109</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tcBorders>
              <w:top w:val="single" w:sz="8" w:space="0" w:color="152935"/>
              <w:left w:val="nil"/>
              <w:bottom w:val="nil"/>
              <w:right w:val="nil"/>
            </w:tcBorders>
            <w:shd w:val="clear" w:color="auto" w:fill="E0E0E0"/>
          </w:tcPr>
          <w:p w:rsidR="00994BDC" w:rsidRPr="001222AD" w:rsidRDefault="00994BDC" w:rsidP="00924A5F">
            <w:pPr>
              <w:autoSpaceDE w:val="0"/>
              <w:autoSpaceDN w:val="0"/>
              <w:adjustRightInd w:val="0"/>
              <w:rPr>
                <w:b/>
              </w:rPr>
            </w:pPr>
          </w:p>
        </w:tc>
        <w:tc>
          <w:tcPr>
            <w:tcW w:w="1985"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23.1%</w:t>
            </w:r>
          </w:p>
        </w:tc>
        <w:tc>
          <w:tcPr>
            <w:tcW w:w="1842"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56.8%</w:t>
            </w:r>
          </w:p>
        </w:tc>
        <w:tc>
          <w:tcPr>
            <w:tcW w:w="1283"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32.7%</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val="restart"/>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ind w:left="60" w:right="60"/>
              <w:rPr>
                <w:b/>
              </w:rPr>
            </w:pPr>
            <w:r w:rsidRPr="001222AD">
              <w:rPr>
                <w:b/>
              </w:rPr>
              <w:t>$15,001 - $30,000</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50</w:t>
            </w:r>
          </w:p>
        </w:tc>
        <w:tc>
          <w:tcPr>
            <w:tcW w:w="1842"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23</w:t>
            </w:r>
          </w:p>
        </w:tc>
        <w:tc>
          <w:tcPr>
            <w:tcW w:w="1283"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73</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rPr>
                <w:b/>
              </w:rPr>
            </w:pPr>
          </w:p>
        </w:tc>
        <w:tc>
          <w:tcPr>
            <w:tcW w:w="1985"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21.0%</w:t>
            </w:r>
          </w:p>
        </w:tc>
        <w:tc>
          <w:tcPr>
            <w:tcW w:w="1842"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24.2%</w:t>
            </w:r>
          </w:p>
        </w:tc>
        <w:tc>
          <w:tcPr>
            <w:tcW w:w="1283"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21.9%</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val="restart"/>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ind w:left="60" w:right="60"/>
              <w:rPr>
                <w:b/>
              </w:rPr>
            </w:pPr>
            <w:r w:rsidRPr="001222AD">
              <w:rPr>
                <w:b/>
              </w:rPr>
              <w:t>$30,001 - $50,000</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40</w:t>
            </w:r>
          </w:p>
        </w:tc>
        <w:tc>
          <w:tcPr>
            <w:tcW w:w="1842"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11</w:t>
            </w:r>
          </w:p>
        </w:tc>
        <w:tc>
          <w:tcPr>
            <w:tcW w:w="1283"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51</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rPr>
                <w:b/>
              </w:rPr>
            </w:pPr>
          </w:p>
        </w:tc>
        <w:tc>
          <w:tcPr>
            <w:tcW w:w="1985"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16.8%</w:t>
            </w:r>
          </w:p>
        </w:tc>
        <w:tc>
          <w:tcPr>
            <w:tcW w:w="1842"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11.6%</w:t>
            </w:r>
          </w:p>
        </w:tc>
        <w:tc>
          <w:tcPr>
            <w:tcW w:w="1283"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15.3%</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val="restart"/>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ind w:left="60" w:right="60"/>
              <w:rPr>
                <w:b/>
              </w:rPr>
            </w:pPr>
            <w:r w:rsidRPr="001222AD">
              <w:rPr>
                <w:b/>
              </w:rPr>
              <w:t>$50,001 - $70,000</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34</w:t>
            </w:r>
          </w:p>
        </w:tc>
        <w:tc>
          <w:tcPr>
            <w:tcW w:w="1842"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4</w:t>
            </w:r>
          </w:p>
        </w:tc>
        <w:tc>
          <w:tcPr>
            <w:tcW w:w="1283"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38</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rPr>
                <w:b/>
              </w:rPr>
            </w:pPr>
          </w:p>
        </w:tc>
        <w:tc>
          <w:tcPr>
            <w:tcW w:w="1985"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14.3%</w:t>
            </w:r>
          </w:p>
        </w:tc>
        <w:tc>
          <w:tcPr>
            <w:tcW w:w="1842"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4.2%</w:t>
            </w:r>
          </w:p>
        </w:tc>
        <w:tc>
          <w:tcPr>
            <w:tcW w:w="1283"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11.4%</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rPr>
                <w:b/>
              </w:rPr>
            </w:pPr>
          </w:p>
        </w:tc>
        <w:tc>
          <w:tcPr>
            <w:tcW w:w="1910" w:type="dxa"/>
            <w:vMerge w:val="restart"/>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ind w:left="60" w:right="60"/>
              <w:rPr>
                <w:b/>
              </w:rPr>
            </w:pPr>
            <w:r w:rsidRPr="001222AD">
              <w:rPr>
                <w:b/>
              </w:rPr>
              <w:t>$70,001+</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59</w:t>
            </w:r>
          </w:p>
        </w:tc>
        <w:tc>
          <w:tcPr>
            <w:tcW w:w="1842"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3</w:t>
            </w:r>
          </w:p>
        </w:tc>
        <w:tc>
          <w:tcPr>
            <w:tcW w:w="1283"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62</w:t>
            </w:r>
          </w:p>
        </w:tc>
      </w:tr>
      <w:tr w:rsidR="00B03265" w:rsidRPr="001222AD" w:rsidTr="00EE4AF5">
        <w:trPr>
          <w:cantSplit/>
        </w:trPr>
        <w:tc>
          <w:tcPr>
            <w:tcW w:w="1710" w:type="dxa"/>
            <w:vMerge/>
            <w:tcBorders>
              <w:top w:val="single" w:sz="8" w:space="0" w:color="152935"/>
              <w:left w:val="single" w:sz="4" w:space="0" w:color="auto"/>
              <w:bottom w:val="nil"/>
              <w:right w:val="nil"/>
            </w:tcBorders>
            <w:shd w:val="clear" w:color="auto" w:fill="E0E0E0"/>
          </w:tcPr>
          <w:p w:rsidR="00994BDC" w:rsidRPr="001222AD" w:rsidRDefault="00994BDC" w:rsidP="00924A5F">
            <w:pPr>
              <w:autoSpaceDE w:val="0"/>
              <w:autoSpaceDN w:val="0"/>
              <w:adjustRightInd w:val="0"/>
            </w:pPr>
          </w:p>
        </w:tc>
        <w:tc>
          <w:tcPr>
            <w:tcW w:w="1910" w:type="dxa"/>
            <w:vMerge/>
            <w:tcBorders>
              <w:top w:val="single" w:sz="8" w:space="0" w:color="AEAEAE"/>
              <w:left w:val="nil"/>
              <w:bottom w:val="nil"/>
              <w:right w:val="nil"/>
            </w:tcBorders>
            <w:shd w:val="clear" w:color="auto" w:fill="E0E0E0"/>
          </w:tcPr>
          <w:p w:rsidR="00994BDC" w:rsidRPr="001222AD" w:rsidRDefault="00994BDC" w:rsidP="00924A5F">
            <w:pPr>
              <w:autoSpaceDE w:val="0"/>
              <w:autoSpaceDN w:val="0"/>
              <w:adjustRightInd w:val="0"/>
            </w:pPr>
          </w:p>
        </w:tc>
        <w:tc>
          <w:tcPr>
            <w:tcW w:w="1985"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24.8%</w:t>
            </w:r>
          </w:p>
        </w:tc>
        <w:tc>
          <w:tcPr>
            <w:tcW w:w="1842"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3.2%</w:t>
            </w:r>
          </w:p>
        </w:tc>
        <w:tc>
          <w:tcPr>
            <w:tcW w:w="1283" w:type="dxa"/>
            <w:tcBorders>
              <w:top w:val="single" w:sz="8" w:space="0" w:color="AEAEAE"/>
              <w:left w:val="single" w:sz="4" w:space="0" w:color="auto"/>
              <w:bottom w:val="nil"/>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18.6%</w:t>
            </w:r>
          </w:p>
        </w:tc>
      </w:tr>
      <w:tr w:rsidR="00B03265" w:rsidRPr="001222AD" w:rsidTr="00EE4AF5">
        <w:trPr>
          <w:cantSplit/>
        </w:trPr>
        <w:tc>
          <w:tcPr>
            <w:tcW w:w="3620" w:type="dxa"/>
            <w:gridSpan w:val="2"/>
            <w:vMerge w:val="restart"/>
            <w:tcBorders>
              <w:top w:val="single" w:sz="8" w:space="0" w:color="AEAEAE"/>
              <w:left w:val="single" w:sz="4" w:space="0" w:color="auto"/>
              <w:bottom w:val="single" w:sz="8" w:space="0" w:color="152935"/>
              <w:right w:val="nil"/>
            </w:tcBorders>
            <w:shd w:val="clear" w:color="auto" w:fill="E0E0E0"/>
          </w:tcPr>
          <w:p w:rsidR="00994BDC" w:rsidRPr="001222AD" w:rsidRDefault="00994BDC" w:rsidP="00924A5F">
            <w:pPr>
              <w:autoSpaceDE w:val="0"/>
              <w:autoSpaceDN w:val="0"/>
              <w:adjustRightInd w:val="0"/>
              <w:ind w:left="60" w:right="60"/>
            </w:pPr>
            <w:r w:rsidRPr="001222AD">
              <w:t>Total</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238</w:t>
            </w:r>
          </w:p>
        </w:tc>
        <w:tc>
          <w:tcPr>
            <w:tcW w:w="1842"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95</w:t>
            </w:r>
          </w:p>
        </w:tc>
        <w:tc>
          <w:tcPr>
            <w:tcW w:w="1283" w:type="dxa"/>
            <w:tcBorders>
              <w:top w:val="single" w:sz="8" w:space="0" w:color="AEAEAE"/>
              <w:left w:val="single" w:sz="4" w:space="0" w:color="auto"/>
              <w:bottom w:val="single" w:sz="8" w:space="0" w:color="AEAEAE"/>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333</w:t>
            </w:r>
          </w:p>
        </w:tc>
      </w:tr>
      <w:tr w:rsidR="00B03265" w:rsidRPr="001222AD" w:rsidTr="00EE4AF5">
        <w:trPr>
          <w:cantSplit/>
        </w:trPr>
        <w:tc>
          <w:tcPr>
            <w:tcW w:w="3620" w:type="dxa"/>
            <w:gridSpan w:val="2"/>
            <w:vMerge/>
            <w:tcBorders>
              <w:top w:val="single" w:sz="8" w:space="0" w:color="AEAEAE"/>
              <w:left w:val="single" w:sz="4" w:space="0" w:color="auto"/>
              <w:bottom w:val="single" w:sz="4" w:space="0" w:color="auto"/>
              <w:right w:val="nil"/>
            </w:tcBorders>
            <w:shd w:val="clear" w:color="auto" w:fill="E0E0E0"/>
          </w:tcPr>
          <w:p w:rsidR="00994BDC" w:rsidRPr="001222AD" w:rsidRDefault="00994BDC" w:rsidP="00924A5F">
            <w:pPr>
              <w:autoSpaceDE w:val="0"/>
              <w:autoSpaceDN w:val="0"/>
              <w:adjustRightInd w:val="0"/>
            </w:pPr>
          </w:p>
        </w:tc>
        <w:tc>
          <w:tcPr>
            <w:tcW w:w="1985" w:type="dxa"/>
            <w:tcBorders>
              <w:top w:val="single" w:sz="8" w:space="0" w:color="AEAEAE"/>
              <w:left w:val="single" w:sz="4" w:space="0" w:color="auto"/>
              <w:bottom w:val="single" w:sz="4" w:space="0" w:color="auto"/>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100.0%</w:t>
            </w:r>
          </w:p>
        </w:tc>
        <w:tc>
          <w:tcPr>
            <w:tcW w:w="1842" w:type="dxa"/>
            <w:tcBorders>
              <w:top w:val="single" w:sz="8" w:space="0" w:color="AEAEAE"/>
              <w:left w:val="single" w:sz="4" w:space="0" w:color="auto"/>
              <w:bottom w:val="single" w:sz="4" w:space="0" w:color="auto"/>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100.0%</w:t>
            </w:r>
          </w:p>
        </w:tc>
        <w:tc>
          <w:tcPr>
            <w:tcW w:w="1283" w:type="dxa"/>
            <w:tcBorders>
              <w:top w:val="single" w:sz="8" w:space="0" w:color="AEAEAE"/>
              <w:left w:val="single" w:sz="4" w:space="0" w:color="auto"/>
              <w:bottom w:val="single" w:sz="4" w:space="0" w:color="auto"/>
              <w:right w:val="single" w:sz="4" w:space="0" w:color="auto"/>
            </w:tcBorders>
            <w:shd w:val="clear" w:color="auto" w:fill="FFFFFF"/>
          </w:tcPr>
          <w:p w:rsidR="00994BDC" w:rsidRPr="001222AD" w:rsidRDefault="00994BDC" w:rsidP="00924A5F">
            <w:pPr>
              <w:autoSpaceDE w:val="0"/>
              <w:autoSpaceDN w:val="0"/>
              <w:adjustRightInd w:val="0"/>
              <w:ind w:left="60" w:right="60"/>
              <w:jc w:val="right"/>
            </w:pPr>
            <w:r w:rsidRPr="001222AD">
              <w:t>100.0%</w:t>
            </w:r>
          </w:p>
        </w:tc>
      </w:tr>
    </w:tbl>
    <w:p w:rsidR="005B658D" w:rsidRDefault="005B658D" w:rsidP="001432D2">
      <w:pPr>
        <w:autoSpaceDE w:val="0"/>
        <w:autoSpaceDN w:val="0"/>
        <w:adjustRightInd w:val="0"/>
        <w:spacing w:line="360" w:lineRule="auto"/>
      </w:pPr>
    </w:p>
    <w:p w:rsidR="003A518C" w:rsidRPr="00E20C67" w:rsidRDefault="003A518C" w:rsidP="001432D2">
      <w:pPr>
        <w:autoSpaceDE w:val="0"/>
        <w:autoSpaceDN w:val="0"/>
        <w:adjustRightInd w:val="0"/>
        <w:spacing w:line="360" w:lineRule="auto"/>
        <w:ind w:left="60" w:right="60"/>
        <w:rPr>
          <w:b/>
          <w:bCs/>
          <w:i/>
          <w:sz w:val="28"/>
          <w:szCs w:val="28"/>
        </w:rPr>
      </w:pPr>
      <w:r w:rsidRPr="00E20C67">
        <w:rPr>
          <w:b/>
          <w:bCs/>
          <w:i/>
          <w:sz w:val="28"/>
          <w:szCs w:val="28"/>
        </w:rPr>
        <w:t>Fine Information</w:t>
      </w:r>
      <w:r>
        <w:rPr>
          <w:b/>
          <w:bCs/>
          <w:i/>
          <w:sz w:val="28"/>
          <w:szCs w:val="28"/>
        </w:rPr>
        <w:t>:</w:t>
      </w:r>
      <w:r w:rsidRPr="00E20C67">
        <w:rPr>
          <w:b/>
          <w:bCs/>
          <w:i/>
          <w:sz w:val="28"/>
          <w:szCs w:val="28"/>
        </w:rPr>
        <w:t xml:space="preserve"> Court and Community Sample</w:t>
      </w:r>
    </w:p>
    <w:p w:rsidR="003A518C" w:rsidRDefault="003A518C" w:rsidP="001432D2">
      <w:pPr>
        <w:autoSpaceDE w:val="0"/>
        <w:autoSpaceDN w:val="0"/>
        <w:adjustRightInd w:val="0"/>
        <w:spacing w:line="360" w:lineRule="auto"/>
        <w:rPr>
          <w:bCs/>
        </w:rPr>
      </w:pPr>
    </w:p>
    <w:p w:rsidR="003A518C" w:rsidRDefault="003A518C" w:rsidP="001432D2">
      <w:pPr>
        <w:autoSpaceDE w:val="0"/>
        <w:autoSpaceDN w:val="0"/>
        <w:adjustRightInd w:val="0"/>
        <w:spacing w:line="360" w:lineRule="auto"/>
        <w:rPr>
          <w:bCs/>
        </w:rPr>
      </w:pPr>
      <w:r w:rsidRPr="000912CA">
        <w:rPr>
          <w:bCs/>
        </w:rPr>
        <w:lastRenderedPageBreak/>
        <w:t>Table 4.6 shows that number of fines respondents reported in each of the two sample groups.</w:t>
      </w:r>
      <w:r w:rsidR="00AA5B12">
        <w:rPr>
          <w:bCs/>
        </w:rPr>
        <w:t xml:space="preserve"> </w:t>
      </w:r>
      <w:r w:rsidRPr="000912CA">
        <w:rPr>
          <w:bCs/>
        </w:rPr>
        <w:t>Court respondents when compared to community respondents tended to have fewer fines over the past year.</w:t>
      </w:r>
      <w:r w:rsidR="00AA5B12">
        <w:rPr>
          <w:bCs/>
        </w:rPr>
        <w:t xml:space="preserve"> </w:t>
      </w:r>
      <w:r w:rsidRPr="000912CA">
        <w:rPr>
          <w:bCs/>
        </w:rPr>
        <w:t>91.3% of court respondents and 67.7</w:t>
      </w:r>
      <w:r w:rsidR="00D44B90">
        <w:rPr>
          <w:bCs/>
        </w:rPr>
        <w:t>%</w:t>
      </w:r>
      <w:r w:rsidR="00D44B90" w:rsidRPr="000912CA">
        <w:rPr>
          <w:bCs/>
        </w:rPr>
        <w:t xml:space="preserve"> </w:t>
      </w:r>
      <w:r w:rsidRPr="000912CA">
        <w:rPr>
          <w:bCs/>
        </w:rPr>
        <w:t xml:space="preserve">of community respondents indicated they </w:t>
      </w:r>
      <w:r w:rsidRPr="000912CA">
        <w:rPr>
          <w:bCs/>
        </w:rPr>
        <w:lastRenderedPageBreak/>
        <w:t>had received between 1-5 fines over the past year.</w:t>
      </w:r>
      <w:r w:rsidR="00AA5B12">
        <w:rPr>
          <w:bCs/>
        </w:rPr>
        <w:t xml:space="preserve"> </w:t>
      </w:r>
      <w:r w:rsidRPr="000912CA">
        <w:rPr>
          <w:bCs/>
        </w:rPr>
        <w:t>By contrast, 8.7% of court respondents indicated have 6 or more fines during the last year while 32.3% of community respondents reported having 6 or more fines over the last year.</w:t>
      </w:r>
      <w:r w:rsidR="00AA5B12">
        <w:rPr>
          <w:bCs/>
        </w:rPr>
        <w:t xml:space="preserve"> </w:t>
      </w:r>
      <w:r w:rsidRPr="000912CA">
        <w:rPr>
          <w:bCs/>
        </w:rPr>
        <w:t xml:space="preserve">Of community </w:t>
      </w:r>
      <w:r w:rsidRPr="000912CA">
        <w:rPr>
          <w:bCs/>
        </w:rPr>
        <w:lastRenderedPageBreak/>
        <w:t>respondents, 13.1% reported</w:t>
      </w:r>
      <w:r w:rsidR="001432D2">
        <w:rPr>
          <w:bCs/>
        </w:rPr>
        <w:t xml:space="preserve"> having 6-10 fines. </w:t>
      </w:r>
    </w:p>
    <w:p w:rsidR="001432D2" w:rsidRDefault="001432D2" w:rsidP="001432D2">
      <w:pPr>
        <w:autoSpaceDE w:val="0"/>
        <w:autoSpaceDN w:val="0"/>
        <w:adjustRightInd w:val="0"/>
        <w:spacing w:line="360" w:lineRule="auto"/>
        <w:rPr>
          <w:bCs/>
        </w:rPr>
      </w:pPr>
    </w:p>
    <w:tbl>
      <w:tblPr>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0"/>
        <w:gridCol w:w="1220"/>
        <w:gridCol w:w="2171"/>
        <w:gridCol w:w="1995"/>
        <w:gridCol w:w="1783"/>
      </w:tblGrid>
      <w:tr w:rsidR="001432D2" w:rsidRPr="003A518C" w:rsidTr="00EE4AF5">
        <w:trPr>
          <w:cantSplit/>
        </w:trPr>
        <w:tc>
          <w:tcPr>
            <w:tcW w:w="8679" w:type="dxa"/>
            <w:gridSpan w:val="5"/>
            <w:tcBorders>
              <w:top w:val="nil"/>
              <w:left w:val="nil"/>
              <w:bottom w:val="single" w:sz="4" w:space="0" w:color="auto"/>
              <w:right w:val="nil"/>
            </w:tcBorders>
            <w:shd w:val="clear" w:color="auto" w:fill="FFFFFF"/>
            <w:vAlign w:val="center"/>
          </w:tcPr>
          <w:p w:rsidR="001432D2" w:rsidRPr="003A518C" w:rsidRDefault="003C76E0" w:rsidP="001044DB">
            <w:pPr>
              <w:autoSpaceDE w:val="0"/>
              <w:autoSpaceDN w:val="0"/>
              <w:adjustRightInd w:val="0"/>
              <w:ind w:left="60" w:right="60"/>
              <w:rPr>
                <w:b/>
                <w:sz w:val="28"/>
                <w:szCs w:val="28"/>
              </w:rPr>
            </w:pPr>
            <w:r>
              <w:rPr>
                <w:b/>
                <w:bCs/>
                <w:sz w:val="28"/>
                <w:szCs w:val="28"/>
              </w:rPr>
              <w:t xml:space="preserve">Table </w:t>
            </w:r>
            <w:r w:rsidR="001044DB">
              <w:rPr>
                <w:b/>
                <w:bCs/>
                <w:color w:val="000000" w:themeColor="text1"/>
                <w:sz w:val="28"/>
                <w:szCs w:val="28"/>
              </w:rPr>
              <w:t>4.6 Number of F</w:t>
            </w:r>
            <w:r w:rsidR="001432D2" w:rsidRPr="003A518C">
              <w:rPr>
                <w:b/>
                <w:bCs/>
                <w:color w:val="000000" w:themeColor="text1"/>
                <w:sz w:val="28"/>
                <w:szCs w:val="28"/>
              </w:rPr>
              <w:t>ines by Sample Type</w:t>
            </w:r>
          </w:p>
        </w:tc>
      </w:tr>
      <w:tr w:rsidR="001432D2" w:rsidRPr="000023F1" w:rsidTr="00EE4AF5">
        <w:trPr>
          <w:cantSplit/>
        </w:trPr>
        <w:tc>
          <w:tcPr>
            <w:tcW w:w="273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r w:rsidRPr="000023F1">
              <w:rPr>
                <w:b/>
              </w:rPr>
              <w:t>Number of fines</w:t>
            </w:r>
          </w:p>
        </w:tc>
        <w:tc>
          <w:tcPr>
            <w:tcW w:w="4166" w:type="dxa"/>
            <w:gridSpan w:val="2"/>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Survey location</w:t>
            </w:r>
          </w:p>
        </w:tc>
        <w:tc>
          <w:tcPr>
            <w:tcW w:w="1783" w:type="dxa"/>
            <w:vMerge w:val="restart"/>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pPr>
            <w:r w:rsidRPr="000023F1">
              <w:t>Total</w:t>
            </w:r>
          </w:p>
        </w:tc>
      </w:tr>
      <w:tr w:rsidR="001432D2" w:rsidRPr="000023F1" w:rsidTr="00EE4AF5">
        <w:trPr>
          <w:cantSplit/>
        </w:trPr>
        <w:tc>
          <w:tcPr>
            <w:tcW w:w="2730" w:type="dxa"/>
            <w:gridSpan w:val="2"/>
            <w:vMerge/>
            <w:tcBorders>
              <w:top w:val="nil"/>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c>
          <w:tcPr>
            <w:tcW w:w="2171" w:type="dxa"/>
            <w:tcBorders>
              <w:top w:val="single" w:sz="4" w:space="0" w:color="auto"/>
              <w:left w:val="single" w:sz="4" w:space="0" w:color="auto"/>
              <w:bottom w:val="single" w:sz="8" w:space="0" w:color="152935"/>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Court</w:t>
            </w:r>
          </w:p>
        </w:tc>
        <w:tc>
          <w:tcPr>
            <w:tcW w:w="1995" w:type="dxa"/>
            <w:tcBorders>
              <w:top w:val="single" w:sz="4" w:space="0" w:color="auto"/>
              <w:left w:val="single" w:sz="4" w:space="0" w:color="auto"/>
              <w:bottom w:val="single" w:sz="8" w:space="0" w:color="152935"/>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Community</w:t>
            </w:r>
          </w:p>
        </w:tc>
        <w:tc>
          <w:tcPr>
            <w:tcW w:w="1783" w:type="dxa"/>
            <w:vMerge/>
            <w:tcBorders>
              <w:top w:val="nil"/>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r>
      <w:tr w:rsidR="001432D2" w:rsidRPr="000023F1" w:rsidTr="00EE4AF5">
        <w:trPr>
          <w:cantSplit/>
        </w:trPr>
        <w:tc>
          <w:tcPr>
            <w:tcW w:w="1510" w:type="dxa"/>
            <w:vMerge w:val="restart"/>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ind w:left="60" w:right="60"/>
              <w:rPr>
                <w:b/>
              </w:rPr>
            </w:pPr>
          </w:p>
        </w:tc>
        <w:tc>
          <w:tcPr>
            <w:tcW w:w="1220" w:type="dxa"/>
            <w:vMerge w:val="restart"/>
            <w:tcBorders>
              <w:top w:val="single" w:sz="8" w:space="0" w:color="152935"/>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1-5 fines</w:t>
            </w:r>
          </w:p>
        </w:tc>
        <w:tc>
          <w:tcPr>
            <w:tcW w:w="2171"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167</w:t>
            </w:r>
          </w:p>
        </w:tc>
        <w:tc>
          <w:tcPr>
            <w:tcW w:w="1995"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67</w:t>
            </w:r>
          </w:p>
        </w:tc>
        <w:tc>
          <w:tcPr>
            <w:tcW w:w="1783"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234</w:t>
            </w:r>
          </w:p>
        </w:tc>
      </w:tr>
      <w:tr w:rsidR="001432D2" w:rsidRPr="000023F1" w:rsidTr="00EE4AF5">
        <w:trPr>
          <w:cantSplit/>
        </w:trPr>
        <w:tc>
          <w:tcPr>
            <w:tcW w:w="1510"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1220" w:type="dxa"/>
            <w:vMerge/>
            <w:tcBorders>
              <w:top w:val="single" w:sz="8" w:space="0" w:color="152935"/>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2171"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91.3%</w:t>
            </w:r>
          </w:p>
        </w:tc>
        <w:tc>
          <w:tcPr>
            <w:tcW w:w="1995"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67.7%</w:t>
            </w:r>
          </w:p>
        </w:tc>
        <w:tc>
          <w:tcPr>
            <w:tcW w:w="178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83.0%</w:t>
            </w:r>
          </w:p>
        </w:tc>
      </w:tr>
      <w:tr w:rsidR="001432D2" w:rsidRPr="000023F1" w:rsidTr="00EE4AF5">
        <w:trPr>
          <w:cantSplit/>
        </w:trPr>
        <w:tc>
          <w:tcPr>
            <w:tcW w:w="1510"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1220"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6-10 fines</w:t>
            </w:r>
          </w:p>
        </w:tc>
        <w:tc>
          <w:tcPr>
            <w:tcW w:w="2171"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11</w:t>
            </w:r>
          </w:p>
        </w:tc>
        <w:tc>
          <w:tcPr>
            <w:tcW w:w="1995"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13</w:t>
            </w:r>
          </w:p>
        </w:tc>
        <w:tc>
          <w:tcPr>
            <w:tcW w:w="178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24</w:t>
            </w:r>
          </w:p>
        </w:tc>
      </w:tr>
      <w:tr w:rsidR="001432D2" w:rsidRPr="000023F1" w:rsidTr="00EE4AF5">
        <w:trPr>
          <w:cantSplit/>
        </w:trPr>
        <w:tc>
          <w:tcPr>
            <w:tcW w:w="1510"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1220"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2171"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6.0%</w:t>
            </w:r>
          </w:p>
        </w:tc>
        <w:tc>
          <w:tcPr>
            <w:tcW w:w="1995"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13.1%</w:t>
            </w:r>
          </w:p>
        </w:tc>
        <w:tc>
          <w:tcPr>
            <w:tcW w:w="178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8.5%</w:t>
            </w:r>
          </w:p>
        </w:tc>
      </w:tr>
      <w:tr w:rsidR="001432D2" w:rsidRPr="000023F1" w:rsidTr="00EE4AF5">
        <w:trPr>
          <w:cantSplit/>
        </w:trPr>
        <w:tc>
          <w:tcPr>
            <w:tcW w:w="1510"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1220"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11+ fines</w:t>
            </w:r>
          </w:p>
        </w:tc>
        <w:tc>
          <w:tcPr>
            <w:tcW w:w="2171"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5</w:t>
            </w:r>
          </w:p>
        </w:tc>
        <w:tc>
          <w:tcPr>
            <w:tcW w:w="1995"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19</w:t>
            </w:r>
          </w:p>
        </w:tc>
        <w:tc>
          <w:tcPr>
            <w:tcW w:w="178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24</w:t>
            </w:r>
          </w:p>
        </w:tc>
      </w:tr>
      <w:tr w:rsidR="001432D2" w:rsidRPr="000023F1" w:rsidTr="00EE4AF5">
        <w:trPr>
          <w:cantSplit/>
        </w:trPr>
        <w:tc>
          <w:tcPr>
            <w:tcW w:w="1510"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pPr>
          </w:p>
        </w:tc>
        <w:tc>
          <w:tcPr>
            <w:tcW w:w="1220"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pPr>
          </w:p>
        </w:tc>
        <w:tc>
          <w:tcPr>
            <w:tcW w:w="2171"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2.7%</w:t>
            </w:r>
          </w:p>
        </w:tc>
        <w:tc>
          <w:tcPr>
            <w:tcW w:w="1995"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19.2%</w:t>
            </w:r>
          </w:p>
        </w:tc>
        <w:tc>
          <w:tcPr>
            <w:tcW w:w="178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8.5%</w:t>
            </w:r>
          </w:p>
        </w:tc>
      </w:tr>
      <w:tr w:rsidR="001432D2" w:rsidRPr="000023F1" w:rsidTr="00EE4AF5">
        <w:trPr>
          <w:cantSplit/>
        </w:trPr>
        <w:tc>
          <w:tcPr>
            <w:tcW w:w="2730" w:type="dxa"/>
            <w:gridSpan w:val="2"/>
            <w:vMerge w:val="restart"/>
            <w:tcBorders>
              <w:top w:val="single" w:sz="8" w:space="0" w:color="AEAEAE"/>
              <w:left w:val="single" w:sz="4" w:space="0" w:color="auto"/>
              <w:bottom w:val="single" w:sz="8" w:space="0" w:color="152935"/>
              <w:right w:val="nil"/>
            </w:tcBorders>
            <w:shd w:val="clear" w:color="auto" w:fill="E0E0E0"/>
          </w:tcPr>
          <w:p w:rsidR="001432D2" w:rsidRPr="000023F1" w:rsidRDefault="001432D2" w:rsidP="001044DB">
            <w:pPr>
              <w:autoSpaceDE w:val="0"/>
              <w:autoSpaceDN w:val="0"/>
              <w:adjustRightInd w:val="0"/>
              <w:ind w:left="60" w:right="60"/>
            </w:pPr>
            <w:r w:rsidRPr="000023F1">
              <w:t>Total</w:t>
            </w:r>
          </w:p>
        </w:tc>
        <w:tc>
          <w:tcPr>
            <w:tcW w:w="2171"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183</w:t>
            </w:r>
          </w:p>
        </w:tc>
        <w:tc>
          <w:tcPr>
            <w:tcW w:w="1995"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99</w:t>
            </w:r>
          </w:p>
        </w:tc>
        <w:tc>
          <w:tcPr>
            <w:tcW w:w="178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282</w:t>
            </w:r>
          </w:p>
        </w:tc>
      </w:tr>
      <w:tr w:rsidR="001432D2" w:rsidRPr="000023F1" w:rsidTr="00EE4AF5">
        <w:trPr>
          <w:cantSplit/>
        </w:trPr>
        <w:tc>
          <w:tcPr>
            <w:tcW w:w="2730" w:type="dxa"/>
            <w:gridSpan w:val="2"/>
            <w:vMerge/>
            <w:tcBorders>
              <w:top w:val="single" w:sz="8" w:space="0" w:color="AEAEAE"/>
              <w:left w:val="single" w:sz="4" w:space="0" w:color="auto"/>
              <w:bottom w:val="single" w:sz="4" w:space="0" w:color="auto"/>
              <w:right w:val="nil"/>
            </w:tcBorders>
            <w:shd w:val="clear" w:color="auto" w:fill="E0E0E0"/>
          </w:tcPr>
          <w:p w:rsidR="001432D2" w:rsidRPr="000023F1" w:rsidRDefault="001432D2" w:rsidP="001044DB">
            <w:pPr>
              <w:autoSpaceDE w:val="0"/>
              <w:autoSpaceDN w:val="0"/>
              <w:adjustRightInd w:val="0"/>
            </w:pPr>
          </w:p>
        </w:tc>
        <w:tc>
          <w:tcPr>
            <w:tcW w:w="2171"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c>
          <w:tcPr>
            <w:tcW w:w="1995"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c>
          <w:tcPr>
            <w:tcW w:w="1783"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r>
    </w:tbl>
    <w:p w:rsidR="001432D2" w:rsidRDefault="001432D2" w:rsidP="001432D2">
      <w:pPr>
        <w:autoSpaceDE w:val="0"/>
        <w:autoSpaceDN w:val="0"/>
        <w:adjustRightInd w:val="0"/>
        <w:spacing w:line="360" w:lineRule="auto"/>
      </w:pPr>
    </w:p>
    <w:p w:rsidR="001432D2" w:rsidRDefault="001432D2" w:rsidP="001432D2">
      <w:pPr>
        <w:spacing w:line="360" w:lineRule="auto"/>
      </w:pPr>
      <w:r w:rsidRPr="002B7B11">
        <w:t>Table 4.7 shows the place in which respondents received their most recent fine.</w:t>
      </w:r>
      <w:r>
        <w:t xml:space="preserve"> </w:t>
      </w:r>
      <w:r w:rsidRPr="002B7B11">
        <w:t xml:space="preserve">Court </w:t>
      </w:r>
      <w:r w:rsidRPr="002B7B11">
        <w:lastRenderedPageBreak/>
        <w:t>respondents were only slightly more likely to report receiving their fine while at home (13.4% of cases) or on transit (50.6% of cases) when compared to the community group (8.2% and 46.9% respectively).</w:t>
      </w:r>
      <w:r>
        <w:t xml:space="preserve"> </w:t>
      </w:r>
      <w:r w:rsidRPr="002B7B11">
        <w:t xml:space="preserve">The community sample appeared to be slightly more likely to report </w:t>
      </w:r>
      <w:r w:rsidRPr="002B7B11">
        <w:lastRenderedPageBreak/>
        <w:t xml:space="preserve">having received their most recent fine in a public location (38.8% of cases) compared to the court sample (27.6% of cases). </w:t>
      </w:r>
    </w:p>
    <w:p w:rsidR="001432D2" w:rsidRDefault="001432D2" w:rsidP="001432D2">
      <w:pPr>
        <w:spacing w:line="360" w:lineRule="auto"/>
      </w:pPr>
    </w:p>
    <w:tbl>
      <w:tblPr>
        <w:tblW w:w="9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3"/>
        <w:gridCol w:w="2221"/>
        <w:gridCol w:w="1843"/>
        <w:gridCol w:w="1843"/>
        <w:gridCol w:w="1974"/>
      </w:tblGrid>
      <w:tr w:rsidR="001432D2" w:rsidRPr="00C221F3" w:rsidTr="00EE4AF5">
        <w:trPr>
          <w:cantSplit/>
          <w:trHeight w:val="323"/>
        </w:trPr>
        <w:tc>
          <w:tcPr>
            <w:tcW w:w="9134" w:type="dxa"/>
            <w:gridSpan w:val="5"/>
            <w:tcBorders>
              <w:top w:val="nil"/>
              <w:left w:val="nil"/>
              <w:bottom w:val="single" w:sz="4" w:space="0" w:color="auto"/>
              <w:right w:val="nil"/>
            </w:tcBorders>
            <w:shd w:val="clear" w:color="auto" w:fill="FFFFFF"/>
            <w:vAlign w:val="center"/>
          </w:tcPr>
          <w:p w:rsidR="001432D2" w:rsidRPr="00C221F3" w:rsidRDefault="003C76E0" w:rsidP="001044DB">
            <w:pPr>
              <w:autoSpaceDE w:val="0"/>
              <w:autoSpaceDN w:val="0"/>
              <w:adjustRightInd w:val="0"/>
              <w:ind w:left="60" w:right="60"/>
              <w:rPr>
                <w:sz w:val="28"/>
                <w:szCs w:val="28"/>
              </w:rPr>
            </w:pPr>
            <w:r>
              <w:rPr>
                <w:b/>
                <w:bCs/>
                <w:sz w:val="28"/>
                <w:szCs w:val="28"/>
              </w:rPr>
              <w:t xml:space="preserve">Table </w:t>
            </w:r>
            <w:r w:rsidR="001432D2">
              <w:rPr>
                <w:b/>
                <w:bCs/>
                <w:sz w:val="28"/>
                <w:szCs w:val="28"/>
              </w:rPr>
              <w:t>4.7</w:t>
            </w:r>
            <w:r w:rsidR="001432D2" w:rsidRPr="00C221F3">
              <w:rPr>
                <w:b/>
                <w:bCs/>
                <w:sz w:val="28"/>
                <w:szCs w:val="28"/>
              </w:rPr>
              <w:t xml:space="preserve"> Place fined by Sample Type</w:t>
            </w:r>
          </w:p>
        </w:tc>
      </w:tr>
      <w:tr w:rsidR="001432D2" w:rsidRPr="000023F1" w:rsidTr="00EE4AF5">
        <w:trPr>
          <w:cantSplit/>
          <w:trHeight w:val="262"/>
        </w:trPr>
        <w:tc>
          <w:tcPr>
            <w:tcW w:w="3474"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Survey location</w:t>
            </w:r>
          </w:p>
        </w:tc>
        <w:tc>
          <w:tcPr>
            <w:tcW w:w="1974" w:type="dxa"/>
            <w:vMerge w:val="restart"/>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pPr>
            <w:r w:rsidRPr="000023F1">
              <w:t>Total</w:t>
            </w:r>
          </w:p>
        </w:tc>
      </w:tr>
      <w:tr w:rsidR="001432D2" w:rsidRPr="000023F1" w:rsidTr="00EE4AF5">
        <w:trPr>
          <w:cantSplit/>
          <w:trHeight w:val="262"/>
        </w:trPr>
        <w:tc>
          <w:tcPr>
            <w:tcW w:w="3474" w:type="dxa"/>
            <w:gridSpan w:val="2"/>
            <w:vMerge/>
            <w:tcBorders>
              <w:top w:val="nil"/>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c>
          <w:tcPr>
            <w:tcW w:w="1843" w:type="dxa"/>
            <w:tcBorders>
              <w:top w:val="single" w:sz="4" w:space="0" w:color="auto"/>
              <w:left w:val="single" w:sz="4" w:space="0" w:color="auto"/>
              <w:bottom w:val="single" w:sz="8" w:space="0" w:color="152935"/>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Court</w:t>
            </w:r>
          </w:p>
        </w:tc>
        <w:tc>
          <w:tcPr>
            <w:tcW w:w="1843" w:type="dxa"/>
            <w:tcBorders>
              <w:top w:val="single" w:sz="4" w:space="0" w:color="auto"/>
              <w:left w:val="single" w:sz="4" w:space="0" w:color="auto"/>
              <w:bottom w:val="single" w:sz="8" w:space="0" w:color="152935"/>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Community</w:t>
            </w:r>
          </w:p>
        </w:tc>
        <w:tc>
          <w:tcPr>
            <w:tcW w:w="1974" w:type="dxa"/>
            <w:vMerge/>
            <w:tcBorders>
              <w:top w:val="nil"/>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r>
      <w:tr w:rsidR="001432D2" w:rsidRPr="000023F1" w:rsidTr="00EE4AF5">
        <w:trPr>
          <w:cantSplit/>
          <w:trHeight w:val="262"/>
        </w:trPr>
        <w:tc>
          <w:tcPr>
            <w:tcW w:w="1253" w:type="dxa"/>
            <w:vMerge w:val="restart"/>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Place fined</w:t>
            </w:r>
          </w:p>
        </w:tc>
        <w:tc>
          <w:tcPr>
            <w:tcW w:w="2221" w:type="dxa"/>
            <w:vMerge w:val="restart"/>
            <w:tcBorders>
              <w:top w:val="single" w:sz="8" w:space="0" w:color="152935"/>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At my home</w:t>
            </w:r>
          </w:p>
        </w:tc>
        <w:tc>
          <w:tcPr>
            <w:tcW w:w="1843"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35</w:t>
            </w:r>
          </w:p>
        </w:tc>
        <w:tc>
          <w:tcPr>
            <w:tcW w:w="1843"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8</w:t>
            </w:r>
          </w:p>
        </w:tc>
        <w:tc>
          <w:tcPr>
            <w:tcW w:w="1974"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43</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21" w:type="dxa"/>
            <w:vMerge/>
            <w:tcBorders>
              <w:top w:val="single" w:sz="8" w:space="0" w:color="152935"/>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13.4%</w:t>
            </w: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8.2%</w:t>
            </w:r>
          </w:p>
        </w:tc>
        <w:tc>
          <w:tcPr>
            <w:tcW w:w="197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12.0%</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21"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In a public location</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72</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38</w:t>
            </w:r>
          </w:p>
        </w:tc>
        <w:tc>
          <w:tcPr>
            <w:tcW w:w="197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110</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21"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27.6%</w:t>
            </w: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38.8%</w:t>
            </w:r>
          </w:p>
        </w:tc>
        <w:tc>
          <w:tcPr>
            <w:tcW w:w="197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30.6%</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21"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While on transit</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132</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46</w:t>
            </w:r>
          </w:p>
        </w:tc>
        <w:tc>
          <w:tcPr>
            <w:tcW w:w="197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178</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21"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50.6%</w:t>
            </w: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46.9%</w:t>
            </w:r>
          </w:p>
        </w:tc>
        <w:tc>
          <w:tcPr>
            <w:tcW w:w="197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49.6%</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21"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Other</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22</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w:t>
            </w:r>
          </w:p>
        </w:tc>
        <w:tc>
          <w:tcPr>
            <w:tcW w:w="197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28</w:t>
            </w:r>
          </w:p>
        </w:tc>
      </w:tr>
      <w:tr w:rsidR="001432D2" w:rsidRPr="000023F1" w:rsidTr="00EE4AF5">
        <w:trPr>
          <w:cantSplit/>
          <w:trHeight w:val="262"/>
        </w:trPr>
        <w:tc>
          <w:tcPr>
            <w:tcW w:w="1253"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pPr>
          </w:p>
        </w:tc>
        <w:tc>
          <w:tcPr>
            <w:tcW w:w="2221"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pP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8.4%</w:t>
            </w:r>
          </w:p>
        </w:tc>
        <w:tc>
          <w:tcPr>
            <w:tcW w:w="1843"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6.1%</w:t>
            </w:r>
          </w:p>
        </w:tc>
        <w:tc>
          <w:tcPr>
            <w:tcW w:w="197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7.8%</w:t>
            </w:r>
          </w:p>
        </w:tc>
      </w:tr>
      <w:tr w:rsidR="001432D2" w:rsidRPr="000023F1" w:rsidTr="00EE4AF5">
        <w:trPr>
          <w:cantSplit/>
          <w:trHeight w:val="283"/>
        </w:trPr>
        <w:tc>
          <w:tcPr>
            <w:tcW w:w="3474" w:type="dxa"/>
            <w:gridSpan w:val="2"/>
            <w:vMerge w:val="restart"/>
            <w:tcBorders>
              <w:top w:val="single" w:sz="8" w:space="0" w:color="AEAEAE"/>
              <w:left w:val="single" w:sz="4" w:space="0" w:color="auto"/>
              <w:bottom w:val="single" w:sz="8" w:space="0" w:color="152935"/>
              <w:right w:val="nil"/>
            </w:tcBorders>
            <w:shd w:val="clear" w:color="auto" w:fill="E0E0E0"/>
          </w:tcPr>
          <w:p w:rsidR="001432D2" w:rsidRPr="000023F1" w:rsidRDefault="001432D2" w:rsidP="001044DB">
            <w:pPr>
              <w:autoSpaceDE w:val="0"/>
              <w:autoSpaceDN w:val="0"/>
              <w:adjustRightInd w:val="0"/>
              <w:ind w:left="60" w:right="60"/>
            </w:pPr>
            <w:r w:rsidRPr="000023F1">
              <w:t>Total</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261</w:t>
            </w:r>
          </w:p>
        </w:tc>
        <w:tc>
          <w:tcPr>
            <w:tcW w:w="1843"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98</w:t>
            </w:r>
          </w:p>
        </w:tc>
        <w:tc>
          <w:tcPr>
            <w:tcW w:w="197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359</w:t>
            </w:r>
          </w:p>
        </w:tc>
      </w:tr>
      <w:tr w:rsidR="001432D2" w:rsidRPr="000023F1" w:rsidTr="00EE4AF5">
        <w:trPr>
          <w:cantSplit/>
          <w:trHeight w:val="283"/>
        </w:trPr>
        <w:tc>
          <w:tcPr>
            <w:tcW w:w="3474" w:type="dxa"/>
            <w:gridSpan w:val="2"/>
            <w:vMerge/>
            <w:tcBorders>
              <w:top w:val="single" w:sz="8" w:space="0" w:color="AEAEAE"/>
              <w:left w:val="single" w:sz="4" w:space="0" w:color="auto"/>
              <w:bottom w:val="single" w:sz="4" w:space="0" w:color="auto"/>
              <w:right w:val="nil"/>
            </w:tcBorders>
            <w:shd w:val="clear" w:color="auto" w:fill="E0E0E0"/>
          </w:tcPr>
          <w:p w:rsidR="001432D2" w:rsidRPr="000023F1" w:rsidRDefault="001432D2" w:rsidP="001044DB">
            <w:pPr>
              <w:autoSpaceDE w:val="0"/>
              <w:autoSpaceDN w:val="0"/>
              <w:adjustRightInd w:val="0"/>
            </w:pPr>
          </w:p>
        </w:tc>
        <w:tc>
          <w:tcPr>
            <w:tcW w:w="1843"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c>
          <w:tcPr>
            <w:tcW w:w="1843"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c>
          <w:tcPr>
            <w:tcW w:w="1974"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r>
    </w:tbl>
    <w:p w:rsidR="001432D2" w:rsidRDefault="001432D2" w:rsidP="001432D2">
      <w:pPr>
        <w:spacing w:line="360" w:lineRule="auto"/>
      </w:pPr>
    </w:p>
    <w:p w:rsidR="001432D2" w:rsidRDefault="001432D2" w:rsidP="001432D2">
      <w:pPr>
        <w:spacing w:line="360" w:lineRule="auto"/>
        <w:rPr>
          <w:rFonts w:eastAsia="Times New Roman"/>
          <w:bCs/>
          <w:lang w:eastAsia="en-CA"/>
        </w:rPr>
      </w:pPr>
      <w:r w:rsidRPr="002B7B11">
        <w:rPr>
          <w:rFonts w:eastAsia="Times New Roman"/>
          <w:bCs/>
          <w:lang w:eastAsia="en-CA"/>
        </w:rPr>
        <w:lastRenderedPageBreak/>
        <w:t>Table 4.8 highlights the types of fines respondents reported having received over the last year by sample group.</w:t>
      </w:r>
      <w:r>
        <w:rPr>
          <w:rFonts w:eastAsia="Times New Roman"/>
          <w:bCs/>
          <w:lang w:eastAsia="en-CA"/>
        </w:rPr>
        <w:t xml:space="preserve"> </w:t>
      </w:r>
      <w:r w:rsidRPr="002B7B11">
        <w:rPr>
          <w:rFonts w:eastAsia="Times New Roman"/>
          <w:bCs/>
          <w:lang w:eastAsia="en-CA"/>
        </w:rPr>
        <w:t>As expected, the vast majority of reported fines for both groups were transit related.</w:t>
      </w:r>
      <w:r>
        <w:rPr>
          <w:rFonts w:eastAsia="Times New Roman"/>
          <w:bCs/>
          <w:lang w:eastAsia="en-CA"/>
        </w:rPr>
        <w:t xml:space="preserve"> </w:t>
      </w:r>
      <w:r w:rsidRPr="002B7B11">
        <w:rPr>
          <w:rFonts w:eastAsia="Times New Roman"/>
          <w:bCs/>
          <w:lang w:eastAsia="en-CA"/>
        </w:rPr>
        <w:t xml:space="preserve">59.7% of court respondents and 77.2% of community respondents reported having received transit </w:t>
      </w:r>
      <w:r w:rsidRPr="002B7B11">
        <w:rPr>
          <w:rFonts w:eastAsia="Times New Roman"/>
          <w:bCs/>
          <w:lang w:eastAsia="en-CA"/>
        </w:rPr>
        <w:lastRenderedPageBreak/>
        <w:t>fines.</w:t>
      </w:r>
      <w:r>
        <w:rPr>
          <w:rFonts w:eastAsia="Times New Roman"/>
          <w:bCs/>
          <w:lang w:eastAsia="en-CA"/>
        </w:rPr>
        <w:t xml:space="preserve"> </w:t>
      </w:r>
      <w:r w:rsidRPr="002B7B11">
        <w:rPr>
          <w:rFonts w:eastAsia="Times New Roman"/>
          <w:bCs/>
          <w:lang w:eastAsia="en-CA"/>
        </w:rPr>
        <w:t>The court sample (21.3% of cases) was more likely than the community sample (8.9% of cases) to report pet related fines.</w:t>
      </w:r>
      <w:r>
        <w:rPr>
          <w:rFonts w:eastAsia="Times New Roman"/>
          <w:bCs/>
          <w:lang w:eastAsia="en-CA"/>
        </w:rPr>
        <w:t xml:space="preserve"> </w:t>
      </w:r>
      <w:r w:rsidRPr="002B7B11">
        <w:rPr>
          <w:rFonts w:eastAsia="Times New Roman"/>
          <w:bCs/>
          <w:lang w:eastAsia="en-CA"/>
        </w:rPr>
        <w:t>The community sample appears to be more likely to have received fines related to public disorder.</w:t>
      </w:r>
      <w:r>
        <w:rPr>
          <w:rFonts w:eastAsia="Times New Roman"/>
          <w:bCs/>
          <w:lang w:eastAsia="en-CA"/>
        </w:rPr>
        <w:t xml:space="preserve"> </w:t>
      </w:r>
      <w:r w:rsidRPr="002B7B11">
        <w:rPr>
          <w:rFonts w:eastAsia="Times New Roman"/>
          <w:bCs/>
          <w:lang w:eastAsia="en-CA"/>
        </w:rPr>
        <w:t xml:space="preserve">After transit fines, </w:t>
      </w:r>
      <w:r w:rsidRPr="002B7B11">
        <w:rPr>
          <w:rFonts w:eastAsia="Times New Roman"/>
          <w:bCs/>
          <w:lang w:eastAsia="en-CA"/>
        </w:rPr>
        <w:lastRenderedPageBreak/>
        <w:t>the community sample reported these as the most frequent fines received: littering 11.9%, fighting 10.9%, public urination/defection 16.8%, public intoxication 26.7%, spitting 13.9% and loitering 23.8%.</w:t>
      </w:r>
      <w:r>
        <w:rPr>
          <w:rFonts w:eastAsia="Times New Roman"/>
          <w:bCs/>
          <w:lang w:eastAsia="en-CA"/>
        </w:rPr>
        <w:t xml:space="preserve"> </w:t>
      </w:r>
      <w:r w:rsidRPr="002B7B11">
        <w:rPr>
          <w:rFonts w:eastAsia="Times New Roman"/>
          <w:bCs/>
          <w:lang w:eastAsia="en-CA"/>
        </w:rPr>
        <w:t xml:space="preserve">A full breakdown of the fines received by sample </w:t>
      </w:r>
      <w:r w:rsidRPr="002B7B11">
        <w:rPr>
          <w:rFonts w:eastAsia="Times New Roman"/>
          <w:bCs/>
          <w:lang w:eastAsia="en-CA"/>
        </w:rPr>
        <w:lastRenderedPageBreak/>
        <w:t>group is shown</w:t>
      </w:r>
      <w:r w:rsidR="003C76E0">
        <w:rPr>
          <w:rFonts w:eastAsia="Times New Roman"/>
          <w:bCs/>
          <w:lang w:eastAsia="en-CA"/>
        </w:rPr>
        <w:t xml:space="preserve"> in the table below (Table 4.8)</w:t>
      </w:r>
    </w:p>
    <w:p w:rsidR="003C76E0" w:rsidRDefault="003C76E0" w:rsidP="001432D2">
      <w:pPr>
        <w:spacing w:line="360" w:lineRule="auto"/>
        <w:rPr>
          <w:rFonts w:eastAsia="Times New Roman"/>
          <w:bCs/>
          <w:lang w:eastAsia="en-CA"/>
        </w:rPr>
      </w:pPr>
    </w:p>
    <w:p w:rsidR="00EE4AF5" w:rsidRDefault="00EE4AF5">
      <w:r>
        <w:br w:type="page"/>
      </w:r>
    </w:p>
    <w:tbl>
      <w:tblPr>
        <w:tblW w:w="98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0"/>
        <w:gridCol w:w="2107"/>
        <w:gridCol w:w="2001"/>
        <w:gridCol w:w="2024"/>
      </w:tblGrid>
      <w:tr w:rsidR="001432D2" w:rsidRPr="007C409A" w:rsidTr="00EE4AF5">
        <w:trPr>
          <w:trHeight w:val="274"/>
        </w:trPr>
        <w:tc>
          <w:tcPr>
            <w:tcW w:w="9872" w:type="dxa"/>
            <w:gridSpan w:val="4"/>
            <w:tcBorders>
              <w:top w:val="nil"/>
              <w:left w:val="nil"/>
              <w:bottom w:val="nil"/>
              <w:right w:val="nil"/>
            </w:tcBorders>
            <w:shd w:val="clear" w:color="auto" w:fill="auto"/>
            <w:vAlign w:val="center"/>
            <w:hideMark/>
          </w:tcPr>
          <w:p w:rsidR="001432D2" w:rsidRPr="007C409A" w:rsidRDefault="003C76E0" w:rsidP="001044DB">
            <w:pPr>
              <w:rPr>
                <w:rFonts w:eastAsia="Times New Roman"/>
                <w:b/>
                <w:bCs/>
                <w:sz w:val="28"/>
                <w:szCs w:val="28"/>
                <w:lang w:eastAsia="en-CA"/>
              </w:rPr>
            </w:pPr>
            <w:r>
              <w:rPr>
                <w:b/>
                <w:bCs/>
                <w:sz w:val="28"/>
                <w:szCs w:val="28"/>
              </w:rPr>
              <w:lastRenderedPageBreak/>
              <w:t xml:space="preserve">Table </w:t>
            </w:r>
            <w:r w:rsidR="001432D2">
              <w:rPr>
                <w:rFonts w:eastAsia="Times New Roman"/>
                <w:b/>
                <w:bCs/>
                <w:sz w:val="28"/>
                <w:szCs w:val="28"/>
                <w:lang w:eastAsia="en-CA"/>
              </w:rPr>
              <w:t>4.8</w:t>
            </w:r>
            <w:r w:rsidR="001044DB">
              <w:rPr>
                <w:rFonts w:eastAsia="Times New Roman"/>
                <w:b/>
                <w:bCs/>
                <w:sz w:val="28"/>
                <w:szCs w:val="28"/>
                <w:lang w:eastAsia="en-CA"/>
              </w:rPr>
              <w:t xml:space="preserve"> Fine T</w:t>
            </w:r>
            <w:r w:rsidR="001432D2" w:rsidRPr="007C409A">
              <w:rPr>
                <w:rFonts w:eastAsia="Times New Roman"/>
                <w:b/>
                <w:bCs/>
                <w:sz w:val="28"/>
                <w:szCs w:val="28"/>
                <w:lang w:eastAsia="en-CA"/>
              </w:rPr>
              <w:t xml:space="preserve">ype by Sample Type </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bCs/>
                <w:lang w:eastAsia="en-CA"/>
              </w:rPr>
            </w:pPr>
          </w:p>
        </w:tc>
        <w:tc>
          <w:tcPr>
            <w:tcW w:w="41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lang w:eastAsia="en-CA"/>
              </w:rPr>
            </w:pPr>
            <w:r w:rsidRPr="007C409A">
              <w:rPr>
                <w:rFonts w:eastAsia="Times New Roman"/>
                <w:b/>
                <w:lang w:eastAsia="en-CA"/>
              </w:rPr>
              <w:t>Survey location</w:t>
            </w:r>
          </w:p>
        </w:tc>
        <w:tc>
          <w:tcPr>
            <w:tcW w:w="2024" w:type="dxa"/>
            <w:vMerge w:val="restart"/>
            <w:tcBorders>
              <w:top w:val="single" w:sz="4" w:space="0" w:color="auto"/>
              <w:left w:val="single" w:sz="4" w:space="0" w:color="auto"/>
              <w:bottom w:val="single" w:sz="4" w:space="0" w:color="auto"/>
            </w:tcBorders>
            <w:shd w:val="clear" w:color="auto" w:fill="auto"/>
            <w:vAlign w:val="bottom"/>
            <w:hideMark/>
          </w:tcPr>
          <w:p w:rsidR="001432D2" w:rsidRPr="007C409A" w:rsidRDefault="001432D2" w:rsidP="001044DB">
            <w:pPr>
              <w:jc w:val="center"/>
              <w:rPr>
                <w:rFonts w:eastAsia="Times New Roman"/>
                <w:lang w:eastAsia="en-CA"/>
              </w:rPr>
            </w:pPr>
            <w:r w:rsidRPr="007C409A">
              <w:rPr>
                <w:rFonts w:eastAsia="Times New Roman"/>
                <w:lang w:eastAsia="en-CA"/>
              </w:rPr>
              <w:t>Total</w:t>
            </w:r>
          </w:p>
        </w:tc>
      </w:tr>
      <w:tr w:rsidR="001432D2" w:rsidRPr="007C409A" w:rsidTr="00EE4AF5">
        <w:trPr>
          <w:trHeight w:val="274"/>
        </w:trPr>
        <w:tc>
          <w:tcPr>
            <w:tcW w:w="3740" w:type="dxa"/>
            <w:vMerge/>
            <w:tcBorders>
              <w:top w:val="nil"/>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bCs/>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lang w:eastAsia="en-CA"/>
              </w:rPr>
            </w:pPr>
            <w:r w:rsidRPr="007C409A">
              <w:rPr>
                <w:rFonts w:eastAsia="Times New Roman"/>
                <w:b/>
                <w:lang w:eastAsia="en-CA"/>
              </w:rPr>
              <w:t>Court</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lang w:eastAsia="en-CA"/>
              </w:rPr>
            </w:pPr>
            <w:r w:rsidRPr="007C409A">
              <w:rPr>
                <w:rFonts w:eastAsia="Times New Roman"/>
                <w:b/>
                <w:lang w:eastAsia="en-CA"/>
              </w:rPr>
              <w:t>Community</w:t>
            </w:r>
          </w:p>
        </w:tc>
        <w:tc>
          <w:tcPr>
            <w:tcW w:w="2024" w:type="dxa"/>
            <w:vMerge/>
            <w:tcBorders>
              <w:top w:val="nil"/>
              <w:left w:val="single" w:sz="4" w:space="0" w:color="auto"/>
              <w:bottom w:val="single" w:sz="4" w:space="0" w:color="auto"/>
            </w:tcBorders>
            <w:shd w:val="clear" w:color="auto" w:fill="auto"/>
            <w:vAlign w:val="center"/>
            <w:hideMark/>
          </w:tcPr>
          <w:p w:rsidR="001432D2" w:rsidRPr="007C409A" w:rsidRDefault="001432D2" w:rsidP="001044DB">
            <w:pPr>
              <w:rPr>
                <w:rFonts w:eastAsia="Times New Roman"/>
                <w:lang w:eastAsia="en-CA"/>
              </w:rPr>
            </w:pP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Pet fines</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46</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55</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21.3%</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17.4%</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Graffiti</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1.4%</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3.0%</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1.9%</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Home maintenance</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11</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18</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5.1%</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5.7%</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Littering</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10</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12</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22</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4.6%</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11.9%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6.9%</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Noise</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16</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3.7%</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5.0%</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Panhandling</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13</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20</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3.2%</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12.9%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6.3%</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Fighting</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11</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11</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22</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5.1%</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10.9%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6.9%</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Public urination/defecation</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17</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23</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2.8%</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16.8%</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7.3%</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Public intoxication</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27</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33</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2.8%</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26.7%</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10.4%</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Spitting</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14</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17</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1.4%</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13.9%</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5.4%</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Loitering</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24</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32</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3.7%</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23.8%</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10.1%</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Transit</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129</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78</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207</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59.7%</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77.2%</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65.3%</w:t>
            </w:r>
          </w:p>
        </w:tc>
      </w:tr>
      <w:tr w:rsidR="001432D2" w:rsidRPr="007C409A" w:rsidTr="00EE4AF5">
        <w:trPr>
          <w:trHeight w:val="274"/>
        </w:trPr>
        <w:tc>
          <w:tcPr>
            <w:tcW w:w="3740" w:type="dxa"/>
            <w:vMerge w:val="restart"/>
            <w:tcBorders>
              <w:top w:val="single" w:sz="4" w:space="0" w:color="auto"/>
              <w:bottom w:val="single" w:sz="4" w:space="0" w:color="auto"/>
              <w:right w:val="single" w:sz="4" w:space="0" w:color="auto"/>
            </w:tcBorders>
            <w:shd w:val="clear" w:color="auto" w:fill="auto"/>
            <w:hideMark/>
          </w:tcPr>
          <w:p w:rsidR="001432D2" w:rsidRPr="007C409A" w:rsidRDefault="001432D2" w:rsidP="001044DB">
            <w:pPr>
              <w:jc w:val="center"/>
              <w:rPr>
                <w:rFonts w:eastAsia="Times New Roman"/>
                <w:b/>
                <w:lang w:eastAsia="en-CA"/>
              </w:rPr>
            </w:pPr>
            <w:r w:rsidRPr="007C409A">
              <w:rPr>
                <w:rFonts w:eastAsia="Times New Roman"/>
                <w:b/>
                <w:lang w:eastAsia="en-CA"/>
              </w:rPr>
              <w:t>Other bylaw</w:t>
            </w: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23</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31</w:t>
            </w:r>
          </w:p>
        </w:tc>
      </w:tr>
      <w:tr w:rsidR="001432D2" w:rsidRPr="007C409A" w:rsidTr="00EE4AF5">
        <w:trPr>
          <w:trHeight w:val="274"/>
        </w:trPr>
        <w:tc>
          <w:tcPr>
            <w:tcW w:w="3740" w:type="dxa"/>
            <w:vMerge/>
            <w:tcBorders>
              <w:top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lang w:eastAsia="en-CA"/>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10.8%</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8.1%</w:t>
            </w:r>
          </w:p>
        </w:tc>
        <w:tc>
          <w:tcPr>
            <w:tcW w:w="2024" w:type="dxa"/>
            <w:tcBorders>
              <w:top w:val="single" w:sz="4" w:space="0" w:color="auto"/>
              <w:left w:val="single" w:sz="4" w:space="0" w:color="auto"/>
              <w:bottom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9.9%</w:t>
            </w:r>
          </w:p>
        </w:tc>
      </w:tr>
    </w:tbl>
    <w:p w:rsidR="001432D2" w:rsidRDefault="001432D2" w:rsidP="001432D2">
      <w:pPr>
        <w:autoSpaceDE w:val="0"/>
        <w:autoSpaceDN w:val="0"/>
        <w:adjustRightInd w:val="0"/>
        <w:spacing w:line="360" w:lineRule="auto"/>
        <w:ind w:right="60"/>
        <w:rPr>
          <w:bCs/>
        </w:rPr>
      </w:pPr>
    </w:p>
    <w:p w:rsidR="001432D2" w:rsidRDefault="001432D2" w:rsidP="001432D2">
      <w:pPr>
        <w:autoSpaceDE w:val="0"/>
        <w:autoSpaceDN w:val="0"/>
        <w:adjustRightInd w:val="0"/>
        <w:spacing w:line="360" w:lineRule="auto"/>
        <w:ind w:right="60"/>
        <w:rPr>
          <w:bCs/>
        </w:rPr>
      </w:pPr>
      <w:r w:rsidRPr="00981679">
        <w:rPr>
          <w:bCs/>
        </w:rPr>
        <w:t xml:space="preserve">Some discussion had been had regarding the frequency </w:t>
      </w:r>
      <w:r w:rsidRPr="00981679">
        <w:rPr>
          <w:bCs/>
        </w:rPr>
        <w:lastRenderedPageBreak/>
        <w:t xml:space="preserve">with which people were receiving fines, so we </w:t>
      </w:r>
      <w:r w:rsidR="007A7F32">
        <w:rPr>
          <w:bCs/>
        </w:rPr>
        <w:t>a</w:t>
      </w:r>
      <w:r w:rsidRPr="00981679">
        <w:rPr>
          <w:bCs/>
        </w:rPr>
        <w:t>sk</w:t>
      </w:r>
      <w:r w:rsidR="00EE4AF5">
        <w:rPr>
          <w:bCs/>
        </w:rPr>
        <w:t>ed respondents if they felt the</w:t>
      </w:r>
      <w:r w:rsidRPr="00981679">
        <w:rPr>
          <w:bCs/>
        </w:rPr>
        <w:t>r</w:t>
      </w:r>
      <w:r w:rsidR="00EE4AF5">
        <w:rPr>
          <w:bCs/>
        </w:rPr>
        <w:t>e</w:t>
      </w:r>
      <w:r w:rsidRPr="00981679">
        <w:rPr>
          <w:bCs/>
        </w:rPr>
        <w:t xml:space="preserve"> had been any change over time in the number of fines they were receiving.</w:t>
      </w:r>
      <w:r>
        <w:rPr>
          <w:bCs/>
        </w:rPr>
        <w:t xml:space="preserve"> </w:t>
      </w:r>
      <w:r w:rsidRPr="00981679">
        <w:rPr>
          <w:bCs/>
        </w:rPr>
        <w:t>Most respondents indicated that they were receiving fewer fines (62.6% court and 55.7% community).</w:t>
      </w:r>
      <w:r>
        <w:rPr>
          <w:bCs/>
        </w:rPr>
        <w:t xml:space="preserve"> </w:t>
      </w:r>
      <w:r w:rsidRPr="00981679">
        <w:rPr>
          <w:bCs/>
        </w:rPr>
        <w:t xml:space="preserve">However, a </w:t>
      </w:r>
      <w:r w:rsidRPr="00981679">
        <w:rPr>
          <w:bCs/>
        </w:rPr>
        <w:lastRenderedPageBreak/>
        <w:t>non-trivial number of respondents also indicated they were receiving a greater number of fines over time (18.5% court and 24.5% community).</w:t>
      </w:r>
      <w:r>
        <w:rPr>
          <w:bCs/>
        </w:rPr>
        <w:t xml:space="preserve"> </w:t>
      </w:r>
      <w:r w:rsidRPr="00981679">
        <w:rPr>
          <w:bCs/>
        </w:rPr>
        <w:t xml:space="preserve">It is not clear why this might be the case and our research is unable to determine the extent to which change may be occurring in </w:t>
      </w:r>
      <w:r w:rsidRPr="00981679">
        <w:rPr>
          <w:bCs/>
        </w:rPr>
        <w:lastRenderedPageBreak/>
        <w:t>enforcement practices.</w:t>
      </w:r>
      <w:r>
        <w:rPr>
          <w:bCs/>
        </w:rPr>
        <w:t xml:space="preserve"> </w:t>
      </w:r>
      <w:r w:rsidRPr="00981679">
        <w:rPr>
          <w:bCs/>
        </w:rPr>
        <w:t xml:space="preserve">It is clear however from a quarter of the respondents that those </w:t>
      </w:r>
      <w:r w:rsidR="009B3C89">
        <w:rPr>
          <w:bCs/>
        </w:rPr>
        <w:t xml:space="preserve">considered </w:t>
      </w:r>
      <w:r w:rsidRPr="00981679">
        <w:rPr>
          <w:bCs/>
        </w:rPr>
        <w:t>most vulnerable perceive that they are being fined more often.</w:t>
      </w:r>
    </w:p>
    <w:p w:rsidR="001432D2" w:rsidRDefault="001432D2" w:rsidP="001432D2">
      <w:pPr>
        <w:autoSpaceDE w:val="0"/>
        <w:autoSpaceDN w:val="0"/>
        <w:adjustRightInd w:val="0"/>
        <w:spacing w:line="360" w:lineRule="auto"/>
        <w:ind w:right="60"/>
        <w:rPr>
          <w:bCs/>
        </w:rPr>
      </w:pPr>
    </w:p>
    <w:p w:rsidR="00EE4AF5" w:rsidRDefault="00EE4AF5">
      <w:r>
        <w:br w:type="page"/>
      </w:r>
    </w:p>
    <w:tbl>
      <w:tblPr>
        <w:tblW w:w="9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9"/>
        <w:gridCol w:w="2207"/>
        <w:gridCol w:w="1984"/>
        <w:gridCol w:w="1902"/>
        <w:gridCol w:w="2160"/>
      </w:tblGrid>
      <w:tr w:rsidR="001432D2" w:rsidRPr="000023F1" w:rsidTr="001044DB">
        <w:trPr>
          <w:cantSplit/>
        </w:trPr>
        <w:tc>
          <w:tcPr>
            <w:tcW w:w="9872" w:type="dxa"/>
            <w:gridSpan w:val="5"/>
            <w:tcBorders>
              <w:top w:val="nil"/>
              <w:left w:val="nil"/>
              <w:bottom w:val="single" w:sz="4" w:space="0" w:color="auto"/>
              <w:right w:val="nil"/>
            </w:tcBorders>
            <w:shd w:val="clear" w:color="auto" w:fill="FFFFFF"/>
            <w:vAlign w:val="center"/>
          </w:tcPr>
          <w:p w:rsidR="001432D2" w:rsidRPr="000023F1" w:rsidRDefault="003C76E0" w:rsidP="001044DB">
            <w:pPr>
              <w:autoSpaceDE w:val="0"/>
              <w:autoSpaceDN w:val="0"/>
              <w:adjustRightInd w:val="0"/>
              <w:ind w:right="60"/>
              <w:rPr>
                <w:b/>
                <w:sz w:val="28"/>
                <w:szCs w:val="28"/>
              </w:rPr>
            </w:pPr>
            <w:r>
              <w:rPr>
                <w:b/>
                <w:bCs/>
                <w:sz w:val="28"/>
                <w:szCs w:val="28"/>
              </w:rPr>
              <w:lastRenderedPageBreak/>
              <w:t xml:space="preserve">Table </w:t>
            </w:r>
            <w:r w:rsidR="001432D2" w:rsidRPr="000023F1">
              <w:rPr>
                <w:b/>
                <w:bCs/>
                <w:sz w:val="28"/>
                <w:szCs w:val="28"/>
              </w:rPr>
              <w:t>4.8 Change in fines overtime by Sample Type</w:t>
            </w:r>
          </w:p>
        </w:tc>
      </w:tr>
      <w:tr w:rsidR="001432D2" w:rsidRPr="000023F1" w:rsidTr="001044DB">
        <w:trPr>
          <w:cantSplit/>
        </w:trPr>
        <w:tc>
          <w:tcPr>
            <w:tcW w:w="3826"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c>
          <w:tcPr>
            <w:tcW w:w="38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Survey location</w:t>
            </w:r>
          </w:p>
        </w:tc>
        <w:tc>
          <w:tcPr>
            <w:tcW w:w="2160" w:type="dxa"/>
            <w:vMerge w:val="restart"/>
            <w:tcBorders>
              <w:top w:val="single" w:sz="4" w:space="0" w:color="auto"/>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pPr>
            <w:r w:rsidRPr="000023F1">
              <w:t>Total</w:t>
            </w:r>
          </w:p>
        </w:tc>
      </w:tr>
      <w:tr w:rsidR="001432D2" w:rsidRPr="000023F1" w:rsidTr="001044DB">
        <w:trPr>
          <w:cantSplit/>
          <w:trHeight w:val="87"/>
        </w:trPr>
        <w:tc>
          <w:tcPr>
            <w:tcW w:w="3826" w:type="dxa"/>
            <w:gridSpan w:val="2"/>
            <w:vMerge/>
            <w:tcBorders>
              <w:top w:val="nil"/>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c>
          <w:tcPr>
            <w:tcW w:w="1984" w:type="dxa"/>
            <w:tcBorders>
              <w:top w:val="single" w:sz="4" w:space="0" w:color="auto"/>
              <w:left w:val="single" w:sz="4" w:space="0" w:color="auto"/>
              <w:bottom w:val="single" w:sz="8" w:space="0" w:color="152935"/>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Court</w:t>
            </w:r>
          </w:p>
        </w:tc>
        <w:tc>
          <w:tcPr>
            <w:tcW w:w="1902" w:type="dxa"/>
            <w:tcBorders>
              <w:top w:val="single" w:sz="4" w:space="0" w:color="auto"/>
              <w:left w:val="single" w:sz="4" w:space="0" w:color="auto"/>
              <w:bottom w:val="single" w:sz="8" w:space="0" w:color="152935"/>
              <w:right w:val="single" w:sz="4" w:space="0" w:color="auto"/>
            </w:tcBorders>
            <w:shd w:val="clear" w:color="auto" w:fill="FFFFFF"/>
            <w:vAlign w:val="bottom"/>
          </w:tcPr>
          <w:p w:rsidR="001432D2" w:rsidRPr="000023F1" w:rsidRDefault="001432D2" w:rsidP="001044DB">
            <w:pPr>
              <w:autoSpaceDE w:val="0"/>
              <w:autoSpaceDN w:val="0"/>
              <w:adjustRightInd w:val="0"/>
              <w:ind w:left="60" w:right="60"/>
              <w:jc w:val="center"/>
              <w:rPr>
                <w:b/>
              </w:rPr>
            </w:pPr>
            <w:r w:rsidRPr="000023F1">
              <w:rPr>
                <w:b/>
              </w:rPr>
              <w:t>Community</w:t>
            </w:r>
          </w:p>
        </w:tc>
        <w:tc>
          <w:tcPr>
            <w:tcW w:w="2160" w:type="dxa"/>
            <w:vMerge/>
            <w:tcBorders>
              <w:top w:val="nil"/>
              <w:left w:val="single" w:sz="4" w:space="0" w:color="auto"/>
              <w:bottom w:val="nil"/>
              <w:right w:val="single" w:sz="4" w:space="0" w:color="auto"/>
            </w:tcBorders>
            <w:shd w:val="clear" w:color="auto" w:fill="FFFFFF"/>
            <w:vAlign w:val="bottom"/>
          </w:tcPr>
          <w:p w:rsidR="001432D2" w:rsidRPr="000023F1" w:rsidRDefault="001432D2" w:rsidP="001044DB">
            <w:pPr>
              <w:autoSpaceDE w:val="0"/>
              <w:autoSpaceDN w:val="0"/>
              <w:adjustRightInd w:val="0"/>
            </w:pPr>
          </w:p>
        </w:tc>
      </w:tr>
      <w:tr w:rsidR="001432D2" w:rsidRPr="000023F1" w:rsidTr="001044DB">
        <w:trPr>
          <w:cantSplit/>
        </w:trPr>
        <w:tc>
          <w:tcPr>
            <w:tcW w:w="1619" w:type="dxa"/>
            <w:vMerge w:val="restart"/>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Change in fines overtime</w:t>
            </w:r>
          </w:p>
        </w:tc>
        <w:tc>
          <w:tcPr>
            <w:tcW w:w="2207" w:type="dxa"/>
            <w:vMerge w:val="restart"/>
            <w:tcBorders>
              <w:top w:val="single" w:sz="8" w:space="0" w:color="152935"/>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Fewer fines</w:t>
            </w:r>
          </w:p>
        </w:tc>
        <w:tc>
          <w:tcPr>
            <w:tcW w:w="1984"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142</w:t>
            </w:r>
          </w:p>
        </w:tc>
        <w:tc>
          <w:tcPr>
            <w:tcW w:w="1902"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59</w:t>
            </w:r>
          </w:p>
        </w:tc>
        <w:tc>
          <w:tcPr>
            <w:tcW w:w="2160" w:type="dxa"/>
            <w:tcBorders>
              <w:top w:val="single" w:sz="8" w:space="0" w:color="152935"/>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201</w:t>
            </w:r>
          </w:p>
        </w:tc>
      </w:tr>
      <w:tr w:rsidR="001432D2" w:rsidRPr="000023F1" w:rsidTr="001044DB">
        <w:trPr>
          <w:cantSplit/>
          <w:trHeight w:val="329"/>
        </w:trPr>
        <w:tc>
          <w:tcPr>
            <w:tcW w:w="1619"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07" w:type="dxa"/>
            <w:vMerge/>
            <w:tcBorders>
              <w:top w:val="single" w:sz="8" w:space="0" w:color="152935"/>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198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62.6%</w:t>
            </w:r>
          </w:p>
        </w:tc>
        <w:tc>
          <w:tcPr>
            <w:tcW w:w="1902"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55.7%</w:t>
            </w:r>
          </w:p>
        </w:tc>
        <w:tc>
          <w:tcPr>
            <w:tcW w:w="2160"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60.4%</w:t>
            </w:r>
          </w:p>
        </w:tc>
      </w:tr>
      <w:tr w:rsidR="001432D2" w:rsidRPr="000023F1" w:rsidTr="001044DB">
        <w:trPr>
          <w:cantSplit/>
          <w:trHeight w:val="259"/>
        </w:trPr>
        <w:tc>
          <w:tcPr>
            <w:tcW w:w="1619"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07"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Same number of fines</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43</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21</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64</w:t>
            </w:r>
          </w:p>
        </w:tc>
      </w:tr>
      <w:tr w:rsidR="001432D2" w:rsidRPr="000023F1" w:rsidTr="001044DB">
        <w:trPr>
          <w:cantSplit/>
        </w:trPr>
        <w:tc>
          <w:tcPr>
            <w:tcW w:w="1619"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07"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rPr>
                <w:b/>
              </w:rPr>
            </w:pPr>
          </w:p>
        </w:tc>
        <w:tc>
          <w:tcPr>
            <w:tcW w:w="198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18.9%</w:t>
            </w:r>
          </w:p>
        </w:tc>
        <w:tc>
          <w:tcPr>
            <w:tcW w:w="1902"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19.8%</w:t>
            </w:r>
          </w:p>
        </w:tc>
        <w:tc>
          <w:tcPr>
            <w:tcW w:w="2160"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19.2%</w:t>
            </w:r>
          </w:p>
        </w:tc>
      </w:tr>
      <w:tr w:rsidR="001432D2" w:rsidRPr="000023F1" w:rsidTr="001044DB">
        <w:trPr>
          <w:cantSplit/>
        </w:trPr>
        <w:tc>
          <w:tcPr>
            <w:tcW w:w="1619"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rPr>
                <w:b/>
              </w:rPr>
            </w:pPr>
          </w:p>
        </w:tc>
        <w:tc>
          <w:tcPr>
            <w:tcW w:w="2207" w:type="dxa"/>
            <w:vMerge w:val="restart"/>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ind w:left="60" w:right="60"/>
              <w:rPr>
                <w:b/>
              </w:rPr>
            </w:pPr>
            <w:r w:rsidRPr="000023F1">
              <w:rPr>
                <w:b/>
              </w:rPr>
              <w:t>More fines</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42</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26</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68</w:t>
            </w:r>
          </w:p>
        </w:tc>
      </w:tr>
      <w:tr w:rsidR="001432D2" w:rsidRPr="000023F1" w:rsidTr="001044DB">
        <w:trPr>
          <w:cantSplit/>
        </w:trPr>
        <w:tc>
          <w:tcPr>
            <w:tcW w:w="1619" w:type="dxa"/>
            <w:vMerge/>
            <w:tcBorders>
              <w:top w:val="single" w:sz="8" w:space="0" w:color="152935"/>
              <w:left w:val="single" w:sz="4" w:space="0" w:color="auto"/>
              <w:bottom w:val="nil"/>
              <w:right w:val="nil"/>
            </w:tcBorders>
            <w:shd w:val="clear" w:color="auto" w:fill="E0E0E0"/>
          </w:tcPr>
          <w:p w:rsidR="001432D2" w:rsidRPr="000023F1" w:rsidRDefault="001432D2" w:rsidP="001044DB">
            <w:pPr>
              <w:autoSpaceDE w:val="0"/>
              <w:autoSpaceDN w:val="0"/>
              <w:adjustRightInd w:val="0"/>
            </w:pPr>
          </w:p>
        </w:tc>
        <w:tc>
          <w:tcPr>
            <w:tcW w:w="2207" w:type="dxa"/>
            <w:vMerge/>
            <w:tcBorders>
              <w:top w:val="single" w:sz="8" w:space="0" w:color="AEAEAE"/>
              <w:left w:val="nil"/>
              <w:bottom w:val="nil"/>
              <w:right w:val="nil"/>
            </w:tcBorders>
            <w:shd w:val="clear" w:color="auto" w:fill="E0E0E0"/>
          </w:tcPr>
          <w:p w:rsidR="001432D2" w:rsidRPr="000023F1" w:rsidRDefault="001432D2" w:rsidP="001044DB">
            <w:pPr>
              <w:autoSpaceDE w:val="0"/>
              <w:autoSpaceDN w:val="0"/>
              <w:adjustRightInd w:val="0"/>
            </w:pPr>
          </w:p>
        </w:tc>
        <w:tc>
          <w:tcPr>
            <w:tcW w:w="1984"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18.5%</w:t>
            </w:r>
          </w:p>
        </w:tc>
        <w:tc>
          <w:tcPr>
            <w:tcW w:w="1902"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24.5%</w:t>
            </w:r>
          </w:p>
        </w:tc>
        <w:tc>
          <w:tcPr>
            <w:tcW w:w="2160" w:type="dxa"/>
            <w:tcBorders>
              <w:top w:val="single" w:sz="8" w:space="0" w:color="AEAEAE"/>
              <w:left w:val="single" w:sz="4" w:space="0" w:color="auto"/>
              <w:bottom w:val="nil"/>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20.4%</w:t>
            </w:r>
          </w:p>
        </w:tc>
      </w:tr>
      <w:tr w:rsidR="001432D2" w:rsidRPr="000023F1" w:rsidTr="001044DB">
        <w:trPr>
          <w:cantSplit/>
        </w:trPr>
        <w:tc>
          <w:tcPr>
            <w:tcW w:w="3826" w:type="dxa"/>
            <w:gridSpan w:val="2"/>
            <w:vMerge w:val="restart"/>
            <w:tcBorders>
              <w:top w:val="single" w:sz="8" w:space="0" w:color="AEAEAE"/>
              <w:left w:val="single" w:sz="4" w:space="0" w:color="auto"/>
              <w:bottom w:val="single" w:sz="8" w:space="0" w:color="152935"/>
              <w:right w:val="nil"/>
            </w:tcBorders>
            <w:shd w:val="clear" w:color="auto" w:fill="E0E0E0"/>
          </w:tcPr>
          <w:p w:rsidR="001432D2" w:rsidRPr="000023F1" w:rsidRDefault="001432D2" w:rsidP="001044DB">
            <w:pPr>
              <w:autoSpaceDE w:val="0"/>
              <w:autoSpaceDN w:val="0"/>
              <w:adjustRightInd w:val="0"/>
              <w:ind w:left="60" w:right="60"/>
            </w:pPr>
            <w:r w:rsidRPr="000023F1">
              <w:t>Total</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227</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106</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333</w:t>
            </w:r>
          </w:p>
        </w:tc>
      </w:tr>
      <w:tr w:rsidR="001432D2" w:rsidRPr="000023F1" w:rsidTr="001044DB">
        <w:trPr>
          <w:cantSplit/>
        </w:trPr>
        <w:tc>
          <w:tcPr>
            <w:tcW w:w="3826" w:type="dxa"/>
            <w:gridSpan w:val="2"/>
            <w:vMerge/>
            <w:tcBorders>
              <w:top w:val="single" w:sz="8" w:space="0" w:color="AEAEAE"/>
              <w:left w:val="single" w:sz="4" w:space="0" w:color="auto"/>
              <w:bottom w:val="single" w:sz="4" w:space="0" w:color="auto"/>
              <w:right w:val="nil"/>
            </w:tcBorders>
            <w:shd w:val="clear" w:color="auto" w:fill="E0E0E0"/>
          </w:tcPr>
          <w:p w:rsidR="001432D2" w:rsidRPr="000023F1" w:rsidRDefault="001432D2" w:rsidP="001044DB">
            <w:pPr>
              <w:autoSpaceDE w:val="0"/>
              <w:autoSpaceDN w:val="0"/>
              <w:adjustRightInd w:val="0"/>
            </w:pPr>
          </w:p>
        </w:tc>
        <w:tc>
          <w:tcPr>
            <w:tcW w:w="1984"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c>
          <w:tcPr>
            <w:tcW w:w="1902"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c>
          <w:tcPr>
            <w:tcW w:w="2160" w:type="dxa"/>
            <w:tcBorders>
              <w:top w:val="single" w:sz="8" w:space="0" w:color="AEAEAE"/>
              <w:left w:val="single" w:sz="4" w:space="0" w:color="auto"/>
              <w:bottom w:val="single" w:sz="4" w:space="0" w:color="auto"/>
              <w:right w:val="single" w:sz="4" w:space="0" w:color="auto"/>
            </w:tcBorders>
            <w:shd w:val="clear" w:color="auto" w:fill="FFFFFF"/>
          </w:tcPr>
          <w:p w:rsidR="001432D2" w:rsidRPr="000023F1" w:rsidRDefault="001432D2" w:rsidP="001044DB">
            <w:pPr>
              <w:autoSpaceDE w:val="0"/>
              <w:autoSpaceDN w:val="0"/>
              <w:adjustRightInd w:val="0"/>
              <w:ind w:left="60" w:right="60"/>
              <w:jc w:val="right"/>
            </w:pPr>
            <w:r w:rsidRPr="000023F1">
              <w:t>100.0%</w:t>
            </w:r>
          </w:p>
        </w:tc>
      </w:tr>
    </w:tbl>
    <w:p w:rsidR="001432D2" w:rsidRPr="00981679" w:rsidRDefault="001432D2" w:rsidP="001432D2">
      <w:pPr>
        <w:autoSpaceDE w:val="0"/>
        <w:autoSpaceDN w:val="0"/>
        <w:adjustRightInd w:val="0"/>
        <w:spacing w:line="360" w:lineRule="auto"/>
        <w:ind w:right="60"/>
        <w:rPr>
          <w:bCs/>
        </w:rPr>
      </w:pPr>
    </w:p>
    <w:p w:rsidR="001432D2" w:rsidRDefault="001432D2" w:rsidP="001432D2">
      <w:pPr>
        <w:autoSpaceDE w:val="0"/>
        <w:autoSpaceDN w:val="0"/>
        <w:adjustRightInd w:val="0"/>
        <w:ind w:left="60" w:right="60"/>
        <w:rPr>
          <w:b/>
          <w:bCs/>
          <w:i/>
          <w:sz w:val="28"/>
          <w:szCs w:val="28"/>
        </w:rPr>
      </w:pPr>
      <w:r w:rsidRPr="00E20C67">
        <w:rPr>
          <w:b/>
          <w:bCs/>
          <w:i/>
          <w:sz w:val="28"/>
          <w:szCs w:val="28"/>
        </w:rPr>
        <w:t xml:space="preserve">Fine Outcomes and Impacts by Community and Court </w:t>
      </w:r>
    </w:p>
    <w:p w:rsidR="001432D2" w:rsidRDefault="001432D2" w:rsidP="001432D2">
      <w:pPr>
        <w:autoSpaceDE w:val="0"/>
        <w:autoSpaceDN w:val="0"/>
        <w:adjustRightInd w:val="0"/>
        <w:ind w:right="60"/>
        <w:rPr>
          <w:bCs/>
        </w:rPr>
      </w:pPr>
    </w:p>
    <w:p w:rsidR="001432D2" w:rsidRDefault="001432D2" w:rsidP="001432D2">
      <w:pPr>
        <w:autoSpaceDE w:val="0"/>
        <w:autoSpaceDN w:val="0"/>
        <w:adjustRightInd w:val="0"/>
        <w:spacing w:line="360" w:lineRule="auto"/>
        <w:ind w:right="60"/>
        <w:rPr>
          <w:bCs/>
        </w:rPr>
      </w:pPr>
      <w:r>
        <w:rPr>
          <w:bCs/>
        </w:rPr>
        <w:t xml:space="preserve">Table 4.9 shows the outcomes or current status for the fines most recently received by sample group. </w:t>
      </w:r>
      <w:r>
        <w:rPr>
          <w:bCs/>
        </w:rPr>
        <w:lastRenderedPageBreak/>
        <w:t xml:space="preserve">28.4% of court respondents and 19.2% of community respondents reported that their fines had been reduced. 14.8% of court respondents and 9.6% of community respondents reported their fines being withdrawn. 15.9% of court respondents and 13.5% of community respondents </w:t>
      </w:r>
      <w:r>
        <w:rPr>
          <w:bCs/>
        </w:rPr>
        <w:lastRenderedPageBreak/>
        <w:t xml:space="preserve">indicated that they had established a payment plan to address their fines. 16.5% of court respondents and 12.5% of community respondents reported that they had paid their fines in full. 6.3% (court) and 10.6% (community) indicated they had received information about the </w:t>
      </w:r>
      <w:r>
        <w:rPr>
          <w:bCs/>
        </w:rPr>
        <w:lastRenderedPageBreak/>
        <w:t xml:space="preserve">fine options program. 3.4% of court respondents and 17.3% of community respondents indicated they had taken part in a fine options program. Finally, most respondents in both groups had not addressed their outstanding fines (for the court sample this represented 27.8% of </w:t>
      </w:r>
      <w:r>
        <w:rPr>
          <w:bCs/>
        </w:rPr>
        <w:lastRenderedPageBreak/>
        <w:t>cases and for the community sample this represented 34.6% of cases).</w:t>
      </w:r>
    </w:p>
    <w:p w:rsidR="00EE4AF5" w:rsidRPr="009007BE" w:rsidRDefault="00EE4AF5" w:rsidP="001432D2">
      <w:pPr>
        <w:autoSpaceDE w:val="0"/>
        <w:autoSpaceDN w:val="0"/>
        <w:adjustRightInd w:val="0"/>
        <w:spacing w:line="360" w:lineRule="auto"/>
        <w:ind w:right="60"/>
        <w:rPr>
          <w:bCs/>
        </w:rPr>
      </w:pPr>
    </w:p>
    <w:p w:rsidR="00EE4AF5" w:rsidRDefault="00EE4AF5">
      <w:r>
        <w:br w:type="page"/>
      </w:r>
    </w:p>
    <w:tbl>
      <w:tblPr>
        <w:tblW w:w="9270" w:type="dxa"/>
        <w:tblLayout w:type="fixed"/>
        <w:tblLook w:val="04A0" w:firstRow="1" w:lastRow="0" w:firstColumn="1" w:lastColumn="0" w:noHBand="0" w:noVBand="1"/>
      </w:tblPr>
      <w:tblGrid>
        <w:gridCol w:w="3723"/>
        <w:gridCol w:w="2094"/>
        <w:gridCol w:w="2016"/>
        <w:gridCol w:w="1437"/>
      </w:tblGrid>
      <w:tr w:rsidR="001432D2" w:rsidRPr="00C32252" w:rsidTr="00EE4AF5">
        <w:trPr>
          <w:trHeight w:val="144"/>
        </w:trPr>
        <w:tc>
          <w:tcPr>
            <w:tcW w:w="9270" w:type="dxa"/>
            <w:gridSpan w:val="4"/>
            <w:tcBorders>
              <w:bottom w:val="single" w:sz="4" w:space="0" w:color="auto"/>
            </w:tcBorders>
            <w:shd w:val="clear" w:color="auto" w:fill="auto"/>
            <w:vAlign w:val="center"/>
            <w:hideMark/>
          </w:tcPr>
          <w:p w:rsidR="001432D2" w:rsidRPr="00C32252" w:rsidRDefault="003C76E0" w:rsidP="001044DB">
            <w:pPr>
              <w:rPr>
                <w:rFonts w:eastAsia="Times New Roman"/>
                <w:b/>
                <w:bCs/>
                <w:lang w:eastAsia="en-CA"/>
              </w:rPr>
            </w:pPr>
            <w:r>
              <w:rPr>
                <w:b/>
                <w:bCs/>
                <w:sz w:val="28"/>
                <w:szCs w:val="28"/>
              </w:rPr>
              <w:lastRenderedPageBreak/>
              <w:t xml:space="preserve">Table </w:t>
            </w:r>
            <w:r w:rsidR="001432D2">
              <w:rPr>
                <w:rFonts w:eastAsia="Times New Roman"/>
                <w:b/>
                <w:bCs/>
                <w:sz w:val="28"/>
                <w:szCs w:val="28"/>
                <w:lang w:eastAsia="en-CA"/>
              </w:rPr>
              <w:t>4.9</w:t>
            </w:r>
            <w:r w:rsidR="001044DB">
              <w:rPr>
                <w:rFonts w:eastAsia="Times New Roman"/>
                <w:b/>
                <w:bCs/>
                <w:sz w:val="28"/>
                <w:szCs w:val="28"/>
                <w:lang w:eastAsia="en-CA"/>
              </w:rPr>
              <w:t xml:space="preserve"> Fine O</w:t>
            </w:r>
            <w:r w:rsidR="001432D2" w:rsidRPr="00262AFD">
              <w:rPr>
                <w:rFonts w:eastAsia="Times New Roman"/>
                <w:b/>
                <w:bCs/>
                <w:sz w:val="28"/>
                <w:szCs w:val="28"/>
                <w:lang w:eastAsia="en-CA"/>
              </w:rPr>
              <w:t>utcome by Sample Type</w:t>
            </w:r>
          </w:p>
        </w:tc>
      </w:tr>
      <w:tr w:rsidR="001432D2" w:rsidRPr="00C32252" w:rsidTr="00EE4AF5">
        <w:trPr>
          <w:trHeight w:val="144"/>
        </w:trPr>
        <w:tc>
          <w:tcPr>
            <w:tcW w:w="3723" w:type="dxa"/>
            <w:vMerge w:val="restart"/>
            <w:tcBorders>
              <w:top w:val="single" w:sz="4" w:space="0" w:color="auto"/>
              <w:left w:val="single" w:sz="4" w:space="0" w:color="auto"/>
              <w:right w:val="single" w:sz="4" w:space="0" w:color="auto"/>
            </w:tcBorders>
            <w:shd w:val="clear" w:color="auto" w:fill="auto"/>
            <w:noWrap/>
            <w:vAlign w:val="bottom"/>
            <w:hideMark/>
          </w:tcPr>
          <w:p w:rsidR="001432D2" w:rsidRPr="00C32252" w:rsidRDefault="001432D2" w:rsidP="001044DB">
            <w:pPr>
              <w:jc w:val="center"/>
              <w:rPr>
                <w:rFonts w:eastAsia="Times New Roman"/>
                <w:b/>
                <w:bCs/>
                <w:lang w:eastAsia="en-CA"/>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C32252" w:rsidRDefault="001432D2" w:rsidP="001044DB">
            <w:pPr>
              <w:jc w:val="center"/>
              <w:rPr>
                <w:rFonts w:eastAsia="Times New Roman"/>
                <w:b/>
                <w:lang w:eastAsia="en-CA"/>
              </w:rPr>
            </w:pPr>
            <w:r w:rsidRPr="00C32252">
              <w:rPr>
                <w:rFonts w:eastAsia="Times New Roman"/>
                <w:b/>
                <w:lang w:eastAsia="en-CA"/>
              </w:rPr>
              <w:t>Survey location</w:t>
            </w:r>
          </w:p>
        </w:tc>
        <w:tc>
          <w:tcPr>
            <w:tcW w:w="1437" w:type="dxa"/>
            <w:vMerge w:val="restart"/>
            <w:tcBorders>
              <w:top w:val="single" w:sz="4" w:space="0" w:color="auto"/>
              <w:left w:val="single" w:sz="4" w:space="0" w:color="auto"/>
              <w:right w:val="single" w:sz="4" w:space="0" w:color="auto"/>
            </w:tcBorders>
            <w:shd w:val="clear" w:color="auto" w:fill="auto"/>
            <w:vAlign w:val="bottom"/>
            <w:hideMark/>
          </w:tcPr>
          <w:p w:rsidR="001432D2" w:rsidRPr="00C32252" w:rsidRDefault="001432D2" w:rsidP="001044DB">
            <w:pPr>
              <w:jc w:val="center"/>
              <w:rPr>
                <w:rFonts w:eastAsia="Times New Roman"/>
                <w:lang w:eastAsia="en-CA"/>
              </w:rPr>
            </w:pPr>
            <w:r w:rsidRPr="00C32252">
              <w:rPr>
                <w:rFonts w:eastAsia="Times New Roman"/>
                <w:lang w:eastAsia="en-CA"/>
              </w:rPr>
              <w:t>Total</w:t>
            </w:r>
          </w:p>
        </w:tc>
      </w:tr>
      <w:tr w:rsidR="001432D2" w:rsidRPr="00C32252" w:rsidTr="00EE4AF5">
        <w:trPr>
          <w:trHeight w:val="144"/>
        </w:trPr>
        <w:tc>
          <w:tcPr>
            <w:tcW w:w="3723" w:type="dxa"/>
            <w:vMerge/>
            <w:tcBorders>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bCs/>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C32252" w:rsidRDefault="001432D2" w:rsidP="001044DB">
            <w:pPr>
              <w:jc w:val="center"/>
              <w:rPr>
                <w:rFonts w:eastAsia="Times New Roman"/>
                <w:b/>
                <w:lang w:eastAsia="en-CA"/>
              </w:rPr>
            </w:pPr>
            <w:r w:rsidRPr="00C32252">
              <w:rPr>
                <w:rFonts w:eastAsia="Times New Roman"/>
                <w:b/>
                <w:lang w:eastAsia="en-CA"/>
              </w:rPr>
              <w:t>Court</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C32252" w:rsidRDefault="001432D2" w:rsidP="001044DB">
            <w:pPr>
              <w:jc w:val="center"/>
              <w:rPr>
                <w:rFonts w:eastAsia="Times New Roman"/>
                <w:b/>
                <w:lang w:eastAsia="en-CA"/>
              </w:rPr>
            </w:pPr>
            <w:r w:rsidRPr="00C32252">
              <w:rPr>
                <w:rFonts w:eastAsia="Times New Roman"/>
                <w:b/>
                <w:lang w:eastAsia="en-CA"/>
              </w:rPr>
              <w:t>Community</w:t>
            </w:r>
          </w:p>
        </w:tc>
        <w:tc>
          <w:tcPr>
            <w:tcW w:w="1437" w:type="dxa"/>
            <w:vMerge/>
            <w:tcBorders>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lang w:eastAsia="en-CA"/>
              </w:rPr>
            </w:pP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Reduced</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50</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20</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70</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28.4%</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19.2%</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25.0%</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Withdrawn</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26</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10</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36</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14.8%</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9.6%</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12.9%</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Given payment plan</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28</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14</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42</w:t>
            </w:r>
          </w:p>
        </w:tc>
      </w:tr>
      <w:tr w:rsidR="001432D2" w:rsidRPr="00C32252" w:rsidTr="00EE4AF5">
        <w:trPr>
          <w:trHeight w:val="283"/>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15.9%</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13.5%</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15.0%</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Paid in full</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29</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13</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42</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16.5%</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12.5%</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15.0%</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Have not addressed payment</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49</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36</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85</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27.8%</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34.6%</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30.4%</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Given information about fines options program</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11</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11</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22</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6.3%</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10.6%</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7.9%</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Taken part in fines options program</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6</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18</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24</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b/>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3.4%</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17.3%</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8.6%</w:t>
            </w:r>
          </w:p>
        </w:tc>
      </w:tr>
      <w:tr w:rsidR="001432D2" w:rsidRPr="00C32252" w:rsidTr="00EE4AF5">
        <w:trPr>
          <w:trHeight w:val="144"/>
        </w:trPr>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C32252" w:rsidRDefault="001432D2" w:rsidP="001044DB">
            <w:pPr>
              <w:rPr>
                <w:rFonts w:eastAsia="Times New Roman"/>
                <w:b/>
                <w:lang w:eastAsia="en-CA"/>
              </w:rPr>
            </w:pPr>
            <w:r w:rsidRPr="00C32252">
              <w:rPr>
                <w:rFonts w:eastAsia="Times New Roman"/>
                <w:b/>
                <w:lang w:eastAsia="en-CA"/>
              </w:rPr>
              <w:t>Other</w:t>
            </w: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2</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3</w:t>
            </w:r>
          </w:p>
        </w:tc>
      </w:tr>
      <w:tr w:rsidR="001432D2" w:rsidRPr="00C32252" w:rsidTr="00EE4AF5">
        <w:trPr>
          <w:trHeight w:val="144"/>
        </w:trPr>
        <w:tc>
          <w:tcPr>
            <w:tcW w:w="3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C32252" w:rsidRDefault="001432D2" w:rsidP="001044DB">
            <w:pPr>
              <w:rPr>
                <w:rFonts w:eastAsia="Times New Roman"/>
                <w:lang w:eastAsia="en-CA"/>
              </w:rPr>
            </w:pPr>
          </w:p>
        </w:tc>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1.1%</w:t>
            </w:r>
          </w:p>
        </w:tc>
        <w:tc>
          <w:tcPr>
            <w:tcW w:w="201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1.0%</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C32252" w:rsidRDefault="001432D2" w:rsidP="001044DB">
            <w:pPr>
              <w:jc w:val="right"/>
              <w:rPr>
                <w:rFonts w:eastAsia="Times New Roman"/>
                <w:lang w:eastAsia="en-CA"/>
              </w:rPr>
            </w:pPr>
            <w:r w:rsidRPr="00C32252">
              <w:rPr>
                <w:rFonts w:eastAsia="Times New Roman"/>
                <w:lang w:eastAsia="en-CA"/>
              </w:rPr>
              <w:t>1.1%</w:t>
            </w:r>
          </w:p>
        </w:tc>
      </w:tr>
    </w:tbl>
    <w:p w:rsidR="001432D2" w:rsidRDefault="001432D2" w:rsidP="001432D2">
      <w:pPr>
        <w:spacing w:line="360" w:lineRule="auto"/>
      </w:pPr>
    </w:p>
    <w:p w:rsidR="001432D2" w:rsidRDefault="001432D2" w:rsidP="001432D2">
      <w:pPr>
        <w:spacing w:line="360" w:lineRule="auto"/>
        <w:rPr>
          <w:rFonts w:eastAsia="Times New Roman"/>
          <w:bCs/>
          <w:lang w:eastAsia="en-CA"/>
        </w:rPr>
      </w:pPr>
      <w:r>
        <w:rPr>
          <w:rFonts w:eastAsia="Times New Roman"/>
          <w:bCs/>
          <w:lang w:eastAsia="en-CA"/>
        </w:rPr>
        <w:t>It is worth noting here, that consistent with existing research, respondents that were experiencing unstable housing appeared more likely</w:t>
      </w:r>
      <w:r w:rsidR="00A46D67">
        <w:rPr>
          <w:rFonts w:eastAsia="Times New Roman"/>
          <w:bCs/>
          <w:lang w:eastAsia="en-CA"/>
        </w:rPr>
        <w:t xml:space="preserve"> to </w:t>
      </w:r>
      <w:r w:rsidR="00A46D67">
        <w:rPr>
          <w:rFonts w:eastAsia="Times New Roman"/>
          <w:bCs/>
          <w:lang w:eastAsia="en-CA"/>
        </w:rPr>
        <w:lastRenderedPageBreak/>
        <w:t>report specific types of by</w:t>
      </w:r>
      <w:r>
        <w:rPr>
          <w:rFonts w:eastAsia="Times New Roman"/>
          <w:bCs/>
          <w:lang w:eastAsia="en-CA"/>
        </w:rPr>
        <w:t>law offences. These included panhan</w:t>
      </w:r>
      <w:r w:rsidR="00EE4AF5">
        <w:rPr>
          <w:rFonts w:eastAsia="Times New Roman"/>
          <w:bCs/>
          <w:lang w:eastAsia="en-CA"/>
        </w:rPr>
        <w:t>dling, loitering, urinating/defe</w:t>
      </w:r>
      <w:r>
        <w:rPr>
          <w:rFonts w:eastAsia="Times New Roman"/>
          <w:bCs/>
          <w:lang w:eastAsia="en-CA"/>
        </w:rPr>
        <w:t xml:space="preserve">cating in public, etc. Thus, any discussion of the impact of fines must also consider the broader impact of bylaws that target vulnerable populations (see table A </w:t>
      </w:r>
      <w:r>
        <w:rPr>
          <w:rFonts w:eastAsia="Times New Roman"/>
          <w:bCs/>
          <w:lang w:eastAsia="en-CA"/>
        </w:rPr>
        <w:lastRenderedPageBreak/>
        <w:t xml:space="preserve">in the appendices for complete summary of fines by housing status). </w:t>
      </w:r>
      <w:r w:rsidRPr="004E3AF0">
        <w:rPr>
          <w:rFonts w:eastAsia="Times New Roman"/>
          <w:bCs/>
          <w:lang w:eastAsia="en-CA"/>
        </w:rPr>
        <w:t>Table 4.10 shows the impact of fines reported by respondents in each sample group.</w:t>
      </w:r>
      <w:r>
        <w:rPr>
          <w:rFonts w:eastAsia="Times New Roman"/>
          <w:bCs/>
          <w:lang w:eastAsia="en-CA"/>
        </w:rPr>
        <w:t xml:space="preserve"> </w:t>
      </w:r>
      <w:r w:rsidRPr="004E3AF0">
        <w:rPr>
          <w:rFonts w:eastAsia="Times New Roman"/>
          <w:bCs/>
          <w:lang w:eastAsia="en-CA"/>
        </w:rPr>
        <w:t xml:space="preserve">18.0% of court respondents and 31.0% of community respondents indicated that the fines they received were unavoidable as </w:t>
      </w:r>
      <w:r w:rsidRPr="004E3AF0">
        <w:rPr>
          <w:rFonts w:eastAsia="Times New Roman"/>
          <w:bCs/>
          <w:lang w:eastAsia="en-CA"/>
        </w:rPr>
        <w:lastRenderedPageBreak/>
        <w:t>they did not have alternatives.</w:t>
      </w:r>
      <w:r>
        <w:rPr>
          <w:rFonts w:eastAsia="Times New Roman"/>
          <w:bCs/>
          <w:lang w:eastAsia="en-CA"/>
        </w:rPr>
        <w:t xml:space="preserve"> </w:t>
      </w:r>
      <w:r w:rsidRPr="004E3AF0">
        <w:rPr>
          <w:rFonts w:eastAsia="Times New Roman"/>
          <w:bCs/>
          <w:lang w:eastAsia="en-CA"/>
        </w:rPr>
        <w:t>30.9% of court respondents and 20.4% of community respondents indicated that they would avoid similar infractions in the future.</w:t>
      </w:r>
      <w:r>
        <w:rPr>
          <w:rFonts w:eastAsia="Times New Roman"/>
          <w:bCs/>
          <w:lang w:eastAsia="en-CA"/>
        </w:rPr>
        <w:t xml:space="preserve"> </w:t>
      </w:r>
      <w:r w:rsidRPr="004E3AF0">
        <w:rPr>
          <w:rFonts w:eastAsia="Times New Roman"/>
          <w:bCs/>
          <w:lang w:eastAsia="en-CA"/>
        </w:rPr>
        <w:t xml:space="preserve">8.3% of the court sample and 20.4% of the community sample indicated they were unable to license their vehicle </w:t>
      </w:r>
      <w:r w:rsidRPr="004E3AF0">
        <w:rPr>
          <w:rFonts w:eastAsia="Times New Roman"/>
          <w:bCs/>
          <w:lang w:eastAsia="en-CA"/>
        </w:rPr>
        <w:lastRenderedPageBreak/>
        <w:t>due to their fines.</w:t>
      </w:r>
      <w:r>
        <w:rPr>
          <w:rFonts w:eastAsia="Times New Roman"/>
          <w:bCs/>
          <w:lang w:eastAsia="en-CA"/>
        </w:rPr>
        <w:t xml:space="preserve"> </w:t>
      </w:r>
      <w:r w:rsidRPr="004E3AF0">
        <w:rPr>
          <w:rFonts w:eastAsia="Times New Roman"/>
          <w:bCs/>
          <w:lang w:eastAsia="en-CA"/>
        </w:rPr>
        <w:t>Finally, for both group fines caused considerable stress as 51.6% of court respondents and 53.1% of community respondents indicated stress as an impact of receiving fines.</w:t>
      </w:r>
      <w:r>
        <w:rPr>
          <w:rFonts w:eastAsia="Times New Roman"/>
          <w:bCs/>
          <w:lang w:eastAsia="en-CA"/>
        </w:rPr>
        <w:br/>
      </w:r>
    </w:p>
    <w:p w:rsidR="00EE4AF5" w:rsidRDefault="00EE4AF5">
      <w:r>
        <w:br w:type="page"/>
      </w:r>
    </w:p>
    <w:tbl>
      <w:tblPr>
        <w:tblW w:w="9639" w:type="dxa"/>
        <w:tblLayout w:type="fixed"/>
        <w:tblLook w:val="04A0" w:firstRow="1" w:lastRow="0" w:firstColumn="1" w:lastColumn="0" w:noHBand="0" w:noVBand="1"/>
      </w:tblPr>
      <w:tblGrid>
        <w:gridCol w:w="3731"/>
        <w:gridCol w:w="2133"/>
        <w:gridCol w:w="1946"/>
        <w:gridCol w:w="1829"/>
      </w:tblGrid>
      <w:tr w:rsidR="001432D2" w:rsidRPr="00A05BC5" w:rsidTr="001044DB">
        <w:trPr>
          <w:trHeight w:val="307"/>
        </w:trPr>
        <w:tc>
          <w:tcPr>
            <w:tcW w:w="9639" w:type="dxa"/>
            <w:gridSpan w:val="4"/>
            <w:tcBorders>
              <w:bottom w:val="single" w:sz="4" w:space="0" w:color="auto"/>
            </w:tcBorders>
            <w:shd w:val="clear" w:color="auto" w:fill="auto"/>
            <w:vAlign w:val="center"/>
            <w:hideMark/>
          </w:tcPr>
          <w:p w:rsidR="001432D2" w:rsidRPr="00A05BC5" w:rsidRDefault="003C76E0" w:rsidP="001044DB">
            <w:pPr>
              <w:rPr>
                <w:rFonts w:eastAsia="Times New Roman"/>
                <w:b/>
                <w:bCs/>
                <w:sz w:val="28"/>
                <w:szCs w:val="28"/>
                <w:lang w:eastAsia="en-CA"/>
              </w:rPr>
            </w:pPr>
            <w:r>
              <w:rPr>
                <w:b/>
                <w:bCs/>
                <w:sz w:val="28"/>
                <w:szCs w:val="28"/>
              </w:rPr>
              <w:lastRenderedPageBreak/>
              <w:t xml:space="preserve">Table </w:t>
            </w:r>
            <w:r w:rsidR="001432D2">
              <w:rPr>
                <w:rFonts w:eastAsia="Times New Roman"/>
                <w:b/>
                <w:bCs/>
                <w:sz w:val="28"/>
                <w:szCs w:val="28"/>
                <w:lang w:eastAsia="en-CA"/>
              </w:rPr>
              <w:t>4.10</w:t>
            </w:r>
            <w:r w:rsidR="001432D2" w:rsidRPr="00A05BC5">
              <w:rPr>
                <w:rFonts w:eastAsia="Times New Roman"/>
                <w:b/>
                <w:bCs/>
                <w:sz w:val="28"/>
                <w:szCs w:val="28"/>
                <w:lang w:eastAsia="en-CA"/>
              </w:rPr>
              <w:t xml:space="preserve"> Impact of fines by Sample Type</w:t>
            </w: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bCs/>
                <w:lang w:eastAsia="en-CA"/>
              </w:rPr>
            </w:pPr>
          </w:p>
        </w:tc>
        <w:tc>
          <w:tcPr>
            <w:tcW w:w="40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lang w:eastAsia="en-CA"/>
              </w:rPr>
            </w:pPr>
            <w:r w:rsidRPr="007C409A">
              <w:rPr>
                <w:rFonts w:eastAsia="Times New Roman"/>
                <w:b/>
                <w:lang w:eastAsia="en-CA"/>
              </w:rPr>
              <w:t>Survey location</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lang w:eastAsia="en-CA"/>
              </w:rPr>
            </w:pPr>
            <w:r w:rsidRPr="007C409A">
              <w:rPr>
                <w:rFonts w:eastAsia="Times New Roman"/>
                <w:lang w:eastAsia="en-CA"/>
              </w:rPr>
              <w:t>Total</w:t>
            </w:r>
          </w:p>
        </w:tc>
      </w:tr>
      <w:tr w:rsidR="001432D2" w:rsidRPr="007C409A" w:rsidTr="001044DB">
        <w:trPr>
          <w:trHeight w:val="144"/>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bCs/>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lang w:eastAsia="en-CA"/>
              </w:rPr>
            </w:pPr>
            <w:r w:rsidRPr="007C409A">
              <w:rPr>
                <w:rFonts w:eastAsia="Times New Roman"/>
                <w:b/>
                <w:lang w:eastAsia="en-CA"/>
              </w:rPr>
              <w:t>Court</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32D2" w:rsidRPr="007C409A" w:rsidRDefault="001432D2" w:rsidP="001044DB">
            <w:pPr>
              <w:jc w:val="center"/>
              <w:rPr>
                <w:rFonts w:eastAsia="Times New Roman"/>
                <w:b/>
                <w:lang w:eastAsia="en-CA"/>
              </w:rPr>
            </w:pPr>
            <w:r w:rsidRPr="007C409A">
              <w:rPr>
                <w:rFonts w:eastAsia="Times New Roman"/>
                <w:b/>
                <w:lang w:eastAsia="en-CA"/>
              </w:rPr>
              <w:t>Community</w:t>
            </w:r>
          </w:p>
        </w:tc>
        <w:tc>
          <w:tcPr>
            <w:tcW w:w="18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lang w:eastAsia="en-CA"/>
              </w:rPr>
            </w:pP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7C409A" w:rsidRDefault="001432D2" w:rsidP="001044DB">
            <w:pPr>
              <w:rPr>
                <w:rFonts w:eastAsia="Times New Roman"/>
                <w:b/>
                <w:lang w:eastAsia="en-CA"/>
              </w:rPr>
            </w:pPr>
            <w:r w:rsidRPr="007C409A">
              <w:rPr>
                <w:rFonts w:eastAsia="Times New Roman"/>
                <w:b/>
                <w:lang w:eastAsia="en-CA"/>
              </w:rPr>
              <w:t>No alternatives</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39</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35</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74</w:t>
            </w:r>
          </w:p>
        </w:tc>
      </w:tr>
      <w:tr w:rsidR="001432D2" w:rsidRPr="007C409A" w:rsidTr="001044DB">
        <w:trPr>
          <w:trHeight w:val="144"/>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18.0%</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31.0%</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22.4%</w:t>
            </w: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7C409A" w:rsidRDefault="001432D2" w:rsidP="001044DB">
            <w:pPr>
              <w:rPr>
                <w:rFonts w:eastAsia="Times New Roman"/>
                <w:b/>
                <w:lang w:eastAsia="en-CA"/>
              </w:rPr>
            </w:pPr>
            <w:r w:rsidRPr="007C409A">
              <w:rPr>
                <w:rFonts w:eastAsia="Times New Roman"/>
                <w:b/>
                <w:lang w:eastAsia="en-CA"/>
              </w:rPr>
              <w:t>Avoided similar infractions</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67</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23</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90</w:t>
            </w:r>
          </w:p>
        </w:tc>
      </w:tr>
      <w:tr w:rsidR="001432D2" w:rsidRPr="007C409A" w:rsidTr="001044DB">
        <w:trPr>
          <w:trHeight w:val="314"/>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30.9%</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20.4%</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27.3%</w:t>
            </w: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7C409A" w:rsidRDefault="001432D2" w:rsidP="001044DB">
            <w:pPr>
              <w:rPr>
                <w:rFonts w:eastAsia="Times New Roman"/>
                <w:b/>
                <w:lang w:eastAsia="en-CA"/>
              </w:rPr>
            </w:pPr>
            <w:r w:rsidRPr="007C409A">
              <w:rPr>
                <w:rFonts w:eastAsia="Times New Roman"/>
                <w:b/>
                <w:lang w:eastAsia="en-CA"/>
              </w:rPr>
              <w:t>Unable to license vehicle</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18</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23</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41</w:t>
            </w:r>
          </w:p>
        </w:tc>
      </w:tr>
      <w:tr w:rsidR="001432D2" w:rsidRPr="007C409A" w:rsidTr="001044DB">
        <w:trPr>
          <w:trHeight w:val="283"/>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8.3%</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20.4%</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12.4%</w:t>
            </w: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7C409A" w:rsidRDefault="001432D2" w:rsidP="001044DB">
            <w:pPr>
              <w:rPr>
                <w:rFonts w:eastAsia="Times New Roman"/>
                <w:b/>
                <w:lang w:eastAsia="en-CA"/>
              </w:rPr>
            </w:pPr>
            <w:r w:rsidRPr="007C409A">
              <w:rPr>
                <w:rFonts w:eastAsia="Times New Roman"/>
                <w:b/>
                <w:lang w:eastAsia="en-CA"/>
              </w:rPr>
              <w:t>Stress</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112</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60</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172</w:t>
            </w:r>
          </w:p>
        </w:tc>
      </w:tr>
      <w:tr w:rsidR="001432D2" w:rsidRPr="007C409A" w:rsidTr="001044DB">
        <w:trPr>
          <w:trHeight w:val="144"/>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51.6%</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53.1%</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52.1%</w:t>
            </w: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7C409A" w:rsidRDefault="001432D2" w:rsidP="001044DB">
            <w:pPr>
              <w:rPr>
                <w:rFonts w:eastAsia="Times New Roman"/>
                <w:b/>
                <w:lang w:eastAsia="en-CA"/>
              </w:rPr>
            </w:pPr>
            <w:r w:rsidRPr="007C409A">
              <w:rPr>
                <w:rFonts w:eastAsia="Times New Roman"/>
                <w:b/>
                <w:lang w:eastAsia="en-CA"/>
              </w:rPr>
              <w:t>Other</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18</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22</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40</w:t>
            </w:r>
          </w:p>
        </w:tc>
      </w:tr>
      <w:tr w:rsidR="001432D2" w:rsidRPr="007C409A" w:rsidTr="001044DB">
        <w:trPr>
          <w:trHeight w:val="144"/>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b/>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8.3%</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19.5%</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12.1%</w:t>
            </w:r>
          </w:p>
        </w:tc>
      </w:tr>
      <w:tr w:rsidR="001432D2" w:rsidRPr="007C409A" w:rsidTr="001044DB">
        <w:trPr>
          <w:trHeight w:val="144"/>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32D2" w:rsidRPr="007C409A" w:rsidRDefault="001432D2" w:rsidP="001044DB">
            <w:pPr>
              <w:rPr>
                <w:rFonts w:eastAsia="Times New Roman"/>
                <w:b/>
                <w:lang w:eastAsia="en-CA"/>
              </w:rPr>
            </w:pPr>
            <w:r w:rsidRPr="007C409A">
              <w:rPr>
                <w:rFonts w:eastAsia="Times New Roman"/>
                <w:b/>
                <w:lang w:eastAsia="en-CA"/>
              </w:rPr>
              <w:t>None</w:t>
            </w: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11</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2</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13</w:t>
            </w:r>
          </w:p>
        </w:tc>
      </w:tr>
      <w:tr w:rsidR="001432D2" w:rsidRPr="007C409A" w:rsidTr="001044DB">
        <w:trPr>
          <w:trHeight w:val="144"/>
        </w:trPr>
        <w:tc>
          <w:tcPr>
            <w:tcW w:w="37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32D2" w:rsidRPr="007C409A" w:rsidRDefault="001432D2" w:rsidP="001044DB">
            <w:pPr>
              <w:rPr>
                <w:rFonts w:eastAsia="Times New Roman"/>
                <w:lang w:eastAsia="en-CA"/>
              </w:rPr>
            </w:pPr>
          </w:p>
        </w:tc>
        <w:tc>
          <w:tcPr>
            <w:tcW w:w="2133"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5.1%</w:t>
            </w:r>
          </w:p>
        </w:tc>
        <w:tc>
          <w:tcPr>
            <w:tcW w:w="1946"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1.8%</w:t>
            </w:r>
          </w:p>
        </w:tc>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1432D2" w:rsidRPr="007C409A" w:rsidRDefault="001432D2" w:rsidP="001044DB">
            <w:pPr>
              <w:jc w:val="right"/>
              <w:rPr>
                <w:rFonts w:eastAsia="Times New Roman"/>
                <w:lang w:eastAsia="en-CA"/>
              </w:rPr>
            </w:pPr>
            <w:r w:rsidRPr="007C409A">
              <w:rPr>
                <w:rFonts w:eastAsia="Times New Roman"/>
                <w:lang w:eastAsia="en-CA"/>
              </w:rPr>
              <w:t>3.9%</w:t>
            </w:r>
          </w:p>
        </w:tc>
      </w:tr>
    </w:tbl>
    <w:p w:rsidR="001432D2" w:rsidRDefault="001432D2" w:rsidP="001432D2">
      <w:pPr>
        <w:autoSpaceDE w:val="0"/>
        <w:autoSpaceDN w:val="0"/>
        <w:adjustRightInd w:val="0"/>
        <w:spacing w:line="360" w:lineRule="auto"/>
        <w:ind w:left="60" w:right="60"/>
        <w:rPr>
          <w:bCs/>
        </w:rPr>
      </w:pPr>
    </w:p>
    <w:p w:rsidR="001432D2" w:rsidRDefault="001432D2" w:rsidP="001432D2">
      <w:pPr>
        <w:autoSpaceDE w:val="0"/>
        <w:autoSpaceDN w:val="0"/>
        <w:adjustRightInd w:val="0"/>
        <w:spacing w:line="360" w:lineRule="auto"/>
        <w:ind w:left="60" w:right="60"/>
        <w:rPr>
          <w:bCs/>
        </w:rPr>
      </w:pPr>
      <w:r>
        <w:rPr>
          <w:bCs/>
        </w:rPr>
        <w:t>Table 4.11 shows respondents</w:t>
      </w:r>
      <w:r w:rsidR="003C76E0">
        <w:rPr>
          <w:bCs/>
        </w:rPr>
        <w:t>’</w:t>
      </w:r>
      <w:r>
        <w:rPr>
          <w:bCs/>
        </w:rPr>
        <w:t xml:space="preserve"> self-reported ability to pay fines by community and court sample. Community respondents (76.1% of cases) were more likely than court </w:t>
      </w:r>
      <w:r>
        <w:rPr>
          <w:bCs/>
        </w:rPr>
        <w:lastRenderedPageBreak/>
        <w:t xml:space="preserve">respondents (50.7% of cases) to indicate they were unable to pay their fines. </w:t>
      </w:r>
    </w:p>
    <w:p w:rsidR="00EE4AF5" w:rsidRDefault="00EE4AF5" w:rsidP="001432D2">
      <w:pPr>
        <w:autoSpaceDE w:val="0"/>
        <w:autoSpaceDN w:val="0"/>
        <w:adjustRightInd w:val="0"/>
        <w:spacing w:line="360" w:lineRule="auto"/>
        <w:ind w:left="60" w:right="60"/>
        <w:rPr>
          <w:bCs/>
        </w:rPr>
      </w:pPr>
    </w:p>
    <w:tbl>
      <w:tblPr>
        <w:tblW w:w="9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7"/>
        <w:gridCol w:w="1843"/>
        <w:gridCol w:w="2070"/>
        <w:gridCol w:w="1902"/>
        <w:gridCol w:w="1984"/>
      </w:tblGrid>
      <w:tr w:rsidR="00C32252" w:rsidRPr="001222AD" w:rsidTr="001432D2">
        <w:trPr>
          <w:cantSplit/>
          <w:trHeight w:val="307"/>
        </w:trPr>
        <w:tc>
          <w:tcPr>
            <w:tcW w:w="9696" w:type="dxa"/>
            <w:gridSpan w:val="5"/>
            <w:tcBorders>
              <w:top w:val="nil"/>
              <w:left w:val="nil"/>
              <w:bottom w:val="nil"/>
              <w:right w:val="nil"/>
            </w:tcBorders>
            <w:shd w:val="clear" w:color="auto" w:fill="FFFFFF"/>
            <w:vAlign w:val="center"/>
          </w:tcPr>
          <w:p w:rsidR="005B658D" w:rsidRPr="00EB590F" w:rsidRDefault="003C76E0" w:rsidP="00C1466C">
            <w:pPr>
              <w:autoSpaceDE w:val="0"/>
              <w:autoSpaceDN w:val="0"/>
              <w:adjustRightInd w:val="0"/>
              <w:ind w:left="60" w:right="60"/>
              <w:rPr>
                <w:sz w:val="28"/>
                <w:szCs w:val="28"/>
              </w:rPr>
            </w:pPr>
            <w:r>
              <w:rPr>
                <w:b/>
                <w:bCs/>
                <w:sz w:val="28"/>
                <w:szCs w:val="28"/>
              </w:rPr>
              <w:t xml:space="preserve">Table </w:t>
            </w:r>
            <w:r w:rsidR="008C35BE">
              <w:rPr>
                <w:b/>
                <w:bCs/>
                <w:sz w:val="28"/>
                <w:szCs w:val="28"/>
              </w:rPr>
              <w:t>4.11</w:t>
            </w:r>
            <w:r w:rsidR="00C1466C" w:rsidRPr="00EB590F">
              <w:rPr>
                <w:b/>
                <w:bCs/>
                <w:sz w:val="28"/>
                <w:szCs w:val="28"/>
              </w:rPr>
              <w:t xml:space="preserve"> </w:t>
            </w:r>
            <w:r w:rsidR="005B658D" w:rsidRPr="00EB590F">
              <w:rPr>
                <w:b/>
                <w:bCs/>
                <w:sz w:val="28"/>
                <w:szCs w:val="28"/>
              </w:rPr>
              <w:t xml:space="preserve">Unable to pay fines </w:t>
            </w:r>
            <w:r w:rsidR="00C1466C" w:rsidRPr="00EB590F">
              <w:rPr>
                <w:b/>
                <w:bCs/>
                <w:sz w:val="28"/>
                <w:szCs w:val="28"/>
              </w:rPr>
              <w:t>by Sample Type</w:t>
            </w:r>
          </w:p>
        </w:tc>
      </w:tr>
      <w:tr w:rsidR="001222AD" w:rsidRPr="001222AD" w:rsidTr="001432D2">
        <w:trPr>
          <w:cantSplit/>
        </w:trPr>
        <w:tc>
          <w:tcPr>
            <w:tcW w:w="374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pPr>
          </w:p>
        </w:tc>
        <w:tc>
          <w:tcPr>
            <w:tcW w:w="39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rPr>
                <w:b/>
              </w:rPr>
            </w:pPr>
            <w:r w:rsidRPr="001222AD">
              <w:rPr>
                <w:b/>
              </w:rPr>
              <w:t>Survey location</w:t>
            </w:r>
          </w:p>
        </w:tc>
        <w:tc>
          <w:tcPr>
            <w:tcW w:w="1984"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pPr>
            <w:r w:rsidRPr="001222AD">
              <w:t>Total</w:t>
            </w:r>
          </w:p>
        </w:tc>
      </w:tr>
      <w:tr w:rsidR="0031337A" w:rsidRPr="001222AD" w:rsidTr="001432D2">
        <w:trPr>
          <w:cantSplit/>
        </w:trPr>
        <w:tc>
          <w:tcPr>
            <w:tcW w:w="3740" w:type="dxa"/>
            <w:gridSpan w:val="2"/>
            <w:vMerge/>
            <w:tcBorders>
              <w:top w:val="nil"/>
              <w:left w:val="single" w:sz="4" w:space="0" w:color="auto"/>
              <w:bottom w:val="nil"/>
              <w:right w:val="single" w:sz="4" w:space="0" w:color="auto"/>
            </w:tcBorders>
            <w:shd w:val="clear" w:color="auto" w:fill="FFFFFF"/>
            <w:vAlign w:val="bottom"/>
          </w:tcPr>
          <w:p w:rsidR="005B658D" w:rsidRPr="001222AD" w:rsidRDefault="005B658D" w:rsidP="00924A5F">
            <w:pPr>
              <w:autoSpaceDE w:val="0"/>
              <w:autoSpaceDN w:val="0"/>
              <w:adjustRightInd w:val="0"/>
            </w:pPr>
          </w:p>
        </w:tc>
        <w:tc>
          <w:tcPr>
            <w:tcW w:w="2070" w:type="dxa"/>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rPr>
                <w:b/>
              </w:rPr>
            </w:pPr>
            <w:r w:rsidRPr="001222AD">
              <w:rPr>
                <w:b/>
              </w:rPr>
              <w:t>Court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1222AD" w:rsidRDefault="005B658D" w:rsidP="00924A5F">
            <w:pPr>
              <w:autoSpaceDE w:val="0"/>
              <w:autoSpaceDN w:val="0"/>
              <w:adjustRightInd w:val="0"/>
              <w:ind w:left="60" w:right="60"/>
              <w:jc w:val="center"/>
              <w:rPr>
                <w:b/>
              </w:rPr>
            </w:pPr>
            <w:r w:rsidRPr="001222AD">
              <w:rPr>
                <w:b/>
              </w:rPr>
              <w:t>Community</w:t>
            </w:r>
          </w:p>
        </w:tc>
        <w:tc>
          <w:tcPr>
            <w:tcW w:w="1984" w:type="dxa"/>
            <w:vMerge/>
            <w:tcBorders>
              <w:top w:val="nil"/>
              <w:left w:val="single" w:sz="4" w:space="0" w:color="auto"/>
              <w:bottom w:val="single" w:sz="4" w:space="0" w:color="auto"/>
              <w:right w:val="single" w:sz="4" w:space="0" w:color="auto"/>
            </w:tcBorders>
            <w:shd w:val="clear" w:color="auto" w:fill="FFFFFF"/>
            <w:vAlign w:val="bottom"/>
          </w:tcPr>
          <w:p w:rsidR="005B658D" w:rsidRPr="001222AD" w:rsidRDefault="005B658D" w:rsidP="00924A5F">
            <w:pPr>
              <w:autoSpaceDE w:val="0"/>
              <w:autoSpaceDN w:val="0"/>
              <w:adjustRightInd w:val="0"/>
            </w:pPr>
          </w:p>
        </w:tc>
      </w:tr>
      <w:tr w:rsidR="001222AD" w:rsidRPr="001222AD" w:rsidTr="001432D2">
        <w:trPr>
          <w:cantSplit/>
          <w:trHeight w:val="315"/>
        </w:trPr>
        <w:tc>
          <w:tcPr>
            <w:tcW w:w="1897" w:type="dxa"/>
            <w:vMerge w:val="restart"/>
            <w:tcBorders>
              <w:top w:val="single" w:sz="8" w:space="0" w:color="152935"/>
              <w:left w:val="single" w:sz="4" w:space="0" w:color="auto"/>
              <w:bottom w:val="nil"/>
              <w:right w:val="nil"/>
            </w:tcBorders>
            <w:shd w:val="clear" w:color="auto" w:fill="E0E0E0"/>
          </w:tcPr>
          <w:p w:rsidR="0020359E" w:rsidRPr="001222AD" w:rsidRDefault="0020359E" w:rsidP="00924A5F">
            <w:pPr>
              <w:autoSpaceDE w:val="0"/>
              <w:autoSpaceDN w:val="0"/>
              <w:adjustRightInd w:val="0"/>
              <w:ind w:left="60" w:right="60"/>
              <w:rPr>
                <w:b/>
              </w:rPr>
            </w:pPr>
            <w:r w:rsidRPr="001222AD">
              <w:rPr>
                <w:b/>
              </w:rPr>
              <w:t>Unable to pay fines</w:t>
            </w:r>
          </w:p>
        </w:tc>
        <w:tc>
          <w:tcPr>
            <w:tcW w:w="1843" w:type="dxa"/>
            <w:vMerge w:val="restart"/>
            <w:tcBorders>
              <w:top w:val="single" w:sz="8" w:space="0" w:color="152935"/>
              <w:left w:val="nil"/>
              <w:bottom w:val="nil"/>
              <w:right w:val="nil"/>
            </w:tcBorders>
            <w:shd w:val="clear" w:color="auto" w:fill="E0E0E0"/>
          </w:tcPr>
          <w:p w:rsidR="0020359E" w:rsidRPr="001222AD" w:rsidRDefault="0020359E" w:rsidP="00924A5F">
            <w:pPr>
              <w:autoSpaceDE w:val="0"/>
              <w:autoSpaceDN w:val="0"/>
              <w:adjustRightInd w:val="0"/>
              <w:ind w:left="60" w:right="60"/>
              <w:rPr>
                <w:b/>
              </w:rPr>
            </w:pPr>
            <w:r w:rsidRPr="001222AD">
              <w:rPr>
                <w:b/>
              </w:rPr>
              <w:t>Yes</w:t>
            </w:r>
          </w:p>
        </w:tc>
        <w:tc>
          <w:tcPr>
            <w:tcW w:w="2070" w:type="dxa"/>
            <w:tcBorders>
              <w:top w:val="single" w:sz="4" w:space="0" w:color="auto"/>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137</w:t>
            </w:r>
          </w:p>
        </w:tc>
        <w:tc>
          <w:tcPr>
            <w:tcW w:w="1902" w:type="dxa"/>
            <w:tcBorders>
              <w:top w:val="single" w:sz="4" w:space="0" w:color="auto"/>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89</w:t>
            </w:r>
          </w:p>
        </w:tc>
        <w:tc>
          <w:tcPr>
            <w:tcW w:w="1984" w:type="dxa"/>
            <w:tcBorders>
              <w:top w:val="single" w:sz="4" w:space="0" w:color="auto"/>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226</w:t>
            </w:r>
          </w:p>
        </w:tc>
      </w:tr>
      <w:tr w:rsidR="001222AD" w:rsidRPr="001222AD" w:rsidTr="001432D2">
        <w:trPr>
          <w:cantSplit/>
          <w:trHeight w:val="301"/>
        </w:trPr>
        <w:tc>
          <w:tcPr>
            <w:tcW w:w="1897" w:type="dxa"/>
            <w:vMerge/>
            <w:tcBorders>
              <w:top w:val="single" w:sz="8" w:space="0" w:color="152935"/>
              <w:left w:val="single" w:sz="4" w:space="0" w:color="auto"/>
              <w:bottom w:val="nil"/>
              <w:right w:val="nil"/>
            </w:tcBorders>
            <w:shd w:val="clear" w:color="auto" w:fill="E0E0E0"/>
          </w:tcPr>
          <w:p w:rsidR="0020359E" w:rsidRPr="001222AD" w:rsidRDefault="0020359E" w:rsidP="00924A5F">
            <w:pPr>
              <w:autoSpaceDE w:val="0"/>
              <w:autoSpaceDN w:val="0"/>
              <w:adjustRightInd w:val="0"/>
              <w:rPr>
                <w:b/>
              </w:rPr>
            </w:pPr>
          </w:p>
        </w:tc>
        <w:tc>
          <w:tcPr>
            <w:tcW w:w="1843" w:type="dxa"/>
            <w:vMerge/>
            <w:tcBorders>
              <w:top w:val="single" w:sz="8" w:space="0" w:color="152935"/>
              <w:left w:val="nil"/>
              <w:bottom w:val="nil"/>
              <w:right w:val="nil"/>
            </w:tcBorders>
            <w:shd w:val="clear" w:color="auto" w:fill="E0E0E0"/>
          </w:tcPr>
          <w:p w:rsidR="0020359E" w:rsidRPr="001222AD" w:rsidRDefault="0020359E" w:rsidP="00924A5F">
            <w:pPr>
              <w:autoSpaceDE w:val="0"/>
              <w:autoSpaceDN w:val="0"/>
              <w:adjustRightInd w:val="0"/>
              <w:rPr>
                <w:b/>
              </w:rPr>
            </w:pPr>
          </w:p>
        </w:tc>
        <w:tc>
          <w:tcPr>
            <w:tcW w:w="2070" w:type="dxa"/>
            <w:tcBorders>
              <w:top w:val="single" w:sz="8" w:space="0" w:color="AEAEAE"/>
              <w:left w:val="single" w:sz="4" w:space="0" w:color="auto"/>
              <w:bottom w:val="nil"/>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50.7%</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76.1%</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58.4%</w:t>
            </w:r>
          </w:p>
        </w:tc>
      </w:tr>
      <w:tr w:rsidR="001222AD" w:rsidRPr="001222AD" w:rsidTr="001432D2">
        <w:trPr>
          <w:cantSplit/>
        </w:trPr>
        <w:tc>
          <w:tcPr>
            <w:tcW w:w="1897" w:type="dxa"/>
            <w:vMerge/>
            <w:tcBorders>
              <w:top w:val="single" w:sz="8" w:space="0" w:color="152935"/>
              <w:left w:val="single" w:sz="4" w:space="0" w:color="auto"/>
              <w:bottom w:val="nil"/>
              <w:right w:val="nil"/>
            </w:tcBorders>
            <w:shd w:val="clear" w:color="auto" w:fill="E0E0E0"/>
          </w:tcPr>
          <w:p w:rsidR="0020359E" w:rsidRPr="001222AD" w:rsidRDefault="0020359E" w:rsidP="00924A5F">
            <w:pPr>
              <w:autoSpaceDE w:val="0"/>
              <w:autoSpaceDN w:val="0"/>
              <w:adjustRightInd w:val="0"/>
              <w:rPr>
                <w:b/>
              </w:rPr>
            </w:pPr>
          </w:p>
        </w:tc>
        <w:tc>
          <w:tcPr>
            <w:tcW w:w="1843" w:type="dxa"/>
            <w:vMerge w:val="restart"/>
            <w:tcBorders>
              <w:top w:val="single" w:sz="8" w:space="0" w:color="AEAEAE"/>
              <w:left w:val="nil"/>
              <w:bottom w:val="nil"/>
              <w:right w:val="nil"/>
            </w:tcBorders>
            <w:shd w:val="clear" w:color="auto" w:fill="E0E0E0"/>
          </w:tcPr>
          <w:p w:rsidR="0020359E" w:rsidRPr="001222AD" w:rsidRDefault="0020359E" w:rsidP="00924A5F">
            <w:pPr>
              <w:autoSpaceDE w:val="0"/>
              <w:autoSpaceDN w:val="0"/>
              <w:adjustRightInd w:val="0"/>
              <w:ind w:left="60" w:right="60"/>
              <w:rPr>
                <w:b/>
              </w:rPr>
            </w:pPr>
            <w:r w:rsidRPr="001222AD">
              <w:rPr>
                <w:b/>
              </w:rPr>
              <w:t>No</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133</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28</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161</w:t>
            </w:r>
          </w:p>
        </w:tc>
      </w:tr>
      <w:tr w:rsidR="001222AD" w:rsidRPr="001222AD" w:rsidTr="001432D2">
        <w:trPr>
          <w:cantSplit/>
        </w:trPr>
        <w:tc>
          <w:tcPr>
            <w:tcW w:w="1897" w:type="dxa"/>
            <w:vMerge/>
            <w:tcBorders>
              <w:top w:val="single" w:sz="8" w:space="0" w:color="152935"/>
              <w:left w:val="single" w:sz="4" w:space="0" w:color="auto"/>
              <w:bottom w:val="nil"/>
              <w:right w:val="nil"/>
            </w:tcBorders>
            <w:shd w:val="clear" w:color="auto" w:fill="E0E0E0"/>
          </w:tcPr>
          <w:p w:rsidR="0020359E" w:rsidRPr="001222AD" w:rsidRDefault="0020359E" w:rsidP="00924A5F">
            <w:pPr>
              <w:autoSpaceDE w:val="0"/>
              <w:autoSpaceDN w:val="0"/>
              <w:adjustRightInd w:val="0"/>
            </w:pPr>
          </w:p>
        </w:tc>
        <w:tc>
          <w:tcPr>
            <w:tcW w:w="1843" w:type="dxa"/>
            <w:vMerge/>
            <w:tcBorders>
              <w:top w:val="single" w:sz="8" w:space="0" w:color="AEAEAE"/>
              <w:left w:val="nil"/>
              <w:bottom w:val="nil"/>
              <w:right w:val="nil"/>
            </w:tcBorders>
            <w:shd w:val="clear" w:color="auto" w:fill="E0E0E0"/>
          </w:tcPr>
          <w:p w:rsidR="0020359E" w:rsidRPr="001222AD" w:rsidRDefault="0020359E" w:rsidP="00924A5F">
            <w:pPr>
              <w:autoSpaceDE w:val="0"/>
              <w:autoSpaceDN w:val="0"/>
              <w:adjustRightInd w:val="0"/>
            </w:pPr>
          </w:p>
        </w:tc>
        <w:tc>
          <w:tcPr>
            <w:tcW w:w="2070" w:type="dxa"/>
            <w:tcBorders>
              <w:top w:val="single" w:sz="8" w:space="0" w:color="AEAEAE"/>
              <w:left w:val="single" w:sz="4" w:space="0" w:color="auto"/>
              <w:bottom w:val="nil"/>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49.3%</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23.9%</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41.6%</w:t>
            </w:r>
          </w:p>
        </w:tc>
      </w:tr>
      <w:tr w:rsidR="001222AD" w:rsidRPr="001222AD" w:rsidTr="001432D2">
        <w:trPr>
          <w:cantSplit/>
        </w:trPr>
        <w:tc>
          <w:tcPr>
            <w:tcW w:w="3740" w:type="dxa"/>
            <w:gridSpan w:val="2"/>
            <w:vMerge w:val="restart"/>
            <w:tcBorders>
              <w:top w:val="single" w:sz="8" w:space="0" w:color="AEAEAE"/>
              <w:left w:val="single" w:sz="4" w:space="0" w:color="auto"/>
              <w:bottom w:val="single" w:sz="8" w:space="0" w:color="152935"/>
              <w:right w:val="nil"/>
            </w:tcBorders>
            <w:shd w:val="clear" w:color="auto" w:fill="E0E0E0"/>
          </w:tcPr>
          <w:p w:rsidR="0020359E" w:rsidRPr="001222AD" w:rsidRDefault="0020359E" w:rsidP="00924A5F">
            <w:pPr>
              <w:autoSpaceDE w:val="0"/>
              <w:autoSpaceDN w:val="0"/>
              <w:adjustRightInd w:val="0"/>
              <w:ind w:left="60" w:right="60"/>
            </w:pPr>
            <w:r w:rsidRPr="001222AD">
              <w:t>Total</w:t>
            </w:r>
          </w:p>
        </w:tc>
        <w:tc>
          <w:tcPr>
            <w:tcW w:w="2070"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270</w:t>
            </w:r>
          </w:p>
        </w:tc>
        <w:tc>
          <w:tcPr>
            <w:tcW w:w="1902"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117</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387</w:t>
            </w:r>
          </w:p>
        </w:tc>
      </w:tr>
      <w:tr w:rsidR="001222AD" w:rsidRPr="001222AD" w:rsidTr="001432D2">
        <w:trPr>
          <w:cantSplit/>
        </w:trPr>
        <w:tc>
          <w:tcPr>
            <w:tcW w:w="3740" w:type="dxa"/>
            <w:gridSpan w:val="2"/>
            <w:vMerge/>
            <w:tcBorders>
              <w:top w:val="single" w:sz="8" w:space="0" w:color="AEAEAE"/>
              <w:left w:val="single" w:sz="4" w:space="0" w:color="auto"/>
              <w:bottom w:val="single" w:sz="4" w:space="0" w:color="auto"/>
              <w:right w:val="nil"/>
            </w:tcBorders>
            <w:shd w:val="clear" w:color="auto" w:fill="E0E0E0"/>
          </w:tcPr>
          <w:p w:rsidR="0020359E" w:rsidRPr="001222AD" w:rsidRDefault="0020359E" w:rsidP="00924A5F">
            <w:pPr>
              <w:autoSpaceDE w:val="0"/>
              <w:autoSpaceDN w:val="0"/>
              <w:adjustRightInd w:val="0"/>
            </w:pPr>
          </w:p>
        </w:tc>
        <w:tc>
          <w:tcPr>
            <w:tcW w:w="2070" w:type="dxa"/>
            <w:tcBorders>
              <w:top w:val="single" w:sz="8" w:space="0" w:color="AEAEAE"/>
              <w:left w:val="single" w:sz="4" w:space="0" w:color="auto"/>
              <w:bottom w:val="single" w:sz="4" w:space="0" w:color="auto"/>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100.0%</w:t>
            </w:r>
          </w:p>
        </w:tc>
        <w:tc>
          <w:tcPr>
            <w:tcW w:w="1902" w:type="dxa"/>
            <w:tcBorders>
              <w:top w:val="single" w:sz="8" w:space="0" w:color="AEAEAE"/>
              <w:left w:val="single" w:sz="4" w:space="0" w:color="auto"/>
              <w:bottom w:val="single" w:sz="4" w:space="0" w:color="auto"/>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100.0%</w:t>
            </w:r>
          </w:p>
        </w:tc>
        <w:tc>
          <w:tcPr>
            <w:tcW w:w="1984" w:type="dxa"/>
            <w:tcBorders>
              <w:top w:val="single" w:sz="8" w:space="0" w:color="AEAEAE"/>
              <w:left w:val="single" w:sz="4" w:space="0" w:color="auto"/>
              <w:bottom w:val="single" w:sz="4" w:space="0" w:color="auto"/>
              <w:right w:val="single" w:sz="4" w:space="0" w:color="auto"/>
            </w:tcBorders>
            <w:shd w:val="clear" w:color="auto" w:fill="FFFFFF"/>
          </w:tcPr>
          <w:p w:rsidR="0020359E" w:rsidRPr="001222AD" w:rsidRDefault="0020359E" w:rsidP="00924A5F">
            <w:pPr>
              <w:autoSpaceDE w:val="0"/>
              <w:autoSpaceDN w:val="0"/>
              <w:adjustRightInd w:val="0"/>
              <w:ind w:left="60" w:right="60"/>
              <w:jc w:val="right"/>
            </w:pPr>
            <w:r w:rsidRPr="001222AD">
              <w:t>100.0%</w:t>
            </w:r>
          </w:p>
        </w:tc>
      </w:tr>
    </w:tbl>
    <w:p w:rsidR="007359A9" w:rsidRPr="001222AD" w:rsidRDefault="007359A9" w:rsidP="00924A5F">
      <w:pPr>
        <w:autoSpaceDE w:val="0"/>
        <w:autoSpaceDN w:val="0"/>
        <w:adjustRightInd w:val="0"/>
      </w:pPr>
    </w:p>
    <w:p w:rsidR="005B658D" w:rsidRPr="000023F1" w:rsidRDefault="008C35BE" w:rsidP="00207A6B">
      <w:pPr>
        <w:autoSpaceDE w:val="0"/>
        <w:autoSpaceDN w:val="0"/>
        <w:adjustRightInd w:val="0"/>
        <w:spacing w:line="360" w:lineRule="auto"/>
      </w:pPr>
      <w:r>
        <w:t>Table 4.12</w:t>
      </w:r>
      <w:r w:rsidR="00EB4CE3">
        <w:t xml:space="preserve"> shows respondents</w:t>
      </w:r>
      <w:r w:rsidR="00EE4AF5">
        <w:t>’</w:t>
      </w:r>
      <w:r w:rsidR="00EB4CE3">
        <w:t xml:space="preserve"> self-reported ability to pay fines by sample group.</w:t>
      </w:r>
      <w:r w:rsidR="00AA5B12">
        <w:t xml:space="preserve"> </w:t>
      </w:r>
      <w:r w:rsidR="00EB4CE3">
        <w:lastRenderedPageBreak/>
        <w:t>The court sample (39.2%) was more likely to report being able to pay their fines when compared to the community group (12.3% of cases).</w:t>
      </w:r>
      <w:r w:rsidR="00AA5B12">
        <w:t xml:space="preserve"> </w:t>
      </w:r>
      <w:r w:rsidR="00EB4CE3">
        <w:t xml:space="preserve">Looked at another way, 60.8% of court respondents indicated they could not pay their fines while 87.7% </w:t>
      </w:r>
      <w:r w:rsidR="00EB4CE3">
        <w:lastRenderedPageBreak/>
        <w:t>of community respondents indicated they were unable to pay their fines.</w:t>
      </w:r>
    </w:p>
    <w:p w:rsidR="005B658D" w:rsidRPr="000023F1" w:rsidRDefault="005B658D" w:rsidP="00924A5F">
      <w:pPr>
        <w:autoSpaceDE w:val="0"/>
        <w:autoSpaceDN w:val="0"/>
        <w:adjustRightInd w:val="0"/>
      </w:pPr>
    </w:p>
    <w:p w:rsidR="005B658D" w:rsidRPr="000023F1" w:rsidRDefault="005B658D" w:rsidP="00924A5F">
      <w:pPr>
        <w:autoSpaceDE w:val="0"/>
        <w:autoSpaceDN w:val="0"/>
        <w:adjustRightInd w:val="0"/>
      </w:pPr>
    </w:p>
    <w:p w:rsidR="00EE4AF5" w:rsidRDefault="00EE4AF5">
      <w:r>
        <w:br w:type="page"/>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573"/>
        <w:gridCol w:w="7"/>
        <w:gridCol w:w="1628"/>
        <w:gridCol w:w="2076"/>
        <w:gridCol w:w="1893"/>
        <w:gridCol w:w="1701"/>
      </w:tblGrid>
      <w:tr w:rsidR="00C32252" w:rsidRPr="000023F1" w:rsidTr="005E4BF5">
        <w:trPr>
          <w:cantSplit/>
        </w:trPr>
        <w:tc>
          <w:tcPr>
            <w:tcW w:w="9498" w:type="dxa"/>
            <w:gridSpan w:val="7"/>
            <w:tcBorders>
              <w:top w:val="nil"/>
              <w:left w:val="nil"/>
              <w:bottom w:val="single" w:sz="4" w:space="0" w:color="auto"/>
              <w:right w:val="nil"/>
            </w:tcBorders>
            <w:shd w:val="clear" w:color="auto" w:fill="FFFFFF"/>
            <w:vAlign w:val="center"/>
          </w:tcPr>
          <w:p w:rsidR="005B658D" w:rsidRPr="005E4BF5" w:rsidRDefault="003C76E0" w:rsidP="005E4BF5">
            <w:pPr>
              <w:autoSpaceDE w:val="0"/>
              <w:autoSpaceDN w:val="0"/>
              <w:adjustRightInd w:val="0"/>
              <w:ind w:left="60" w:right="60"/>
              <w:rPr>
                <w:sz w:val="28"/>
                <w:szCs w:val="28"/>
              </w:rPr>
            </w:pPr>
            <w:r>
              <w:rPr>
                <w:b/>
                <w:bCs/>
                <w:sz w:val="28"/>
                <w:szCs w:val="28"/>
              </w:rPr>
              <w:lastRenderedPageBreak/>
              <w:t xml:space="preserve">Table </w:t>
            </w:r>
            <w:r w:rsidR="00EE4AF5">
              <w:rPr>
                <w:b/>
                <w:bCs/>
                <w:sz w:val="28"/>
                <w:szCs w:val="28"/>
              </w:rPr>
              <w:t>4.12 Fine P</w:t>
            </w:r>
            <w:r w:rsidR="005E4BF5" w:rsidRPr="005E4BF5">
              <w:rPr>
                <w:b/>
                <w:bCs/>
                <w:sz w:val="28"/>
                <w:szCs w:val="28"/>
              </w:rPr>
              <w:t>ayment Ability by Sample Type</w:t>
            </w:r>
          </w:p>
        </w:tc>
      </w:tr>
      <w:tr w:rsidR="005E4BF5" w:rsidRPr="000023F1" w:rsidTr="005E4BF5">
        <w:trPr>
          <w:cantSplit/>
        </w:trPr>
        <w:tc>
          <w:tcPr>
            <w:tcW w:w="3828" w:type="dxa"/>
            <w:gridSpan w:val="4"/>
            <w:vMerge w:val="restart"/>
            <w:tcBorders>
              <w:top w:val="single" w:sz="4" w:space="0" w:color="auto"/>
              <w:left w:val="single" w:sz="4" w:space="0" w:color="auto"/>
              <w:bottom w:val="nil"/>
              <w:right w:val="single" w:sz="4" w:space="0" w:color="auto"/>
            </w:tcBorders>
            <w:shd w:val="clear" w:color="auto" w:fill="FFFFFF"/>
            <w:vAlign w:val="bottom"/>
          </w:tcPr>
          <w:p w:rsidR="005B658D" w:rsidRPr="00974F69" w:rsidRDefault="00974F69" w:rsidP="00924A5F">
            <w:pPr>
              <w:autoSpaceDE w:val="0"/>
              <w:autoSpaceDN w:val="0"/>
              <w:adjustRightInd w:val="0"/>
              <w:rPr>
                <w:b/>
              </w:rPr>
            </w:pPr>
            <w:r w:rsidRPr="00974F69">
              <w:rPr>
                <w:b/>
              </w:rPr>
              <w:t>Ability to pay fine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0023F1" w:rsidRDefault="005B658D" w:rsidP="00924A5F">
            <w:pPr>
              <w:autoSpaceDE w:val="0"/>
              <w:autoSpaceDN w:val="0"/>
              <w:adjustRightInd w:val="0"/>
              <w:ind w:left="60" w:right="60"/>
              <w:jc w:val="center"/>
              <w:rPr>
                <w:b/>
              </w:rPr>
            </w:pPr>
            <w:r w:rsidRPr="000023F1">
              <w:rPr>
                <w:b/>
              </w:rPr>
              <w:t>Survey location</w:t>
            </w:r>
          </w:p>
        </w:tc>
        <w:tc>
          <w:tcPr>
            <w:tcW w:w="1701"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0023F1" w:rsidRDefault="005B658D" w:rsidP="00924A5F">
            <w:pPr>
              <w:autoSpaceDE w:val="0"/>
              <w:autoSpaceDN w:val="0"/>
              <w:adjustRightInd w:val="0"/>
              <w:ind w:left="60" w:right="60"/>
              <w:jc w:val="center"/>
            </w:pPr>
            <w:r w:rsidRPr="000023F1">
              <w:t>Total</w:t>
            </w:r>
          </w:p>
        </w:tc>
      </w:tr>
      <w:tr w:rsidR="005E4BF5" w:rsidRPr="000023F1" w:rsidTr="005E4BF5">
        <w:trPr>
          <w:cantSplit/>
        </w:trPr>
        <w:tc>
          <w:tcPr>
            <w:tcW w:w="3828" w:type="dxa"/>
            <w:gridSpan w:val="4"/>
            <w:vMerge/>
            <w:tcBorders>
              <w:top w:val="nil"/>
              <w:left w:val="single" w:sz="4" w:space="0" w:color="auto"/>
              <w:bottom w:val="nil"/>
              <w:right w:val="single" w:sz="4" w:space="0" w:color="auto"/>
            </w:tcBorders>
            <w:shd w:val="clear" w:color="auto" w:fill="FFFFFF"/>
            <w:vAlign w:val="bottom"/>
          </w:tcPr>
          <w:p w:rsidR="005B658D" w:rsidRPr="000023F1" w:rsidRDefault="005B658D" w:rsidP="00924A5F">
            <w:pPr>
              <w:autoSpaceDE w:val="0"/>
              <w:autoSpaceDN w:val="0"/>
              <w:adjustRightInd w:val="0"/>
            </w:pPr>
          </w:p>
        </w:tc>
        <w:tc>
          <w:tcPr>
            <w:tcW w:w="2076"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0023F1" w:rsidRDefault="005B658D" w:rsidP="00924A5F">
            <w:pPr>
              <w:autoSpaceDE w:val="0"/>
              <w:autoSpaceDN w:val="0"/>
              <w:adjustRightInd w:val="0"/>
              <w:ind w:left="60" w:right="60"/>
              <w:jc w:val="center"/>
              <w:rPr>
                <w:b/>
              </w:rPr>
            </w:pPr>
            <w:r w:rsidRPr="000023F1">
              <w:rPr>
                <w:b/>
              </w:rPr>
              <w:t>Court</w:t>
            </w:r>
          </w:p>
        </w:tc>
        <w:tc>
          <w:tcPr>
            <w:tcW w:w="1893"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0023F1" w:rsidRDefault="005B658D" w:rsidP="00924A5F">
            <w:pPr>
              <w:autoSpaceDE w:val="0"/>
              <w:autoSpaceDN w:val="0"/>
              <w:adjustRightInd w:val="0"/>
              <w:ind w:left="60" w:right="60"/>
              <w:jc w:val="center"/>
              <w:rPr>
                <w:b/>
              </w:rPr>
            </w:pPr>
            <w:r w:rsidRPr="000023F1">
              <w:rPr>
                <w:b/>
              </w:rPr>
              <w:t>Community</w:t>
            </w:r>
          </w:p>
        </w:tc>
        <w:tc>
          <w:tcPr>
            <w:tcW w:w="1701" w:type="dxa"/>
            <w:vMerge/>
            <w:tcBorders>
              <w:top w:val="nil"/>
              <w:left w:val="single" w:sz="4" w:space="0" w:color="auto"/>
              <w:bottom w:val="nil"/>
              <w:right w:val="single" w:sz="4" w:space="0" w:color="auto"/>
            </w:tcBorders>
            <w:shd w:val="clear" w:color="auto" w:fill="FFFFFF"/>
            <w:vAlign w:val="bottom"/>
          </w:tcPr>
          <w:p w:rsidR="005B658D" w:rsidRPr="000023F1" w:rsidRDefault="005B658D" w:rsidP="00924A5F">
            <w:pPr>
              <w:autoSpaceDE w:val="0"/>
              <w:autoSpaceDN w:val="0"/>
              <w:adjustRightInd w:val="0"/>
            </w:pPr>
          </w:p>
        </w:tc>
      </w:tr>
      <w:tr w:rsidR="005E4BF5" w:rsidRPr="000023F1" w:rsidTr="005E4BF5">
        <w:trPr>
          <w:cantSplit/>
        </w:trPr>
        <w:tc>
          <w:tcPr>
            <w:tcW w:w="1620" w:type="dxa"/>
            <w:vMerge w:val="restart"/>
            <w:tcBorders>
              <w:top w:val="single" w:sz="8" w:space="0" w:color="152935"/>
              <w:left w:val="single" w:sz="4" w:space="0" w:color="auto"/>
              <w:bottom w:val="nil"/>
              <w:right w:val="nil"/>
            </w:tcBorders>
            <w:shd w:val="clear" w:color="auto" w:fill="E0E0E0"/>
          </w:tcPr>
          <w:p w:rsidR="005B658D" w:rsidRPr="000023F1" w:rsidRDefault="005B658D" w:rsidP="00924A5F">
            <w:pPr>
              <w:autoSpaceDE w:val="0"/>
              <w:autoSpaceDN w:val="0"/>
              <w:adjustRightInd w:val="0"/>
              <w:ind w:left="60" w:right="60"/>
              <w:rPr>
                <w:b/>
              </w:rPr>
            </w:pPr>
          </w:p>
        </w:tc>
        <w:tc>
          <w:tcPr>
            <w:tcW w:w="573" w:type="dxa"/>
            <w:vMerge w:val="restart"/>
            <w:tcBorders>
              <w:top w:val="single" w:sz="8" w:space="0" w:color="152935"/>
              <w:left w:val="nil"/>
              <w:bottom w:val="nil"/>
              <w:right w:val="nil"/>
            </w:tcBorders>
            <w:shd w:val="clear" w:color="auto" w:fill="E0E0E0"/>
          </w:tcPr>
          <w:p w:rsidR="005B658D" w:rsidRPr="000023F1" w:rsidRDefault="005B658D" w:rsidP="00924A5F">
            <w:pPr>
              <w:autoSpaceDE w:val="0"/>
              <w:autoSpaceDN w:val="0"/>
              <w:adjustRightInd w:val="0"/>
              <w:ind w:left="60" w:right="60"/>
              <w:rPr>
                <w:b/>
              </w:rPr>
            </w:pPr>
            <w:r w:rsidRPr="000023F1">
              <w:rPr>
                <w:b/>
              </w:rPr>
              <w:t>Yes</w:t>
            </w:r>
          </w:p>
        </w:tc>
        <w:tc>
          <w:tcPr>
            <w:tcW w:w="1635" w:type="dxa"/>
            <w:gridSpan w:val="2"/>
            <w:tcBorders>
              <w:top w:val="single" w:sz="8" w:space="0" w:color="152935"/>
              <w:left w:val="nil"/>
              <w:bottom w:val="single" w:sz="8" w:space="0" w:color="AEAEAE"/>
              <w:right w:val="single" w:sz="4" w:space="0" w:color="auto"/>
            </w:tcBorders>
            <w:shd w:val="clear" w:color="auto" w:fill="E0E0E0"/>
          </w:tcPr>
          <w:p w:rsidR="005B658D" w:rsidRPr="000023F1" w:rsidRDefault="005B658D" w:rsidP="00924A5F">
            <w:pPr>
              <w:autoSpaceDE w:val="0"/>
              <w:autoSpaceDN w:val="0"/>
              <w:adjustRightInd w:val="0"/>
              <w:ind w:left="60" w:right="60"/>
            </w:pPr>
          </w:p>
        </w:tc>
        <w:tc>
          <w:tcPr>
            <w:tcW w:w="2076" w:type="dxa"/>
            <w:tcBorders>
              <w:top w:val="single" w:sz="8" w:space="0" w:color="152935"/>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93</w:t>
            </w:r>
          </w:p>
        </w:tc>
        <w:tc>
          <w:tcPr>
            <w:tcW w:w="1893" w:type="dxa"/>
            <w:tcBorders>
              <w:top w:val="single" w:sz="8" w:space="0" w:color="152935"/>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13</w:t>
            </w:r>
          </w:p>
        </w:tc>
        <w:tc>
          <w:tcPr>
            <w:tcW w:w="1701" w:type="dxa"/>
            <w:tcBorders>
              <w:top w:val="single" w:sz="8" w:space="0" w:color="152935"/>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106</w:t>
            </w:r>
          </w:p>
        </w:tc>
      </w:tr>
      <w:tr w:rsidR="005E4BF5" w:rsidRPr="000023F1" w:rsidTr="005E4BF5">
        <w:trPr>
          <w:cantSplit/>
        </w:trPr>
        <w:tc>
          <w:tcPr>
            <w:tcW w:w="1620" w:type="dxa"/>
            <w:vMerge/>
            <w:tcBorders>
              <w:top w:val="single" w:sz="8" w:space="0" w:color="152935"/>
              <w:left w:val="single" w:sz="4" w:space="0" w:color="auto"/>
              <w:bottom w:val="nil"/>
              <w:right w:val="nil"/>
            </w:tcBorders>
            <w:shd w:val="clear" w:color="auto" w:fill="E0E0E0"/>
          </w:tcPr>
          <w:p w:rsidR="005B658D" w:rsidRPr="000023F1" w:rsidRDefault="005B658D" w:rsidP="00924A5F">
            <w:pPr>
              <w:autoSpaceDE w:val="0"/>
              <w:autoSpaceDN w:val="0"/>
              <w:adjustRightInd w:val="0"/>
              <w:rPr>
                <w:b/>
              </w:rPr>
            </w:pPr>
          </w:p>
        </w:tc>
        <w:tc>
          <w:tcPr>
            <w:tcW w:w="573" w:type="dxa"/>
            <w:vMerge/>
            <w:tcBorders>
              <w:top w:val="single" w:sz="8" w:space="0" w:color="152935"/>
              <w:left w:val="nil"/>
              <w:bottom w:val="nil"/>
              <w:right w:val="nil"/>
            </w:tcBorders>
            <w:shd w:val="clear" w:color="auto" w:fill="E0E0E0"/>
          </w:tcPr>
          <w:p w:rsidR="005B658D" w:rsidRPr="000023F1" w:rsidRDefault="005B658D" w:rsidP="00924A5F">
            <w:pPr>
              <w:autoSpaceDE w:val="0"/>
              <w:autoSpaceDN w:val="0"/>
              <w:adjustRightInd w:val="0"/>
              <w:rPr>
                <w:b/>
              </w:rPr>
            </w:pPr>
          </w:p>
        </w:tc>
        <w:tc>
          <w:tcPr>
            <w:tcW w:w="1635" w:type="dxa"/>
            <w:gridSpan w:val="2"/>
            <w:tcBorders>
              <w:top w:val="single" w:sz="8" w:space="0" w:color="AEAEAE"/>
              <w:left w:val="nil"/>
              <w:bottom w:val="nil"/>
              <w:right w:val="single" w:sz="4" w:space="0" w:color="auto"/>
            </w:tcBorders>
            <w:shd w:val="clear" w:color="auto" w:fill="E0E0E0"/>
          </w:tcPr>
          <w:p w:rsidR="005B658D" w:rsidRPr="000023F1" w:rsidRDefault="005B658D" w:rsidP="00924A5F">
            <w:pPr>
              <w:autoSpaceDE w:val="0"/>
              <w:autoSpaceDN w:val="0"/>
              <w:adjustRightInd w:val="0"/>
              <w:ind w:left="60" w:right="60"/>
            </w:pPr>
          </w:p>
        </w:tc>
        <w:tc>
          <w:tcPr>
            <w:tcW w:w="2076" w:type="dxa"/>
            <w:tcBorders>
              <w:top w:val="single" w:sz="8" w:space="0" w:color="AEAEAE"/>
              <w:left w:val="single" w:sz="4" w:space="0" w:color="auto"/>
              <w:bottom w:val="nil"/>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39.2%</w:t>
            </w:r>
          </w:p>
        </w:tc>
        <w:tc>
          <w:tcPr>
            <w:tcW w:w="1893" w:type="dxa"/>
            <w:tcBorders>
              <w:top w:val="single" w:sz="8" w:space="0" w:color="AEAEAE"/>
              <w:left w:val="single" w:sz="4" w:space="0" w:color="auto"/>
              <w:bottom w:val="nil"/>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12.3%</w:t>
            </w:r>
          </w:p>
        </w:tc>
        <w:tc>
          <w:tcPr>
            <w:tcW w:w="1701" w:type="dxa"/>
            <w:tcBorders>
              <w:top w:val="single" w:sz="8" w:space="0" w:color="AEAEAE"/>
              <w:left w:val="single" w:sz="4" w:space="0" w:color="auto"/>
              <w:bottom w:val="nil"/>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30.9%</w:t>
            </w:r>
          </w:p>
        </w:tc>
      </w:tr>
      <w:tr w:rsidR="005E4BF5" w:rsidRPr="000023F1" w:rsidTr="005E4BF5">
        <w:trPr>
          <w:cantSplit/>
        </w:trPr>
        <w:tc>
          <w:tcPr>
            <w:tcW w:w="1620" w:type="dxa"/>
            <w:vMerge/>
            <w:tcBorders>
              <w:top w:val="single" w:sz="8" w:space="0" w:color="152935"/>
              <w:left w:val="single" w:sz="4" w:space="0" w:color="auto"/>
              <w:bottom w:val="nil"/>
              <w:right w:val="nil"/>
            </w:tcBorders>
            <w:shd w:val="clear" w:color="auto" w:fill="E0E0E0"/>
          </w:tcPr>
          <w:p w:rsidR="005B658D" w:rsidRPr="000023F1" w:rsidRDefault="005B658D" w:rsidP="00924A5F">
            <w:pPr>
              <w:autoSpaceDE w:val="0"/>
              <w:autoSpaceDN w:val="0"/>
              <w:adjustRightInd w:val="0"/>
              <w:rPr>
                <w:b/>
              </w:rPr>
            </w:pPr>
          </w:p>
        </w:tc>
        <w:tc>
          <w:tcPr>
            <w:tcW w:w="580" w:type="dxa"/>
            <w:gridSpan w:val="2"/>
            <w:vMerge w:val="restart"/>
            <w:tcBorders>
              <w:top w:val="single" w:sz="8" w:space="0" w:color="AEAEAE"/>
              <w:left w:val="nil"/>
              <w:bottom w:val="nil"/>
              <w:right w:val="nil"/>
            </w:tcBorders>
            <w:shd w:val="clear" w:color="auto" w:fill="E0E0E0"/>
          </w:tcPr>
          <w:p w:rsidR="005B658D" w:rsidRPr="000023F1" w:rsidRDefault="005B658D" w:rsidP="00924A5F">
            <w:pPr>
              <w:autoSpaceDE w:val="0"/>
              <w:autoSpaceDN w:val="0"/>
              <w:adjustRightInd w:val="0"/>
              <w:ind w:left="60" w:right="60"/>
              <w:rPr>
                <w:b/>
              </w:rPr>
            </w:pPr>
            <w:r w:rsidRPr="000023F1">
              <w:rPr>
                <w:b/>
              </w:rPr>
              <w:t>No</w:t>
            </w:r>
          </w:p>
        </w:tc>
        <w:tc>
          <w:tcPr>
            <w:tcW w:w="1628" w:type="dxa"/>
            <w:tcBorders>
              <w:top w:val="single" w:sz="8" w:space="0" w:color="AEAEAE"/>
              <w:left w:val="nil"/>
              <w:bottom w:val="single" w:sz="8" w:space="0" w:color="AEAEAE"/>
              <w:right w:val="single" w:sz="4" w:space="0" w:color="auto"/>
            </w:tcBorders>
            <w:shd w:val="clear" w:color="auto" w:fill="E0E0E0"/>
          </w:tcPr>
          <w:p w:rsidR="005B658D" w:rsidRPr="000023F1" w:rsidRDefault="005B658D" w:rsidP="00924A5F">
            <w:pPr>
              <w:autoSpaceDE w:val="0"/>
              <w:autoSpaceDN w:val="0"/>
              <w:adjustRightInd w:val="0"/>
              <w:ind w:left="60" w:right="60"/>
            </w:pPr>
          </w:p>
        </w:tc>
        <w:tc>
          <w:tcPr>
            <w:tcW w:w="2076" w:type="dxa"/>
            <w:tcBorders>
              <w:top w:val="single" w:sz="8" w:space="0" w:color="AEAEAE"/>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144</w:t>
            </w:r>
          </w:p>
        </w:tc>
        <w:tc>
          <w:tcPr>
            <w:tcW w:w="1893" w:type="dxa"/>
            <w:tcBorders>
              <w:top w:val="single" w:sz="8" w:space="0" w:color="AEAEAE"/>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93</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237</w:t>
            </w:r>
          </w:p>
        </w:tc>
      </w:tr>
      <w:tr w:rsidR="005E4BF5" w:rsidRPr="000023F1" w:rsidTr="005E4BF5">
        <w:trPr>
          <w:cantSplit/>
        </w:trPr>
        <w:tc>
          <w:tcPr>
            <w:tcW w:w="1620" w:type="dxa"/>
            <w:vMerge/>
            <w:tcBorders>
              <w:top w:val="single" w:sz="8" w:space="0" w:color="152935"/>
              <w:left w:val="single" w:sz="4" w:space="0" w:color="auto"/>
              <w:bottom w:val="nil"/>
              <w:right w:val="nil"/>
            </w:tcBorders>
            <w:shd w:val="clear" w:color="auto" w:fill="E0E0E0"/>
          </w:tcPr>
          <w:p w:rsidR="005B658D" w:rsidRPr="000023F1" w:rsidRDefault="005B658D" w:rsidP="00924A5F">
            <w:pPr>
              <w:autoSpaceDE w:val="0"/>
              <w:autoSpaceDN w:val="0"/>
              <w:adjustRightInd w:val="0"/>
            </w:pPr>
          </w:p>
        </w:tc>
        <w:tc>
          <w:tcPr>
            <w:tcW w:w="580" w:type="dxa"/>
            <w:gridSpan w:val="2"/>
            <w:vMerge/>
            <w:tcBorders>
              <w:top w:val="single" w:sz="8" w:space="0" w:color="AEAEAE"/>
              <w:left w:val="nil"/>
              <w:bottom w:val="nil"/>
              <w:right w:val="nil"/>
            </w:tcBorders>
            <w:shd w:val="clear" w:color="auto" w:fill="E0E0E0"/>
          </w:tcPr>
          <w:p w:rsidR="005B658D" w:rsidRPr="000023F1" w:rsidRDefault="005B658D" w:rsidP="00924A5F">
            <w:pPr>
              <w:autoSpaceDE w:val="0"/>
              <w:autoSpaceDN w:val="0"/>
              <w:adjustRightInd w:val="0"/>
            </w:pPr>
          </w:p>
        </w:tc>
        <w:tc>
          <w:tcPr>
            <w:tcW w:w="1628" w:type="dxa"/>
            <w:tcBorders>
              <w:top w:val="single" w:sz="8" w:space="0" w:color="AEAEAE"/>
              <w:left w:val="nil"/>
              <w:bottom w:val="nil"/>
              <w:right w:val="single" w:sz="4" w:space="0" w:color="auto"/>
            </w:tcBorders>
            <w:shd w:val="clear" w:color="auto" w:fill="E0E0E0"/>
          </w:tcPr>
          <w:p w:rsidR="005B658D" w:rsidRPr="000023F1" w:rsidRDefault="005B658D" w:rsidP="00924A5F">
            <w:pPr>
              <w:autoSpaceDE w:val="0"/>
              <w:autoSpaceDN w:val="0"/>
              <w:adjustRightInd w:val="0"/>
              <w:ind w:left="60" w:right="60"/>
            </w:pPr>
          </w:p>
        </w:tc>
        <w:tc>
          <w:tcPr>
            <w:tcW w:w="2076" w:type="dxa"/>
            <w:tcBorders>
              <w:top w:val="single" w:sz="8" w:space="0" w:color="AEAEAE"/>
              <w:left w:val="single" w:sz="4" w:space="0" w:color="auto"/>
              <w:bottom w:val="nil"/>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60.8%</w:t>
            </w:r>
          </w:p>
        </w:tc>
        <w:tc>
          <w:tcPr>
            <w:tcW w:w="1893" w:type="dxa"/>
            <w:tcBorders>
              <w:top w:val="single" w:sz="8" w:space="0" w:color="AEAEAE"/>
              <w:left w:val="single" w:sz="4" w:space="0" w:color="auto"/>
              <w:bottom w:val="nil"/>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87.7%</w:t>
            </w:r>
          </w:p>
        </w:tc>
        <w:tc>
          <w:tcPr>
            <w:tcW w:w="1701" w:type="dxa"/>
            <w:tcBorders>
              <w:top w:val="single" w:sz="8" w:space="0" w:color="AEAEAE"/>
              <w:left w:val="single" w:sz="4" w:space="0" w:color="auto"/>
              <w:bottom w:val="nil"/>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69.1%</w:t>
            </w:r>
          </w:p>
        </w:tc>
      </w:tr>
      <w:tr w:rsidR="005E4BF5" w:rsidRPr="000023F1" w:rsidTr="005E4BF5">
        <w:trPr>
          <w:cantSplit/>
        </w:trPr>
        <w:tc>
          <w:tcPr>
            <w:tcW w:w="2193" w:type="dxa"/>
            <w:gridSpan w:val="2"/>
            <w:vMerge w:val="restart"/>
            <w:tcBorders>
              <w:top w:val="single" w:sz="8" w:space="0" w:color="AEAEAE"/>
              <w:left w:val="single" w:sz="4" w:space="0" w:color="auto"/>
              <w:bottom w:val="single" w:sz="8" w:space="0" w:color="152935"/>
              <w:right w:val="nil"/>
            </w:tcBorders>
            <w:shd w:val="clear" w:color="auto" w:fill="E0E0E0"/>
          </w:tcPr>
          <w:p w:rsidR="005B658D" w:rsidRPr="000023F1" w:rsidRDefault="005B658D" w:rsidP="00924A5F">
            <w:pPr>
              <w:autoSpaceDE w:val="0"/>
              <w:autoSpaceDN w:val="0"/>
              <w:adjustRightInd w:val="0"/>
              <w:ind w:left="60" w:right="60"/>
            </w:pPr>
            <w:r w:rsidRPr="000023F1">
              <w:t>Total</w:t>
            </w:r>
          </w:p>
        </w:tc>
        <w:tc>
          <w:tcPr>
            <w:tcW w:w="1635" w:type="dxa"/>
            <w:gridSpan w:val="2"/>
            <w:tcBorders>
              <w:top w:val="single" w:sz="8" w:space="0" w:color="AEAEAE"/>
              <w:left w:val="nil"/>
              <w:bottom w:val="single" w:sz="8" w:space="0" w:color="AEAEAE"/>
              <w:right w:val="single" w:sz="4" w:space="0" w:color="auto"/>
            </w:tcBorders>
            <w:shd w:val="clear" w:color="auto" w:fill="E0E0E0"/>
          </w:tcPr>
          <w:p w:rsidR="005B658D" w:rsidRPr="000023F1" w:rsidRDefault="005B658D" w:rsidP="00924A5F">
            <w:pPr>
              <w:autoSpaceDE w:val="0"/>
              <w:autoSpaceDN w:val="0"/>
              <w:adjustRightInd w:val="0"/>
              <w:ind w:left="60" w:right="60"/>
            </w:pPr>
          </w:p>
        </w:tc>
        <w:tc>
          <w:tcPr>
            <w:tcW w:w="2076" w:type="dxa"/>
            <w:tcBorders>
              <w:top w:val="single" w:sz="8" w:space="0" w:color="AEAEAE"/>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237</w:t>
            </w:r>
          </w:p>
        </w:tc>
        <w:tc>
          <w:tcPr>
            <w:tcW w:w="1893" w:type="dxa"/>
            <w:tcBorders>
              <w:top w:val="single" w:sz="8" w:space="0" w:color="AEAEAE"/>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106</w:t>
            </w:r>
          </w:p>
        </w:tc>
        <w:tc>
          <w:tcPr>
            <w:tcW w:w="1701" w:type="dxa"/>
            <w:tcBorders>
              <w:top w:val="single" w:sz="8" w:space="0" w:color="AEAEAE"/>
              <w:left w:val="single" w:sz="4" w:space="0" w:color="auto"/>
              <w:bottom w:val="single" w:sz="8" w:space="0" w:color="AEAEAE"/>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343</w:t>
            </w:r>
          </w:p>
        </w:tc>
      </w:tr>
      <w:tr w:rsidR="005E4BF5" w:rsidRPr="000023F1" w:rsidTr="005E4BF5">
        <w:trPr>
          <w:cantSplit/>
        </w:trPr>
        <w:tc>
          <w:tcPr>
            <w:tcW w:w="2193" w:type="dxa"/>
            <w:gridSpan w:val="2"/>
            <w:vMerge/>
            <w:tcBorders>
              <w:top w:val="single" w:sz="8" w:space="0" w:color="AEAEAE"/>
              <w:left w:val="single" w:sz="4" w:space="0" w:color="auto"/>
              <w:bottom w:val="single" w:sz="4" w:space="0" w:color="auto"/>
              <w:right w:val="nil"/>
            </w:tcBorders>
            <w:shd w:val="clear" w:color="auto" w:fill="E0E0E0"/>
          </w:tcPr>
          <w:p w:rsidR="005B658D" w:rsidRPr="000023F1" w:rsidRDefault="005B658D" w:rsidP="00924A5F">
            <w:pPr>
              <w:autoSpaceDE w:val="0"/>
              <w:autoSpaceDN w:val="0"/>
              <w:adjustRightInd w:val="0"/>
            </w:pPr>
          </w:p>
        </w:tc>
        <w:tc>
          <w:tcPr>
            <w:tcW w:w="1635" w:type="dxa"/>
            <w:gridSpan w:val="2"/>
            <w:tcBorders>
              <w:top w:val="single" w:sz="8" w:space="0" w:color="AEAEAE"/>
              <w:left w:val="nil"/>
              <w:bottom w:val="single" w:sz="4" w:space="0" w:color="auto"/>
              <w:right w:val="single" w:sz="4" w:space="0" w:color="auto"/>
            </w:tcBorders>
            <w:shd w:val="clear" w:color="auto" w:fill="E0E0E0"/>
          </w:tcPr>
          <w:p w:rsidR="005B658D" w:rsidRPr="000023F1" w:rsidRDefault="005B658D" w:rsidP="00924A5F">
            <w:pPr>
              <w:autoSpaceDE w:val="0"/>
              <w:autoSpaceDN w:val="0"/>
              <w:adjustRightInd w:val="0"/>
              <w:ind w:left="60" w:right="60"/>
            </w:pPr>
          </w:p>
        </w:tc>
        <w:tc>
          <w:tcPr>
            <w:tcW w:w="2076" w:type="dxa"/>
            <w:tcBorders>
              <w:top w:val="single" w:sz="8" w:space="0" w:color="AEAEAE"/>
              <w:left w:val="single" w:sz="4" w:space="0" w:color="auto"/>
              <w:bottom w:val="single" w:sz="4" w:space="0" w:color="auto"/>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100.0%</w:t>
            </w:r>
          </w:p>
        </w:tc>
        <w:tc>
          <w:tcPr>
            <w:tcW w:w="1893" w:type="dxa"/>
            <w:tcBorders>
              <w:top w:val="single" w:sz="8" w:space="0" w:color="AEAEAE"/>
              <w:left w:val="single" w:sz="4" w:space="0" w:color="auto"/>
              <w:bottom w:val="single" w:sz="4" w:space="0" w:color="auto"/>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100.0%</w:t>
            </w:r>
          </w:p>
        </w:tc>
        <w:tc>
          <w:tcPr>
            <w:tcW w:w="1701" w:type="dxa"/>
            <w:tcBorders>
              <w:top w:val="single" w:sz="8" w:space="0" w:color="AEAEAE"/>
              <w:left w:val="single" w:sz="4" w:space="0" w:color="auto"/>
              <w:bottom w:val="single" w:sz="4" w:space="0" w:color="auto"/>
              <w:right w:val="single" w:sz="4" w:space="0" w:color="auto"/>
            </w:tcBorders>
            <w:shd w:val="clear" w:color="auto" w:fill="FFFFFF"/>
          </w:tcPr>
          <w:p w:rsidR="005B658D" w:rsidRPr="000023F1" w:rsidRDefault="005B658D" w:rsidP="00924A5F">
            <w:pPr>
              <w:autoSpaceDE w:val="0"/>
              <w:autoSpaceDN w:val="0"/>
              <w:adjustRightInd w:val="0"/>
              <w:ind w:left="60" w:right="60"/>
              <w:jc w:val="right"/>
            </w:pPr>
            <w:r w:rsidRPr="000023F1">
              <w:t>100.0%</w:t>
            </w:r>
          </w:p>
        </w:tc>
      </w:tr>
    </w:tbl>
    <w:p w:rsidR="00EE4AF5" w:rsidRDefault="00EE4AF5" w:rsidP="00207A6B">
      <w:pPr>
        <w:spacing w:line="360" w:lineRule="auto"/>
      </w:pPr>
    </w:p>
    <w:p w:rsidR="00A77EBD" w:rsidRDefault="00101BBC" w:rsidP="00EE4AF5">
      <w:pPr>
        <w:spacing w:line="360" w:lineRule="auto"/>
      </w:pPr>
      <w:r w:rsidRPr="00656D53">
        <w:t>Table 4.13 shows the likelihood respondents felt they were going to receive similar fines in the future.</w:t>
      </w:r>
      <w:r w:rsidR="00AA5B12">
        <w:t xml:space="preserve"> </w:t>
      </w:r>
      <w:r w:rsidRPr="00656D53">
        <w:t>The</w:t>
      </w:r>
      <w:r w:rsidR="009627B6">
        <w:t>re</w:t>
      </w:r>
      <w:r w:rsidRPr="00656D53">
        <w:t xml:space="preserve"> were some differences between the two groups.</w:t>
      </w:r>
      <w:r w:rsidR="00AA5B12">
        <w:t xml:space="preserve"> </w:t>
      </w:r>
      <w:r w:rsidRPr="00656D53">
        <w:t xml:space="preserve">24.0% </w:t>
      </w:r>
      <w:r w:rsidRPr="00656D53">
        <w:lastRenderedPageBreak/>
        <w:t xml:space="preserve">of court respondents indicating they were likely or somewhat likely to receive similar fines in the future </w:t>
      </w:r>
      <w:r w:rsidR="004024BD" w:rsidRPr="00656D53">
        <w:t xml:space="preserve">compared to 47.9% of community respondents indicating they were </w:t>
      </w:r>
      <w:r w:rsidR="00656D53" w:rsidRPr="00656D53">
        <w:t>likely or somewhat like</w:t>
      </w:r>
      <w:r w:rsidR="00656D53">
        <w:t>l</w:t>
      </w:r>
      <w:r w:rsidR="00656D53" w:rsidRPr="00656D53">
        <w:t>y to receive similar fines in the future.</w:t>
      </w:r>
    </w:p>
    <w:p w:rsidR="00EE4AF5" w:rsidRPr="00656D53" w:rsidRDefault="00EE4AF5" w:rsidP="00EE4AF5">
      <w:pPr>
        <w:spacing w:line="360" w:lineRule="auto"/>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2478"/>
        <w:gridCol w:w="1984"/>
        <w:gridCol w:w="1985"/>
        <w:gridCol w:w="1832"/>
      </w:tblGrid>
      <w:tr w:rsidR="00C32252" w:rsidRPr="00C32252" w:rsidTr="000E7CE3">
        <w:trPr>
          <w:cantSplit/>
        </w:trPr>
        <w:tc>
          <w:tcPr>
            <w:tcW w:w="9629" w:type="dxa"/>
            <w:gridSpan w:val="5"/>
            <w:tcBorders>
              <w:top w:val="nil"/>
              <w:left w:val="nil"/>
              <w:bottom w:val="single" w:sz="4" w:space="0" w:color="auto"/>
              <w:right w:val="nil"/>
            </w:tcBorders>
            <w:shd w:val="clear" w:color="auto" w:fill="FFFFFF"/>
            <w:vAlign w:val="center"/>
          </w:tcPr>
          <w:p w:rsidR="005B658D" w:rsidRPr="000E7CE3" w:rsidRDefault="003C76E0" w:rsidP="000E7CE3">
            <w:pPr>
              <w:autoSpaceDE w:val="0"/>
              <w:autoSpaceDN w:val="0"/>
              <w:adjustRightInd w:val="0"/>
              <w:ind w:left="60" w:right="60"/>
              <w:rPr>
                <w:sz w:val="28"/>
                <w:szCs w:val="28"/>
              </w:rPr>
            </w:pPr>
            <w:r>
              <w:rPr>
                <w:b/>
                <w:bCs/>
                <w:sz w:val="28"/>
                <w:szCs w:val="28"/>
              </w:rPr>
              <w:lastRenderedPageBreak/>
              <w:t xml:space="preserve">Table </w:t>
            </w:r>
            <w:r w:rsidR="00101BBC">
              <w:rPr>
                <w:b/>
                <w:bCs/>
                <w:sz w:val="28"/>
                <w:szCs w:val="28"/>
              </w:rPr>
              <w:t>4.13</w:t>
            </w:r>
            <w:r w:rsidR="00EE4AF5">
              <w:rPr>
                <w:b/>
                <w:bCs/>
                <w:sz w:val="28"/>
                <w:szCs w:val="28"/>
              </w:rPr>
              <w:t xml:space="preserve"> Likelihood of Similar Future F</w:t>
            </w:r>
            <w:r w:rsidR="000E7CE3" w:rsidRPr="000E7CE3">
              <w:rPr>
                <w:b/>
                <w:bCs/>
                <w:sz w:val="28"/>
                <w:szCs w:val="28"/>
              </w:rPr>
              <w:t xml:space="preserve">ine by Sample Type </w:t>
            </w:r>
          </w:p>
        </w:tc>
      </w:tr>
      <w:tr w:rsidR="000E7CE3" w:rsidRPr="00C32252" w:rsidTr="000E7CE3">
        <w:trPr>
          <w:cantSplit/>
        </w:trPr>
        <w:tc>
          <w:tcPr>
            <w:tcW w:w="3828"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5B658D" w:rsidRPr="000E7CE3" w:rsidRDefault="000E7CE3" w:rsidP="00924A5F">
            <w:pPr>
              <w:autoSpaceDE w:val="0"/>
              <w:autoSpaceDN w:val="0"/>
              <w:adjustRightInd w:val="0"/>
              <w:rPr>
                <w:b/>
              </w:rPr>
            </w:pPr>
            <w:r w:rsidRPr="000E7CE3">
              <w:rPr>
                <w:b/>
              </w:rPr>
              <w:t>Likelihood of future fine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B658D" w:rsidRPr="000E7CE3" w:rsidRDefault="005B658D" w:rsidP="00924A5F">
            <w:pPr>
              <w:autoSpaceDE w:val="0"/>
              <w:autoSpaceDN w:val="0"/>
              <w:adjustRightInd w:val="0"/>
              <w:ind w:left="60" w:right="60"/>
              <w:jc w:val="center"/>
              <w:rPr>
                <w:b/>
              </w:rPr>
            </w:pPr>
            <w:r w:rsidRPr="000E7CE3">
              <w:rPr>
                <w:b/>
              </w:rPr>
              <w:t>Survey location</w:t>
            </w:r>
          </w:p>
        </w:tc>
        <w:tc>
          <w:tcPr>
            <w:tcW w:w="1832" w:type="dxa"/>
            <w:vMerge w:val="restart"/>
            <w:tcBorders>
              <w:top w:val="single" w:sz="4" w:space="0" w:color="auto"/>
              <w:left w:val="single" w:sz="4" w:space="0" w:color="auto"/>
              <w:bottom w:val="nil"/>
              <w:right w:val="single" w:sz="4" w:space="0" w:color="auto"/>
            </w:tcBorders>
            <w:shd w:val="clear" w:color="auto" w:fill="FFFFFF"/>
            <w:vAlign w:val="bottom"/>
          </w:tcPr>
          <w:p w:rsidR="005B658D" w:rsidRPr="000E7CE3" w:rsidRDefault="005B658D" w:rsidP="00924A5F">
            <w:pPr>
              <w:autoSpaceDE w:val="0"/>
              <w:autoSpaceDN w:val="0"/>
              <w:adjustRightInd w:val="0"/>
              <w:ind w:left="60" w:right="60"/>
              <w:jc w:val="center"/>
            </w:pPr>
            <w:r w:rsidRPr="000E7CE3">
              <w:t>Total</w:t>
            </w:r>
          </w:p>
        </w:tc>
      </w:tr>
      <w:tr w:rsidR="000E7CE3" w:rsidRPr="00C32252" w:rsidTr="000E7CE3">
        <w:trPr>
          <w:cantSplit/>
        </w:trPr>
        <w:tc>
          <w:tcPr>
            <w:tcW w:w="3828" w:type="dxa"/>
            <w:gridSpan w:val="2"/>
            <w:vMerge/>
            <w:tcBorders>
              <w:top w:val="nil"/>
              <w:left w:val="single" w:sz="4" w:space="0" w:color="auto"/>
              <w:bottom w:val="nil"/>
              <w:right w:val="single" w:sz="4" w:space="0" w:color="auto"/>
            </w:tcBorders>
            <w:shd w:val="clear" w:color="auto" w:fill="FFFFFF"/>
            <w:vAlign w:val="bottom"/>
          </w:tcPr>
          <w:p w:rsidR="005B658D" w:rsidRPr="000E7CE3" w:rsidRDefault="005B658D" w:rsidP="00924A5F">
            <w:pPr>
              <w:autoSpaceDE w:val="0"/>
              <w:autoSpaceDN w:val="0"/>
              <w:adjustRightInd w:val="0"/>
            </w:pPr>
          </w:p>
        </w:tc>
        <w:tc>
          <w:tcPr>
            <w:tcW w:w="1984"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0E7CE3" w:rsidRDefault="005B658D" w:rsidP="00924A5F">
            <w:pPr>
              <w:autoSpaceDE w:val="0"/>
              <w:autoSpaceDN w:val="0"/>
              <w:adjustRightInd w:val="0"/>
              <w:ind w:left="60" w:right="60"/>
              <w:jc w:val="center"/>
              <w:rPr>
                <w:b/>
              </w:rPr>
            </w:pPr>
            <w:r w:rsidRPr="000E7CE3">
              <w:rPr>
                <w:b/>
              </w:rPr>
              <w:t>Court</w:t>
            </w:r>
          </w:p>
        </w:tc>
        <w:tc>
          <w:tcPr>
            <w:tcW w:w="1985" w:type="dxa"/>
            <w:tcBorders>
              <w:top w:val="single" w:sz="4" w:space="0" w:color="auto"/>
              <w:left w:val="single" w:sz="4" w:space="0" w:color="auto"/>
              <w:bottom w:val="single" w:sz="8" w:space="0" w:color="152935"/>
              <w:right w:val="single" w:sz="4" w:space="0" w:color="auto"/>
            </w:tcBorders>
            <w:shd w:val="clear" w:color="auto" w:fill="FFFFFF"/>
            <w:vAlign w:val="bottom"/>
          </w:tcPr>
          <w:p w:rsidR="005B658D" w:rsidRPr="000E7CE3" w:rsidRDefault="005B658D" w:rsidP="00924A5F">
            <w:pPr>
              <w:autoSpaceDE w:val="0"/>
              <w:autoSpaceDN w:val="0"/>
              <w:adjustRightInd w:val="0"/>
              <w:ind w:left="60" w:right="60"/>
              <w:jc w:val="center"/>
              <w:rPr>
                <w:b/>
              </w:rPr>
            </w:pPr>
            <w:r w:rsidRPr="000E7CE3">
              <w:rPr>
                <w:b/>
              </w:rPr>
              <w:t>Community</w:t>
            </w:r>
          </w:p>
        </w:tc>
        <w:tc>
          <w:tcPr>
            <w:tcW w:w="1832" w:type="dxa"/>
            <w:vMerge/>
            <w:tcBorders>
              <w:top w:val="nil"/>
              <w:left w:val="single" w:sz="4" w:space="0" w:color="auto"/>
              <w:bottom w:val="nil"/>
              <w:right w:val="single" w:sz="4" w:space="0" w:color="auto"/>
            </w:tcBorders>
            <w:shd w:val="clear" w:color="auto" w:fill="FFFFFF"/>
            <w:vAlign w:val="bottom"/>
          </w:tcPr>
          <w:p w:rsidR="005B658D" w:rsidRPr="000E7CE3" w:rsidRDefault="005B658D" w:rsidP="00924A5F">
            <w:pPr>
              <w:autoSpaceDE w:val="0"/>
              <w:autoSpaceDN w:val="0"/>
              <w:adjustRightInd w:val="0"/>
            </w:pPr>
          </w:p>
        </w:tc>
      </w:tr>
      <w:tr w:rsidR="000E7CE3" w:rsidRPr="00C32252" w:rsidTr="000E7CE3">
        <w:trPr>
          <w:cantSplit/>
        </w:trPr>
        <w:tc>
          <w:tcPr>
            <w:tcW w:w="1350" w:type="dxa"/>
            <w:vMerge w:val="restart"/>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ind w:left="60" w:right="60"/>
              <w:rPr>
                <w:b/>
              </w:rPr>
            </w:pPr>
          </w:p>
        </w:tc>
        <w:tc>
          <w:tcPr>
            <w:tcW w:w="2478" w:type="dxa"/>
            <w:vMerge w:val="restart"/>
            <w:tcBorders>
              <w:top w:val="single" w:sz="8" w:space="0" w:color="152935"/>
              <w:left w:val="nil"/>
              <w:bottom w:val="nil"/>
              <w:right w:val="nil"/>
            </w:tcBorders>
            <w:shd w:val="clear" w:color="auto" w:fill="E0E0E0"/>
          </w:tcPr>
          <w:p w:rsidR="000E7CE3" w:rsidRPr="000E7CE3" w:rsidRDefault="000E7CE3" w:rsidP="00924A5F">
            <w:pPr>
              <w:autoSpaceDE w:val="0"/>
              <w:autoSpaceDN w:val="0"/>
              <w:adjustRightInd w:val="0"/>
              <w:ind w:left="60" w:right="60"/>
              <w:rPr>
                <w:b/>
              </w:rPr>
            </w:pPr>
            <w:r w:rsidRPr="000E7CE3">
              <w:rPr>
                <w:b/>
              </w:rPr>
              <w:t>Likely</w:t>
            </w:r>
          </w:p>
        </w:tc>
        <w:tc>
          <w:tcPr>
            <w:tcW w:w="1984" w:type="dxa"/>
            <w:tcBorders>
              <w:top w:val="single" w:sz="8" w:space="0" w:color="152935"/>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25</w:t>
            </w:r>
          </w:p>
        </w:tc>
        <w:tc>
          <w:tcPr>
            <w:tcW w:w="1985" w:type="dxa"/>
            <w:tcBorders>
              <w:top w:val="single" w:sz="8" w:space="0" w:color="152935"/>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22</w:t>
            </w:r>
          </w:p>
        </w:tc>
        <w:tc>
          <w:tcPr>
            <w:tcW w:w="1832" w:type="dxa"/>
            <w:tcBorders>
              <w:top w:val="single" w:sz="8" w:space="0" w:color="152935"/>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47</w:t>
            </w:r>
          </w:p>
        </w:tc>
      </w:tr>
      <w:tr w:rsidR="000E7CE3" w:rsidRPr="00C32252" w:rsidTr="00A77EBD">
        <w:trPr>
          <w:cantSplit/>
          <w:trHeight w:val="328"/>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rPr>
                <w:b/>
              </w:rPr>
            </w:pPr>
          </w:p>
        </w:tc>
        <w:tc>
          <w:tcPr>
            <w:tcW w:w="2478" w:type="dxa"/>
            <w:vMerge/>
            <w:tcBorders>
              <w:top w:val="single" w:sz="8" w:space="0" w:color="152935"/>
              <w:left w:val="nil"/>
              <w:bottom w:val="nil"/>
              <w:right w:val="nil"/>
            </w:tcBorders>
            <w:shd w:val="clear" w:color="auto" w:fill="E0E0E0"/>
          </w:tcPr>
          <w:p w:rsidR="000E7CE3" w:rsidRPr="000E7CE3" w:rsidRDefault="000E7CE3" w:rsidP="00924A5F">
            <w:pPr>
              <w:autoSpaceDE w:val="0"/>
              <w:autoSpaceDN w:val="0"/>
              <w:adjustRightInd w:val="0"/>
              <w:rPr>
                <w:b/>
              </w:rPr>
            </w:pPr>
          </w:p>
        </w:tc>
        <w:tc>
          <w:tcPr>
            <w:tcW w:w="1984"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10.5%</w:t>
            </w:r>
          </w:p>
        </w:tc>
        <w:tc>
          <w:tcPr>
            <w:tcW w:w="1985"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23.4%</w:t>
            </w:r>
          </w:p>
        </w:tc>
        <w:tc>
          <w:tcPr>
            <w:tcW w:w="1832"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14.2%</w:t>
            </w:r>
          </w:p>
        </w:tc>
      </w:tr>
      <w:tr w:rsidR="000E7CE3" w:rsidRPr="00C32252" w:rsidTr="000E7CE3">
        <w:trPr>
          <w:cantSplit/>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rPr>
                <w:b/>
              </w:rPr>
            </w:pPr>
          </w:p>
        </w:tc>
        <w:tc>
          <w:tcPr>
            <w:tcW w:w="2478" w:type="dxa"/>
            <w:vMerge w:val="restart"/>
            <w:tcBorders>
              <w:top w:val="single" w:sz="8" w:space="0" w:color="AEAEAE"/>
              <w:left w:val="nil"/>
              <w:bottom w:val="nil"/>
              <w:right w:val="nil"/>
            </w:tcBorders>
            <w:shd w:val="clear" w:color="auto" w:fill="E0E0E0"/>
          </w:tcPr>
          <w:p w:rsidR="000E7CE3" w:rsidRPr="000E7CE3" w:rsidRDefault="000E7CE3" w:rsidP="00924A5F">
            <w:pPr>
              <w:autoSpaceDE w:val="0"/>
              <w:autoSpaceDN w:val="0"/>
              <w:adjustRightInd w:val="0"/>
              <w:ind w:left="60" w:right="60"/>
              <w:rPr>
                <w:b/>
              </w:rPr>
            </w:pPr>
            <w:r w:rsidRPr="000E7CE3">
              <w:rPr>
                <w:b/>
              </w:rPr>
              <w:t>Somewhat likely</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32</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23</w:t>
            </w:r>
          </w:p>
        </w:tc>
        <w:tc>
          <w:tcPr>
            <w:tcW w:w="1832"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55</w:t>
            </w:r>
          </w:p>
        </w:tc>
      </w:tr>
      <w:tr w:rsidR="000E7CE3" w:rsidRPr="00C32252" w:rsidTr="000E7CE3">
        <w:trPr>
          <w:cantSplit/>
          <w:trHeight w:val="328"/>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rPr>
                <w:b/>
              </w:rPr>
            </w:pPr>
          </w:p>
        </w:tc>
        <w:tc>
          <w:tcPr>
            <w:tcW w:w="2478" w:type="dxa"/>
            <w:vMerge/>
            <w:tcBorders>
              <w:top w:val="single" w:sz="8" w:space="0" w:color="AEAEAE"/>
              <w:left w:val="nil"/>
              <w:bottom w:val="nil"/>
              <w:right w:val="nil"/>
            </w:tcBorders>
            <w:shd w:val="clear" w:color="auto" w:fill="E0E0E0"/>
          </w:tcPr>
          <w:p w:rsidR="000E7CE3" w:rsidRPr="000E7CE3" w:rsidRDefault="000E7CE3" w:rsidP="00924A5F">
            <w:pPr>
              <w:autoSpaceDE w:val="0"/>
              <w:autoSpaceDN w:val="0"/>
              <w:adjustRightInd w:val="0"/>
              <w:rPr>
                <w:b/>
              </w:rPr>
            </w:pPr>
          </w:p>
        </w:tc>
        <w:tc>
          <w:tcPr>
            <w:tcW w:w="1984"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13.5%</w:t>
            </w:r>
          </w:p>
        </w:tc>
        <w:tc>
          <w:tcPr>
            <w:tcW w:w="1985"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24.5%</w:t>
            </w:r>
          </w:p>
        </w:tc>
        <w:tc>
          <w:tcPr>
            <w:tcW w:w="1832"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16.6%</w:t>
            </w:r>
          </w:p>
        </w:tc>
      </w:tr>
      <w:tr w:rsidR="000E7CE3" w:rsidRPr="00C32252" w:rsidTr="000E7CE3">
        <w:trPr>
          <w:cantSplit/>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rPr>
                <w:b/>
              </w:rPr>
            </w:pPr>
          </w:p>
        </w:tc>
        <w:tc>
          <w:tcPr>
            <w:tcW w:w="2478" w:type="dxa"/>
            <w:vMerge w:val="restart"/>
            <w:tcBorders>
              <w:top w:val="single" w:sz="8" w:space="0" w:color="AEAEAE"/>
              <w:left w:val="nil"/>
              <w:bottom w:val="nil"/>
              <w:right w:val="nil"/>
            </w:tcBorders>
            <w:shd w:val="clear" w:color="auto" w:fill="E0E0E0"/>
          </w:tcPr>
          <w:p w:rsidR="000E7CE3" w:rsidRPr="000E7CE3" w:rsidRDefault="000E7CE3" w:rsidP="00924A5F">
            <w:pPr>
              <w:autoSpaceDE w:val="0"/>
              <w:autoSpaceDN w:val="0"/>
              <w:adjustRightInd w:val="0"/>
              <w:ind w:left="60" w:right="60"/>
              <w:rPr>
                <w:b/>
              </w:rPr>
            </w:pPr>
            <w:r w:rsidRPr="000E7CE3">
              <w:rPr>
                <w:b/>
              </w:rPr>
              <w:t>Unlikely</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149</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41</w:t>
            </w:r>
          </w:p>
        </w:tc>
        <w:tc>
          <w:tcPr>
            <w:tcW w:w="1832"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190</w:t>
            </w:r>
          </w:p>
        </w:tc>
      </w:tr>
      <w:tr w:rsidR="000E7CE3" w:rsidRPr="00C32252" w:rsidTr="000E7CE3">
        <w:trPr>
          <w:cantSplit/>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rPr>
                <w:b/>
              </w:rPr>
            </w:pPr>
          </w:p>
        </w:tc>
        <w:tc>
          <w:tcPr>
            <w:tcW w:w="2478" w:type="dxa"/>
            <w:vMerge/>
            <w:tcBorders>
              <w:top w:val="single" w:sz="8" w:space="0" w:color="AEAEAE"/>
              <w:left w:val="nil"/>
              <w:bottom w:val="nil"/>
              <w:right w:val="nil"/>
            </w:tcBorders>
            <w:shd w:val="clear" w:color="auto" w:fill="E0E0E0"/>
          </w:tcPr>
          <w:p w:rsidR="000E7CE3" w:rsidRPr="000E7CE3" w:rsidRDefault="000E7CE3" w:rsidP="00924A5F">
            <w:pPr>
              <w:autoSpaceDE w:val="0"/>
              <w:autoSpaceDN w:val="0"/>
              <w:adjustRightInd w:val="0"/>
              <w:rPr>
                <w:b/>
              </w:rPr>
            </w:pPr>
          </w:p>
        </w:tc>
        <w:tc>
          <w:tcPr>
            <w:tcW w:w="1984"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62.9%</w:t>
            </w:r>
          </w:p>
        </w:tc>
        <w:tc>
          <w:tcPr>
            <w:tcW w:w="1985"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43.6%</w:t>
            </w:r>
          </w:p>
        </w:tc>
        <w:tc>
          <w:tcPr>
            <w:tcW w:w="1832"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57.4%</w:t>
            </w:r>
          </w:p>
        </w:tc>
      </w:tr>
      <w:tr w:rsidR="000E7CE3" w:rsidRPr="00C32252" w:rsidTr="000E7CE3">
        <w:trPr>
          <w:cantSplit/>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rPr>
                <w:b/>
              </w:rPr>
            </w:pPr>
          </w:p>
        </w:tc>
        <w:tc>
          <w:tcPr>
            <w:tcW w:w="2478" w:type="dxa"/>
            <w:vMerge w:val="restart"/>
            <w:tcBorders>
              <w:top w:val="single" w:sz="8" w:space="0" w:color="AEAEAE"/>
              <w:left w:val="nil"/>
              <w:bottom w:val="nil"/>
              <w:right w:val="nil"/>
            </w:tcBorders>
            <w:shd w:val="clear" w:color="auto" w:fill="E0E0E0"/>
          </w:tcPr>
          <w:p w:rsidR="000E7CE3" w:rsidRPr="000E7CE3" w:rsidRDefault="000E7CE3" w:rsidP="00924A5F">
            <w:pPr>
              <w:autoSpaceDE w:val="0"/>
              <w:autoSpaceDN w:val="0"/>
              <w:adjustRightInd w:val="0"/>
              <w:ind w:left="60" w:right="60"/>
              <w:rPr>
                <w:b/>
              </w:rPr>
            </w:pPr>
            <w:r w:rsidRPr="000E7CE3">
              <w:rPr>
                <w:b/>
              </w:rPr>
              <w:t>Somewhat unlikely</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31</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8</w:t>
            </w:r>
          </w:p>
        </w:tc>
        <w:tc>
          <w:tcPr>
            <w:tcW w:w="1832"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39</w:t>
            </w:r>
          </w:p>
        </w:tc>
      </w:tr>
      <w:tr w:rsidR="000E7CE3" w:rsidRPr="00C32252" w:rsidTr="000E7CE3">
        <w:trPr>
          <w:cantSplit/>
        </w:trPr>
        <w:tc>
          <w:tcPr>
            <w:tcW w:w="1350" w:type="dxa"/>
            <w:vMerge/>
            <w:tcBorders>
              <w:top w:val="single" w:sz="8" w:space="0" w:color="152935"/>
              <w:left w:val="single" w:sz="4" w:space="0" w:color="auto"/>
              <w:bottom w:val="nil"/>
              <w:right w:val="nil"/>
            </w:tcBorders>
            <w:shd w:val="clear" w:color="auto" w:fill="E0E0E0"/>
          </w:tcPr>
          <w:p w:rsidR="000E7CE3" w:rsidRPr="000E7CE3" w:rsidRDefault="000E7CE3" w:rsidP="00924A5F">
            <w:pPr>
              <w:autoSpaceDE w:val="0"/>
              <w:autoSpaceDN w:val="0"/>
              <w:adjustRightInd w:val="0"/>
            </w:pPr>
          </w:p>
        </w:tc>
        <w:tc>
          <w:tcPr>
            <w:tcW w:w="2478" w:type="dxa"/>
            <w:vMerge/>
            <w:tcBorders>
              <w:top w:val="single" w:sz="8" w:space="0" w:color="AEAEAE"/>
              <w:left w:val="nil"/>
              <w:bottom w:val="nil"/>
              <w:right w:val="nil"/>
            </w:tcBorders>
            <w:shd w:val="clear" w:color="auto" w:fill="E0E0E0"/>
          </w:tcPr>
          <w:p w:rsidR="000E7CE3" w:rsidRPr="000E7CE3" w:rsidRDefault="000E7CE3" w:rsidP="00924A5F">
            <w:pPr>
              <w:autoSpaceDE w:val="0"/>
              <w:autoSpaceDN w:val="0"/>
              <w:adjustRightInd w:val="0"/>
            </w:pPr>
          </w:p>
        </w:tc>
        <w:tc>
          <w:tcPr>
            <w:tcW w:w="1984"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13.1%</w:t>
            </w:r>
          </w:p>
        </w:tc>
        <w:tc>
          <w:tcPr>
            <w:tcW w:w="1985"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8.5%</w:t>
            </w:r>
          </w:p>
        </w:tc>
        <w:tc>
          <w:tcPr>
            <w:tcW w:w="1832" w:type="dxa"/>
            <w:tcBorders>
              <w:top w:val="single" w:sz="8" w:space="0" w:color="AEAEAE"/>
              <w:left w:val="single" w:sz="4" w:space="0" w:color="auto"/>
              <w:bottom w:val="nil"/>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11.8%</w:t>
            </w:r>
          </w:p>
        </w:tc>
      </w:tr>
      <w:tr w:rsidR="000E7CE3" w:rsidRPr="00C32252" w:rsidTr="000E7CE3">
        <w:trPr>
          <w:cantSplit/>
        </w:trPr>
        <w:tc>
          <w:tcPr>
            <w:tcW w:w="3828" w:type="dxa"/>
            <w:gridSpan w:val="2"/>
            <w:vMerge w:val="restart"/>
            <w:tcBorders>
              <w:top w:val="single" w:sz="8" w:space="0" w:color="AEAEAE"/>
              <w:left w:val="single" w:sz="4" w:space="0" w:color="auto"/>
              <w:bottom w:val="single" w:sz="8" w:space="0" w:color="152935"/>
              <w:right w:val="nil"/>
            </w:tcBorders>
            <w:shd w:val="clear" w:color="auto" w:fill="E0E0E0"/>
          </w:tcPr>
          <w:p w:rsidR="000E7CE3" w:rsidRPr="000E7CE3" w:rsidRDefault="000E7CE3" w:rsidP="00924A5F">
            <w:pPr>
              <w:autoSpaceDE w:val="0"/>
              <w:autoSpaceDN w:val="0"/>
              <w:adjustRightInd w:val="0"/>
              <w:ind w:left="60" w:right="60"/>
            </w:pPr>
            <w:r w:rsidRPr="000E7CE3">
              <w:t>Total</w:t>
            </w:r>
          </w:p>
        </w:tc>
        <w:tc>
          <w:tcPr>
            <w:tcW w:w="1984"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237</w:t>
            </w:r>
          </w:p>
        </w:tc>
        <w:tc>
          <w:tcPr>
            <w:tcW w:w="1985"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94</w:t>
            </w:r>
          </w:p>
        </w:tc>
        <w:tc>
          <w:tcPr>
            <w:tcW w:w="1832" w:type="dxa"/>
            <w:tcBorders>
              <w:top w:val="single" w:sz="8" w:space="0" w:color="AEAEAE"/>
              <w:left w:val="single" w:sz="4" w:space="0" w:color="auto"/>
              <w:bottom w:val="single" w:sz="8" w:space="0" w:color="AEAEAE"/>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331</w:t>
            </w:r>
          </w:p>
        </w:tc>
      </w:tr>
      <w:tr w:rsidR="000E7CE3" w:rsidRPr="00C32252" w:rsidTr="000E7CE3">
        <w:trPr>
          <w:cantSplit/>
        </w:trPr>
        <w:tc>
          <w:tcPr>
            <w:tcW w:w="3828" w:type="dxa"/>
            <w:gridSpan w:val="2"/>
            <w:vMerge/>
            <w:tcBorders>
              <w:top w:val="single" w:sz="8" w:space="0" w:color="AEAEAE"/>
              <w:left w:val="single" w:sz="4" w:space="0" w:color="auto"/>
              <w:bottom w:val="single" w:sz="4" w:space="0" w:color="auto"/>
              <w:right w:val="nil"/>
            </w:tcBorders>
            <w:shd w:val="clear" w:color="auto" w:fill="E0E0E0"/>
          </w:tcPr>
          <w:p w:rsidR="000E7CE3" w:rsidRPr="000E7CE3" w:rsidRDefault="000E7CE3" w:rsidP="00924A5F">
            <w:pPr>
              <w:autoSpaceDE w:val="0"/>
              <w:autoSpaceDN w:val="0"/>
              <w:adjustRightInd w:val="0"/>
            </w:pPr>
          </w:p>
        </w:tc>
        <w:tc>
          <w:tcPr>
            <w:tcW w:w="1984" w:type="dxa"/>
            <w:tcBorders>
              <w:top w:val="single" w:sz="8" w:space="0" w:color="AEAEAE"/>
              <w:left w:val="single" w:sz="4" w:space="0" w:color="auto"/>
              <w:bottom w:val="single" w:sz="4" w:space="0" w:color="auto"/>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100.0%</w:t>
            </w:r>
          </w:p>
        </w:tc>
        <w:tc>
          <w:tcPr>
            <w:tcW w:w="1985" w:type="dxa"/>
            <w:tcBorders>
              <w:top w:val="single" w:sz="8" w:space="0" w:color="AEAEAE"/>
              <w:left w:val="single" w:sz="4" w:space="0" w:color="auto"/>
              <w:bottom w:val="single" w:sz="4" w:space="0" w:color="auto"/>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100.0%</w:t>
            </w:r>
          </w:p>
        </w:tc>
        <w:tc>
          <w:tcPr>
            <w:tcW w:w="1832" w:type="dxa"/>
            <w:tcBorders>
              <w:top w:val="single" w:sz="8" w:space="0" w:color="AEAEAE"/>
              <w:left w:val="single" w:sz="4" w:space="0" w:color="auto"/>
              <w:bottom w:val="single" w:sz="4" w:space="0" w:color="auto"/>
              <w:right w:val="single" w:sz="4" w:space="0" w:color="auto"/>
            </w:tcBorders>
            <w:shd w:val="clear" w:color="auto" w:fill="FFFFFF"/>
          </w:tcPr>
          <w:p w:rsidR="000E7CE3" w:rsidRPr="000E7CE3" w:rsidRDefault="000E7CE3" w:rsidP="00924A5F">
            <w:pPr>
              <w:autoSpaceDE w:val="0"/>
              <w:autoSpaceDN w:val="0"/>
              <w:adjustRightInd w:val="0"/>
              <w:ind w:left="60" w:right="60"/>
              <w:jc w:val="right"/>
            </w:pPr>
            <w:r w:rsidRPr="000E7CE3">
              <w:t>100.0%</w:t>
            </w:r>
          </w:p>
        </w:tc>
      </w:tr>
    </w:tbl>
    <w:p w:rsidR="00BF715F" w:rsidRDefault="00BF715F" w:rsidP="00207A6B">
      <w:pPr>
        <w:spacing w:line="360" w:lineRule="auto"/>
      </w:pPr>
    </w:p>
    <w:p w:rsidR="00396496" w:rsidRDefault="00396496" w:rsidP="00207A6B">
      <w:pPr>
        <w:spacing w:line="360" w:lineRule="auto"/>
      </w:pPr>
      <w:r w:rsidRPr="006B1B81">
        <w:t>Table 4.14 shows the deterrent impact of the fine by sample groups.</w:t>
      </w:r>
      <w:r w:rsidR="00AA5B12">
        <w:t xml:space="preserve"> </w:t>
      </w:r>
      <w:r w:rsidRPr="006B1B81">
        <w:t xml:space="preserve">There were some fairly substantial differences between the court and </w:t>
      </w:r>
      <w:r w:rsidRPr="006B1B81">
        <w:lastRenderedPageBreak/>
        <w:t>community groups on the deterrent impact of the fines they received.</w:t>
      </w:r>
      <w:r w:rsidR="00AA5B12">
        <w:t xml:space="preserve"> </w:t>
      </w:r>
      <w:r w:rsidRPr="006B1B81">
        <w:t xml:space="preserve">53.3% </w:t>
      </w:r>
      <w:r w:rsidR="006B1B81" w:rsidRPr="006B1B81">
        <w:t>of court respondents reported that the fines they received prevented them from committing similar subsequent infractions compared to 27.4% of community respondents.</w:t>
      </w:r>
      <w:r w:rsidR="00AA5B12">
        <w:t xml:space="preserve"> </w:t>
      </w:r>
      <w:r w:rsidR="006B1B81" w:rsidRPr="006B1B81">
        <w:t xml:space="preserve">16.7% of court respondents and 17.0% </w:t>
      </w:r>
      <w:r w:rsidR="006B1B81" w:rsidRPr="006B1B81">
        <w:lastRenderedPageBreak/>
        <w:t>of community respondents indicated that they would not commit similar infractions in the future because they could not afford to do so.</w:t>
      </w:r>
      <w:r w:rsidR="00AA5B12">
        <w:t xml:space="preserve"> </w:t>
      </w:r>
      <w:r w:rsidR="006B1B81" w:rsidRPr="006B1B81">
        <w:t xml:space="preserve">22.1% of court respondents and 38.7% of community respondents indicated that the fines were not a deterrent because their </w:t>
      </w:r>
      <w:r w:rsidR="006B1B81" w:rsidRPr="006B1B81">
        <w:lastRenderedPageBreak/>
        <w:t>circumstances made them unavoidable.</w:t>
      </w:r>
      <w:r w:rsidR="00AA5B12">
        <w:t xml:space="preserve"> </w:t>
      </w:r>
      <w:r w:rsidR="006B1B81" w:rsidRPr="006B1B81">
        <w:t>Finally, 7.9% of court respondents and 17.0% of community respondents indicated they were not deterred by prior fines as they did not care about receiving tickets.</w:t>
      </w:r>
      <w:r w:rsidR="00AA5B12">
        <w:t xml:space="preserve"> </w:t>
      </w:r>
      <w:r w:rsidR="006B1B81" w:rsidRPr="006B1B81">
        <w:t xml:space="preserve">Looked at another way, 70.0% of court respondents indicated their fines </w:t>
      </w:r>
      <w:r w:rsidR="006B1B81" w:rsidRPr="006B1B81">
        <w:lastRenderedPageBreak/>
        <w:t>would deter them from similar infractions in the future while only 34.4% of community respondents felt this way.</w:t>
      </w:r>
      <w:r w:rsidR="00AA5B12">
        <w:t xml:space="preserve"> </w:t>
      </w:r>
    </w:p>
    <w:p w:rsidR="003C76E0" w:rsidRDefault="003C76E0" w:rsidP="00207A6B">
      <w:pPr>
        <w:spacing w:line="360" w:lineRule="auto"/>
      </w:pP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3686"/>
        <w:gridCol w:w="1559"/>
        <w:gridCol w:w="1559"/>
        <w:gridCol w:w="1560"/>
      </w:tblGrid>
      <w:tr w:rsidR="00E20C67" w:rsidRPr="001222AD" w:rsidTr="002B7B11">
        <w:trPr>
          <w:cantSplit/>
        </w:trPr>
        <w:tc>
          <w:tcPr>
            <w:tcW w:w="9498" w:type="dxa"/>
            <w:gridSpan w:val="5"/>
            <w:tcBorders>
              <w:top w:val="nil"/>
              <w:left w:val="nil"/>
              <w:bottom w:val="single" w:sz="4" w:space="0" w:color="auto"/>
              <w:right w:val="nil"/>
            </w:tcBorders>
            <w:shd w:val="clear" w:color="auto" w:fill="FFFFFF"/>
            <w:vAlign w:val="center"/>
          </w:tcPr>
          <w:p w:rsidR="00E20C67" w:rsidRPr="00EB590F" w:rsidRDefault="00E20C67" w:rsidP="002B7B11">
            <w:pPr>
              <w:autoSpaceDE w:val="0"/>
              <w:autoSpaceDN w:val="0"/>
              <w:adjustRightInd w:val="0"/>
              <w:ind w:left="60" w:right="60"/>
              <w:rPr>
                <w:b/>
                <w:sz w:val="28"/>
                <w:szCs w:val="28"/>
              </w:rPr>
            </w:pPr>
            <w:r w:rsidRPr="001222AD">
              <w:br w:type="page"/>
            </w:r>
            <w:r w:rsidR="003C76E0">
              <w:rPr>
                <w:b/>
                <w:bCs/>
                <w:sz w:val="28"/>
                <w:szCs w:val="28"/>
              </w:rPr>
              <w:t xml:space="preserve">Table </w:t>
            </w:r>
            <w:r w:rsidR="00396496">
              <w:rPr>
                <w:b/>
                <w:sz w:val="28"/>
                <w:szCs w:val="28"/>
              </w:rPr>
              <w:t>4.14</w:t>
            </w:r>
            <w:r w:rsidRPr="00EB590F">
              <w:rPr>
                <w:b/>
                <w:sz w:val="28"/>
                <w:szCs w:val="28"/>
              </w:rPr>
              <w:t xml:space="preserve"> </w:t>
            </w:r>
            <w:r w:rsidR="00EE4AF5">
              <w:rPr>
                <w:b/>
                <w:bCs/>
                <w:sz w:val="28"/>
                <w:szCs w:val="28"/>
              </w:rPr>
              <w:t>Fine as D</w:t>
            </w:r>
            <w:r w:rsidRPr="00EB590F">
              <w:rPr>
                <w:b/>
                <w:bCs/>
                <w:sz w:val="28"/>
                <w:szCs w:val="28"/>
              </w:rPr>
              <w:t>eterrent by Sample Type</w:t>
            </w:r>
          </w:p>
        </w:tc>
      </w:tr>
      <w:tr w:rsidR="00E20C67" w:rsidRPr="001222AD" w:rsidTr="002B7B11">
        <w:trPr>
          <w:cantSplit/>
          <w:trHeight w:val="283"/>
        </w:trPr>
        <w:tc>
          <w:tcPr>
            <w:tcW w:w="482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E20C67" w:rsidRPr="001222AD" w:rsidRDefault="00E20C67" w:rsidP="002B7B11">
            <w:pPr>
              <w:autoSpaceDE w:val="0"/>
              <w:autoSpaceDN w:val="0"/>
              <w:adjustRightInd w:val="0"/>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20C67" w:rsidRPr="001222AD" w:rsidRDefault="00E20C67" w:rsidP="002B7B11">
            <w:pPr>
              <w:autoSpaceDE w:val="0"/>
              <w:autoSpaceDN w:val="0"/>
              <w:adjustRightInd w:val="0"/>
              <w:ind w:left="60" w:right="60"/>
              <w:jc w:val="center"/>
              <w:rPr>
                <w:b/>
              </w:rPr>
            </w:pPr>
            <w:r w:rsidRPr="001222AD">
              <w:rPr>
                <w:b/>
              </w:rPr>
              <w:t>Survey location</w:t>
            </w:r>
          </w:p>
        </w:tc>
        <w:tc>
          <w:tcPr>
            <w:tcW w:w="1560" w:type="dxa"/>
            <w:vMerge w:val="restart"/>
            <w:tcBorders>
              <w:top w:val="single" w:sz="4" w:space="0" w:color="auto"/>
              <w:left w:val="single" w:sz="4" w:space="0" w:color="auto"/>
              <w:bottom w:val="nil"/>
              <w:right w:val="single" w:sz="4" w:space="0" w:color="auto"/>
            </w:tcBorders>
            <w:shd w:val="clear" w:color="auto" w:fill="FFFFFF"/>
            <w:vAlign w:val="bottom"/>
          </w:tcPr>
          <w:p w:rsidR="00E20C67" w:rsidRPr="001222AD" w:rsidRDefault="00E20C67" w:rsidP="002B7B11">
            <w:pPr>
              <w:autoSpaceDE w:val="0"/>
              <w:autoSpaceDN w:val="0"/>
              <w:adjustRightInd w:val="0"/>
              <w:ind w:left="60" w:right="60"/>
              <w:jc w:val="center"/>
            </w:pPr>
            <w:r w:rsidRPr="001222AD">
              <w:t>Total</w:t>
            </w:r>
          </w:p>
        </w:tc>
      </w:tr>
      <w:tr w:rsidR="00E20C67" w:rsidRPr="001222AD" w:rsidTr="00B903B5">
        <w:trPr>
          <w:cantSplit/>
        </w:trPr>
        <w:tc>
          <w:tcPr>
            <w:tcW w:w="4820" w:type="dxa"/>
            <w:gridSpan w:val="2"/>
            <w:vMerge/>
            <w:tcBorders>
              <w:top w:val="nil"/>
              <w:left w:val="single" w:sz="4" w:space="0" w:color="auto"/>
              <w:bottom w:val="nil"/>
              <w:right w:val="single" w:sz="4" w:space="0" w:color="auto"/>
            </w:tcBorders>
            <w:shd w:val="clear" w:color="auto" w:fill="FFFFFF"/>
            <w:vAlign w:val="bottom"/>
          </w:tcPr>
          <w:p w:rsidR="00E20C67" w:rsidRPr="001222AD" w:rsidRDefault="00E20C67" w:rsidP="002B7B11">
            <w:pPr>
              <w:autoSpaceDE w:val="0"/>
              <w:autoSpaceDN w:val="0"/>
              <w:adjustRightInd w:val="0"/>
            </w:pPr>
          </w:p>
        </w:tc>
        <w:tc>
          <w:tcPr>
            <w:tcW w:w="1559" w:type="dxa"/>
            <w:tcBorders>
              <w:top w:val="single" w:sz="4" w:space="0" w:color="auto"/>
              <w:left w:val="single" w:sz="4" w:space="0" w:color="auto"/>
              <w:bottom w:val="single" w:sz="8" w:space="0" w:color="152935"/>
              <w:right w:val="single" w:sz="4" w:space="0" w:color="auto"/>
            </w:tcBorders>
            <w:shd w:val="clear" w:color="auto" w:fill="FFFFFF"/>
            <w:vAlign w:val="bottom"/>
          </w:tcPr>
          <w:p w:rsidR="00E20C67" w:rsidRPr="001222AD" w:rsidRDefault="00E20C67" w:rsidP="002B7B11">
            <w:pPr>
              <w:autoSpaceDE w:val="0"/>
              <w:autoSpaceDN w:val="0"/>
              <w:adjustRightInd w:val="0"/>
              <w:ind w:left="60" w:right="60"/>
              <w:jc w:val="center"/>
              <w:rPr>
                <w:b/>
              </w:rPr>
            </w:pPr>
            <w:r w:rsidRPr="001222AD">
              <w:rPr>
                <w:b/>
              </w:rPr>
              <w:t>Court</w:t>
            </w:r>
          </w:p>
        </w:tc>
        <w:tc>
          <w:tcPr>
            <w:tcW w:w="1559" w:type="dxa"/>
            <w:tcBorders>
              <w:top w:val="single" w:sz="4" w:space="0" w:color="auto"/>
              <w:left w:val="single" w:sz="4" w:space="0" w:color="auto"/>
              <w:bottom w:val="single" w:sz="8" w:space="0" w:color="152935"/>
              <w:right w:val="single" w:sz="4" w:space="0" w:color="auto"/>
            </w:tcBorders>
            <w:shd w:val="clear" w:color="auto" w:fill="FFFFFF"/>
            <w:vAlign w:val="bottom"/>
          </w:tcPr>
          <w:p w:rsidR="00E20C67" w:rsidRPr="001222AD" w:rsidRDefault="00E20C67" w:rsidP="002B7B11">
            <w:pPr>
              <w:autoSpaceDE w:val="0"/>
              <w:autoSpaceDN w:val="0"/>
              <w:adjustRightInd w:val="0"/>
              <w:ind w:left="60" w:right="60"/>
              <w:jc w:val="center"/>
              <w:rPr>
                <w:b/>
              </w:rPr>
            </w:pPr>
            <w:r w:rsidRPr="001222AD">
              <w:rPr>
                <w:b/>
              </w:rPr>
              <w:t>Community</w:t>
            </w:r>
          </w:p>
        </w:tc>
        <w:tc>
          <w:tcPr>
            <w:tcW w:w="1560" w:type="dxa"/>
            <w:vMerge/>
            <w:tcBorders>
              <w:top w:val="nil"/>
              <w:left w:val="single" w:sz="4" w:space="0" w:color="auto"/>
              <w:bottom w:val="nil"/>
              <w:right w:val="single" w:sz="4" w:space="0" w:color="auto"/>
            </w:tcBorders>
            <w:shd w:val="clear" w:color="auto" w:fill="FFFFFF"/>
            <w:vAlign w:val="bottom"/>
          </w:tcPr>
          <w:p w:rsidR="00E20C67" w:rsidRPr="001222AD" w:rsidRDefault="00E20C67" w:rsidP="002B7B11">
            <w:pPr>
              <w:autoSpaceDE w:val="0"/>
              <w:autoSpaceDN w:val="0"/>
              <w:adjustRightInd w:val="0"/>
            </w:pPr>
          </w:p>
        </w:tc>
      </w:tr>
      <w:tr w:rsidR="00E20C67" w:rsidRPr="001222AD" w:rsidTr="00B903B5">
        <w:trPr>
          <w:cantSplit/>
        </w:trPr>
        <w:tc>
          <w:tcPr>
            <w:tcW w:w="1134" w:type="dxa"/>
            <w:vMerge w:val="restart"/>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ind w:left="60" w:right="60"/>
              <w:rPr>
                <w:b/>
              </w:rPr>
            </w:pPr>
            <w:r w:rsidRPr="001222AD">
              <w:rPr>
                <w:b/>
              </w:rPr>
              <w:t>Fine as deterrent</w:t>
            </w:r>
          </w:p>
        </w:tc>
        <w:tc>
          <w:tcPr>
            <w:tcW w:w="3686" w:type="dxa"/>
            <w:vMerge w:val="restart"/>
            <w:tcBorders>
              <w:top w:val="single" w:sz="8" w:space="0" w:color="152935"/>
              <w:left w:val="nil"/>
              <w:bottom w:val="nil"/>
              <w:right w:val="nil"/>
            </w:tcBorders>
            <w:shd w:val="clear" w:color="auto" w:fill="E0E0E0"/>
          </w:tcPr>
          <w:p w:rsidR="00E20C67" w:rsidRPr="001222AD" w:rsidRDefault="00E20C67" w:rsidP="002B7B11">
            <w:pPr>
              <w:autoSpaceDE w:val="0"/>
              <w:autoSpaceDN w:val="0"/>
              <w:adjustRightInd w:val="0"/>
              <w:ind w:left="60" w:right="60"/>
              <w:rPr>
                <w:b/>
              </w:rPr>
            </w:pPr>
            <w:r w:rsidRPr="001222AD">
              <w:rPr>
                <w:b/>
              </w:rPr>
              <w:t>Yes, it prevented me from taking those actions again</w:t>
            </w:r>
          </w:p>
        </w:tc>
        <w:tc>
          <w:tcPr>
            <w:tcW w:w="1559" w:type="dxa"/>
            <w:tcBorders>
              <w:top w:val="single" w:sz="8" w:space="0" w:color="152935"/>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128</w:t>
            </w:r>
          </w:p>
        </w:tc>
        <w:tc>
          <w:tcPr>
            <w:tcW w:w="1559" w:type="dxa"/>
            <w:tcBorders>
              <w:top w:val="single" w:sz="8" w:space="0" w:color="152935"/>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29</w:t>
            </w:r>
          </w:p>
        </w:tc>
        <w:tc>
          <w:tcPr>
            <w:tcW w:w="1560" w:type="dxa"/>
            <w:tcBorders>
              <w:top w:val="single" w:sz="8" w:space="0" w:color="152935"/>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157</w:t>
            </w:r>
          </w:p>
        </w:tc>
      </w:tr>
      <w:tr w:rsidR="00E20C67" w:rsidRPr="001222AD" w:rsidTr="00B903B5">
        <w:trPr>
          <w:cantSplit/>
          <w:trHeight w:val="301"/>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rPr>
                <w:b/>
              </w:rPr>
            </w:pPr>
          </w:p>
        </w:tc>
        <w:tc>
          <w:tcPr>
            <w:tcW w:w="3686" w:type="dxa"/>
            <w:vMerge/>
            <w:tcBorders>
              <w:top w:val="single" w:sz="8" w:space="0" w:color="152935"/>
              <w:left w:val="nil"/>
              <w:bottom w:val="nil"/>
              <w:right w:val="nil"/>
            </w:tcBorders>
            <w:shd w:val="clear" w:color="auto" w:fill="E0E0E0"/>
          </w:tcPr>
          <w:p w:rsidR="00E20C67" w:rsidRPr="001222AD" w:rsidRDefault="00E20C67" w:rsidP="002B7B11">
            <w:pPr>
              <w:autoSpaceDE w:val="0"/>
              <w:autoSpaceDN w:val="0"/>
              <w:adjustRightInd w:val="0"/>
              <w:rPr>
                <w:b/>
              </w:rPr>
            </w:pP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53.3%</w:t>
            </w: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27.4%</w:t>
            </w:r>
          </w:p>
        </w:tc>
        <w:tc>
          <w:tcPr>
            <w:tcW w:w="1560"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45.4%</w:t>
            </w:r>
          </w:p>
        </w:tc>
      </w:tr>
      <w:tr w:rsidR="00E20C67" w:rsidRPr="001222AD" w:rsidTr="00B903B5">
        <w:trPr>
          <w:cantSplit/>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rPr>
                <w:b/>
              </w:rPr>
            </w:pPr>
          </w:p>
        </w:tc>
        <w:tc>
          <w:tcPr>
            <w:tcW w:w="3686" w:type="dxa"/>
            <w:vMerge w:val="restart"/>
            <w:tcBorders>
              <w:top w:val="single" w:sz="8" w:space="0" w:color="AEAEAE"/>
              <w:left w:val="nil"/>
              <w:bottom w:val="nil"/>
              <w:right w:val="nil"/>
            </w:tcBorders>
            <w:shd w:val="clear" w:color="auto" w:fill="E0E0E0"/>
          </w:tcPr>
          <w:p w:rsidR="00E20C67" w:rsidRPr="001222AD" w:rsidRDefault="00E20C67" w:rsidP="002B7B11">
            <w:pPr>
              <w:autoSpaceDE w:val="0"/>
              <w:autoSpaceDN w:val="0"/>
              <w:adjustRightInd w:val="0"/>
              <w:ind w:left="60" w:right="60"/>
              <w:rPr>
                <w:b/>
              </w:rPr>
            </w:pPr>
            <w:r w:rsidRPr="001222AD">
              <w:rPr>
                <w:b/>
              </w:rPr>
              <w:t>Yes, I could not afford to not take that action again</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40</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18</w:t>
            </w:r>
          </w:p>
        </w:tc>
        <w:tc>
          <w:tcPr>
            <w:tcW w:w="1560"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58</w:t>
            </w:r>
          </w:p>
        </w:tc>
      </w:tr>
      <w:tr w:rsidR="00E20C67" w:rsidRPr="001222AD" w:rsidTr="00B903B5">
        <w:trPr>
          <w:cantSplit/>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rPr>
                <w:b/>
              </w:rPr>
            </w:pPr>
          </w:p>
        </w:tc>
        <w:tc>
          <w:tcPr>
            <w:tcW w:w="3686" w:type="dxa"/>
            <w:vMerge/>
            <w:tcBorders>
              <w:top w:val="single" w:sz="8" w:space="0" w:color="AEAEAE"/>
              <w:left w:val="nil"/>
              <w:bottom w:val="nil"/>
              <w:right w:val="nil"/>
            </w:tcBorders>
            <w:shd w:val="clear" w:color="auto" w:fill="E0E0E0"/>
          </w:tcPr>
          <w:p w:rsidR="00E20C67" w:rsidRPr="001222AD" w:rsidRDefault="00E20C67" w:rsidP="002B7B11">
            <w:pPr>
              <w:autoSpaceDE w:val="0"/>
              <w:autoSpaceDN w:val="0"/>
              <w:adjustRightInd w:val="0"/>
              <w:rPr>
                <w:b/>
              </w:rPr>
            </w:pP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16.7%</w:t>
            </w: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17.0%</w:t>
            </w:r>
          </w:p>
        </w:tc>
        <w:tc>
          <w:tcPr>
            <w:tcW w:w="1560"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16.8%</w:t>
            </w:r>
          </w:p>
        </w:tc>
      </w:tr>
      <w:tr w:rsidR="00E20C67" w:rsidRPr="001222AD" w:rsidTr="00B903B5">
        <w:trPr>
          <w:cantSplit/>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rPr>
                <w:b/>
              </w:rPr>
            </w:pPr>
          </w:p>
        </w:tc>
        <w:tc>
          <w:tcPr>
            <w:tcW w:w="3686" w:type="dxa"/>
            <w:vMerge w:val="restart"/>
            <w:tcBorders>
              <w:top w:val="single" w:sz="8" w:space="0" w:color="AEAEAE"/>
              <w:left w:val="nil"/>
              <w:bottom w:val="nil"/>
              <w:right w:val="nil"/>
            </w:tcBorders>
            <w:shd w:val="clear" w:color="auto" w:fill="E0E0E0"/>
          </w:tcPr>
          <w:p w:rsidR="00E20C67" w:rsidRPr="001222AD" w:rsidRDefault="00E20C67" w:rsidP="002B7B11">
            <w:pPr>
              <w:autoSpaceDE w:val="0"/>
              <w:autoSpaceDN w:val="0"/>
              <w:adjustRightInd w:val="0"/>
              <w:ind w:left="60" w:right="60"/>
              <w:rPr>
                <w:b/>
              </w:rPr>
            </w:pPr>
            <w:r w:rsidRPr="001222AD">
              <w:rPr>
                <w:b/>
              </w:rPr>
              <w:t>No, my circumstances made it difficult for me to avoid getting a ticket again</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53</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41</w:t>
            </w:r>
          </w:p>
        </w:tc>
        <w:tc>
          <w:tcPr>
            <w:tcW w:w="1560"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94</w:t>
            </w:r>
          </w:p>
        </w:tc>
      </w:tr>
      <w:tr w:rsidR="00E20C67" w:rsidRPr="001222AD" w:rsidTr="00B903B5">
        <w:trPr>
          <w:cantSplit/>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rPr>
                <w:b/>
              </w:rPr>
            </w:pPr>
          </w:p>
        </w:tc>
        <w:tc>
          <w:tcPr>
            <w:tcW w:w="3686" w:type="dxa"/>
            <w:vMerge/>
            <w:tcBorders>
              <w:top w:val="single" w:sz="8" w:space="0" w:color="AEAEAE"/>
              <w:left w:val="nil"/>
              <w:bottom w:val="nil"/>
              <w:right w:val="nil"/>
            </w:tcBorders>
            <w:shd w:val="clear" w:color="auto" w:fill="E0E0E0"/>
          </w:tcPr>
          <w:p w:rsidR="00E20C67" w:rsidRPr="001222AD" w:rsidRDefault="00E20C67" w:rsidP="002B7B11">
            <w:pPr>
              <w:autoSpaceDE w:val="0"/>
              <w:autoSpaceDN w:val="0"/>
              <w:adjustRightInd w:val="0"/>
              <w:rPr>
                <w:b/>
              </w:rPr>
            </w:pP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22.1%</w:t>
            </w: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38.7%</w:t>
            </w:r>
          </w:p>
        </w:tc>
        <w:tc>
          <w:tcPr>
            <w:tcW w:w="1560"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27.2%</w:t>
            </w:r>
          </w:p>
        </w:tc>
      </w:tr>
      <w:tr w:rsidR="00E20C67" w:rsidRPr="001222AD" w:rsidTr="00B903B5">
        <w:trPr>
          <w:cantSplit/>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rPr>
                <w:b/>
              </w:rPr>
            </w:pPr>
          </w:p>
        </w:tc>
        <w:tc>
          <w:tcPr>
            <w:tcW w:w="3686" w:type="dxa"/>
            <w:vMerge w:val="restart"/>
            <w:tcBorders>
              <w:top w:val="single" w:sz="8" w:space="0" w:color="AEAEAE"/>
              <w:left w:val="nil"/>
              <w:bottom w:val="nil"/>
              <w:right w:val="nil"/>
            </w:tcBorders>
            <w:shd w:val="clear" w:color="auto" w:fill="E0E0E0"/>
          </w:tcPr>
          <w:p w:rsidR="00E20C67" w:rsidRPr="001222AD" w:rsidRDefault="00E20C67" w:rsidP="002B7B11">
            <w:pPr>
              <w:autoSpaceDE w:val="0"/>
              <w:autoSpaceDN w:val="0"/>
              <w:adjustRightInd w:val="0"/>
              <w:ind w:left="60" w:right="60"/>
              <w:rPr>
                <w:b/>
              </w:rPr>
            </w:pPr>
            <w:r w:rsidRPr="001222AD">
              <w:rPr>
                <w:b/>
              </w:rPr>
              <w:t>No, I did not care about getting the ticket</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19</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18</w:t>
            </w:r>
          </w:p>
        </w:tc>
        <w:tc>
          <w:tcPr>
            <w:tcW w:w="1560"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37</w:t>
            </w:r>
          </w:p>
        </w:tc>
      </w:tr>
      <w:tr w:rsidR="00E20C67" w:rsidRPr="001222AD" w:rsidTr="00B903B5">
        <w:trPr>
          <w:cantSplit/>
        </w:trPr>
        <w:tc>
          <w:tcPr>
            <w:tcW w:w="1134" w:type="dxa"/>
            <w:vMerge/>
            <w:tcBorders>
              <w:top w:val="single" w:sz="8" w:space="0" w:color="152935"/>
              <w:left w:val="single" w:sz="4" w:space="0" w:color="auto"/>
              <w:bottom w:val="nil"/>
              <w:right w:val="nil"/>
            </w:tcBorders>
            <w:shd w:val="clear" w:color="auto" w:fill="E0E0E0"/>
          </w:tcPr>
          <w:p w:rsidR="00E20C67" w:rsidRPr="001222AD" w:rsidRDefault="00E20C67" w:rsidP="002B7B11">
            <w:pPr>
              <w:autoSpaceDE w:val="0"/>
              <w:autoSpaceDN w:val="0"/>
              <w:adjustRightInd w:val="0"/>
            </w:pPr>
          </w:p>
        </w:tc>
        <w:tc>
          <w:tcPr>
            <w:tcW w:w="3686" w:type="dxa"/>
            <w:vMerge/>
            <w:tcBorders>
              <w:top w:val="single" w:sz="8" w:space="0" w:color="AEAEAE"/>
              <w:left w:val="nil"/>
              <w:bottom w:val="nil"/>
              <w:right w:val="nil"/>
            </w:tcBorders>
            <w:shd w:val="clear" w:color="auto" w:fill="E0E0E0"/>
          </w:tcPr>
          <w:p w:rsidR="00E20C67" w:rsidRPr="001222AD" w:rsidRDefault="00E20C67" w:rsidP="002B7B11">
            <w:pPr>
              <w:autoSpaceDE w:val="0"/>
              <w:autoSpaceDN w:val="0"/>
              <w:adjustRightInd w:val="0"/>
            </w:pP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7.9%</w:t>
            </w:r>
          </w:p>
        </w:tc>
        <w:tc>
          <w:tcPr>
            <w:tcW w:w="1559"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17.0%</w:t>
            </w:r>
          </w:p>
        </w:tc>
        <w:tc>
          <w:tcPr>
            <w:tcW w:w="1560" w:type="dxa"/>
            <w:tcBorders>
              <w:top w:val="single" w:sz="8" w:space="0" w:color="AEAEAE"/>
              <w:left w:val="single" w:sz="4" w:space="0" w:color="auto"/>
              <w:bottom w:val="nil"/>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10.7%</w:t>
            </w:r>
          </w:p>
        </w:tc>
      </w:tr>
      <w:tr w:rsidR="00E20C67" w:rsidRPr="001222AD" w:rsidTr="00B903B5">
        <w:trPr>
          <w:cantSplit/>
        </w:trPr>
        <w:tc>
          <w:tcPr>
            <w:tcW w:w="4820" w:type="dxa"/>
            <w:gridSpan w:val="2"/>
            <w:vMerge w:val="restart"/>
            <w:tcBorders>
              <w:top w:val="single" w:sz="8" w:space="0" w:color="AEAEAE"/>
              <w:left w:val="single" w:sz="4" w:space="0" w:color="auto"/>
              <w:bottom w:val="single" w:sz="8" w:space="0" w:color="152935"/>
              <w:right w:val="nil"/>
            </w:tcBorders>
            <w:shd w:val="clear" w:color="auto" w:fill="E0E0E0"/>
          </w:tcPr>
          <w:p w:rsidR="00E20C67" w:rsidRPr="001222AD" w:rsidRDefault="00E20C67" w:rsidP="002B7B11">
            <w:pPr>
              <w:autoSpaceDE w:val="0"/>
              <w:autoSpaceDN w:val="0"/>
              <w:adjustRightInd w:val="0"/>
              <w:ind w:left="60" w:right="60"/>
            </w:pPr>
            <w:r w:rsidRPr="001222AD">
              <w:t>Total</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240</w:t>
            </w:r>
          </w:p>
        </w:tc>
        <w:tc>
          <w:tcPr>
            <w:tcW w:w="1559"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106</w:t>
            </w:r>
          </w:p>
        </w:tc>
        <w:tc>
          <w:tcPr>
            <w:tcW w:w="1560" w:type="dxa"/>
            <w:tcBorders>
              <w:top w:val="single" w:sz="8" w:space="0" w:color="AEAEAE"/>
              <w:left w:val="single" w:sz="4" w:space="0" w:color="auto"/>
              <w:bottom w:val="single" w:sz="8" w:space="0" w:color="AEAEAE"/>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346</w:t>
            </w:r>
          </w:p>
        </w:tc>
      </w:tr>
      <w:tr w:rsidR="00E20C67" w:rsidRPr="001222AD" w:rsidTr="00B903B5">
        <w:trPr>
          <w:cantSplit/>
        </w:trPr>
        <w:tc>
          <w:tcPr>
            <w:tcW w:w="4820" w:type="dxa"/>
            <w:gridSpan w:val="2"/>
            <w:vMerge/>
            <w:tcBorders>
              <w:top w:val="single" w:sz="8" w:space="0" w:color="AEAEAE"/>
              <w:left w:val="single" w:sz="4" w:space="0" w:color="auto"/>
              <w:bottom w:val="single" w:sz="4" w:space="0" w:color="auto"/>
              <w:right w:val="nil"/>
            </w:tcBorders>
            <w:shd w:val="clear" w:color="auto" w:fill="E0E0E0"/>
          </w:tcPr>
          <w:p w:rsidR="00E20C67" w:rsidRPr="001222AD" w:rsidRDefault="00E20C67" w:rsidP="002B7B11">
            <w:pPr>
              <w:autoSpaceDE w:val="0"/>
              <w:autoSpaceDN w:val="0"/>
              <w:adjustRightInd w:val="0"/>
            </w:pPr>
          </w:p>
        </w:tc>
        <w:tc>
          <w:tcPr>
            <w:tcW w:w="1559" w:type="dxa"/>
            <w:tcBorders>
              <w:top w:val="single" w:sz="8" w:space="0" w:color="AEAEAE"/>
              <w:left w:val="single" w:sz="4" w:space="0" w:color="auto"/>
              <w:bottom w:val="single" w:sz="4" w:space="0" w:color="auto"/>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100.0%</w:t>
            </w:r>
          </w:p>
        </w:tc>
        <w:tc>
          <w:tcPr>
            <w:tcW w:w="1559" w:type="dxa"/>
            <w:tcBorders>
              <w:top w:val="single" w:sz="8" w:space="0" w:color="AEAEAE"/>
              <w:left w:val="single" w:sz="4" w:space="0" w:color="auto"/>
              <w:bottom w:val="single" w:sz="4" w:space="0" w:color="auto"/>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100.0%</w:t>
            </w:r>
          </w:p>
        </w:tc>
        <w:tc>
          <w:tcPr>
            <w:tcW w:w="1560" w:type="dxa"/>
            <w:tcBorders>
              <w:top w:val="single" w:sz="8" w:space="0" w:color="AEAEAE"/>
              <w:left w:val="single" w:sz="4" w:space="0" w:color="auto"/>
              <w:bottom w:val="single" w:sz="4" w:space="0" w:color="auto"/>
              <w:right w:val="single" w:sz="4" w:space="0" w:color="auto"/>
            </w:tcBorders>
            <w:shd w:val="clear" w:color="auto" w:fill="FFFFFF"/>
          </w:tcPr>
          <w:p w:rsidR="00E20C67" w:rsidRPr="001222AD" w:rsidRDefault="00E20C67" w:rsidP="002B7B11">
            <w:pPr>
              <w:autoSpaceDE w:val="0"/>
              <w:autoSpaceDN w:val="0"/>
              <w:adjustRightInd w:val="0"/>
              <w:ind w:left="60" w:right="60"/>
              <w:jc w:val="right"/>
            </w:pPr>
            <w:r w:rsidRPr="001222AD">
              <w:t>100.0%</w:t>
            </w:r>
          </w:p>
        </w:tc>
      </w:tr>
    </w:tbl>
    <w:p w:rsidR="00E20C67" w:rsidRDefault="00E20C67" w:rsidP="00E20C67">
      <w:pPr>
        <w:autoSpaceDE w:val="0"/>
        <w:autoSpaceDN w:val="0"/>
        <w:adjustRightInd w:val="0"/>
      </w:pPr>
    </w:p>
    <w:p w:rsidR="000C29ED" w:rsidRDefault="00F85647" w:rsidP="00924A5F">
      <w:pPr>
        <w:autoSpaceDE w:val="0"/>
        <w:autoSpaceDN w:val="0"/>
        <w:adjustRightInd w:val="0"/>
        <w:rPr>
          <w:b/>
          <w:i/>
          <w:sz w:val="28"/>
          <w:szCs w:val="28"/>
          <w:u w:val="single"/>
        </w:rPr>
      </w:pPr>
      <w:r w:rsidRPr="0064541E">
        <w:rPr>
          <w:b/>
          <w:i/>
          <w:sz w:val="28"/>
          <w:szCs w:val="28"/>
          <w:u w:val="single"/>
        </w:rPr>
        <w:lastRenderedPageBreak/>
        <w:t>Respondents</w:t>
      </w:r>
      <w:r w:rsidR="00791295" w:rsidRPr="0064541E">
        <w:rPr>
          <w:b/>
          <w:i/>
          <w:sz w:val="28"/>
          <w:szCs w:val="28"/>
          <w:u w:val="single"/>
        </w:rPr>
        <w:t xml:space="preserve"> who received a transit ticket in the last</w:t>
      </w:r>
      <w:r w:rsidR="00D13500" w:rsidRPr="0064541E">
        <w:rPr>
          <w:b/>
          <w:i/>
          <w:sz w:val="28"/>
          <w:szCs w:val="28"/>
          <w:u w:val="single"/>
        </w:rPr>
        <w:t xml:space="preserve"> year</w:t>
      </w:r>
    </w:p>
    <w:p w:rsidR="00DA3CAF" w:rsidRDefault="00DA3CAF" w:rsidP="00924A5F">
      <w:pPr>
        <w:autoSpaceDE w:val="0"/>
        <w:autoSpaceDN w:val="0"/>
        <w:adjustRightInd w:val="0"/>
        <w:rPr>
          <w:b/>
          <w:i/>
          <w:sz w:val="28"/>
          <w:szCs w:val="28"/>
          <w:u w:val="single"/>
        </w:rPr>
      </w:pPr>
    </w:p>
    <w:p w:rsidR="002D07EE" w:rsidRDefault="0036161E" w:rsidP="00207A6B">
      <w:pPr>
        <w:autoSpaceDE w:val="0"/>
        <w:autoSpaceDN w:val="0"/>
        <w:adjustRightInd w:val="0"/>
        <w:spacing w:line="360" w:lineRule="auto"/>
      </w:pPr>
      <w:r>
        <w:t>We chose to examine a few variables for individuals reporting they had received a transit fine in the last year.</w:t>
      </w:r>
      <w:r w:rsidR="00AA5B12">
        <w:t xml:space="preserve"> </w:t>
      </w:r>
      <w:r>
        <w:t xml:space="preserve">This was done because transit fines were by far the most </w:t>
      </w:r>
      <w:r>
        <w:lastRenderedPageBreak/>
        <w:t>prevalent type of fine reported by respondents in both the court an</w:t>
      </w:r>
      <w:r w:rsidR="001044DB">
        <w:t xml:space="preserve">d community samples (see Table 4.8 </w:t>
      </w:r>
      <w:r>
        <w:t>for full description).</w:t>
      </w:r>
      <w:r w:rsidR="00AA5B12">
        <w:t xml:space="preserve"> </w:t>
      </w:r>
      <w:r w:rsidR="002D07EE">
        <w:t>Table 5.1 shows the age of respondents reporting transit fines.</w:t>
      </w:r>
      <w:r w:rsidR="00AA5B12">
        <w:t xml:space="preserve"> </w:t>
      </w:r>
      <w:r w:rsidR="002D07EE">
        <w:t>The vast majority of respondents (82.1% of case) were between the ages of 18-50.</w:t>
      </w:r>
    </w:p>
    <w:p w:rsidR="00207A6B" w:rsidRDefault="00207A6B" w:rsidP="00207A6B">
      <w:pPr>
        <w:autoSpaceDE w:val="0"/>
        <w:autoSpaceDN w:val="0"/>
        <w:adjustRightInd w:val="0"/>
        <w:spacing w:line="360" w:lineRule="auto"/>
      </w:pPr>
    </w:p>
    <w:tbl>
      <w:tblPr>
        <w:tblW w:w="8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14"/>
        <w:gridCol w:w="1162"/>
        <w:gridCol w:w="1024"/>
        <w:gridCol w:w="1553"/>
        <w:gridCol w:w="2140"/>
      </w:tblGrid>
      <w:tr w:rsidR="002D07EE" w:rsidRPr="002D07EE" w:rsidTr="003C76E0">
        <w:trPr>
          <w:cantSplit/>
        </w:trPr>
        <w:tc>
          <w:tcPr>
            <w:tcW w:w="8327" w:type="dxa"/>
            <w:gridSpan w:val="6"/>
            <w:tcBorders>
              <w:top w:val="nil"/>
              <w:left w:val="nil"/>
              <w:bottom w:val="single" w:sz="4" w:space="0" w:color="auto"/>
              <w:right w:val="nil"/>
            </w:tcBorders>
            <w:shd w:val="clear" w:color="auto" w:fill="FFFFFF"/>
            <w:vAlign w:val="center"/>
          </w:tcPr>
          <w:p w:rsidR="002D07EE" w:rsidRPr="002D07EE" w:rsidRDefault="003C76E0" w:rsidP="002D07EE">
            <w:pPr>
              <w:autoSpaceDE w:val="0"/>
              <w:autoSpaceDN w:val="0"/>
              <w:adjustRightInd w:val="0"/>
              <w:spacing w:line="320" w:lineRule="atLeast"/>
              <w:ind w:left="60" w:right="60"/>
              <w:rPr>
                <w:color w:val="000000" w:themeColor="text1"/>
                <w:sz w:val="28"/>
                <w:szCs w:val="28"/>
              </w:rPr>
            </w:pPr>
            <w:r>
              <w:rPr>
                <w:b/>
                <w:bCs/>
                <w:sz w:val="28"/>
                <w:szCs w:val="28"/>
              </w:rPr>
              <w:t xml:space="preserve">Table </w:t>
            </w:r>
            <w:r w:rsidR="002D07EE" w:rsidRPr="002D07EE">
              <w:rPr>
                <w:b/>
                <w:bCs/>
                <w:color w:val="000000" w:themeColor="text1"/>
                <w:sz w:val="28"/>
                <w:szCs w:val="28"/>
              </w:rPr>
              <w:t>5.1 Age</w:t>
            </w:r>
            <w:r w:rsidR="002D07EE">
              <w:rPr>
                <w:b/>
                <w:bCs/>
                <w:color w:val="000000" w:themeColor="text1"/>
                <w:sz w:val="28"/>
                <w:szCs w:val="28"/>
              </w:rPr>
              <w:t xml:space="preserve"> </w:t>
            </w:r>
          </w:p>
        </w:tc>
      </w:tr>
      <w:tr w:rsidR="002D07EE" w:rsidRPr="002D07EE" w:rsidTr="00685AEB">
        <w:trPr>
          <w:cantSplit/>
          <w:trHeight w:val="260"/>
        </w:trPr>
        <w:tc>
          <w:tcPr>
            <w:tcW w:w="24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Frequency</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Percent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Valid Percent</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Cumulative Percent</w:t>
            </w:r>
          </w:p>
        </w:tc>
      </w:tr>
      <w:tr w:rsidR="002D07EE" w:rsidRPr="002D07EE" w:rsidTr="003C76E0">
        <w:trPr>
          <w:cantSplit/>
        </w:trPr>
        <w:tc>
          <w:tcPr>
            <w:tcW w:w="734" w:type="dxa"/>
            <w:vMerge w:val="restart"/>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264A60"/>
              </w:rPr>
            </w:pPr>
          </w:p>
        </w:tc>
        <w:tc>
          <w:tcPr>
            <w:tcW w:w="1714"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b/>
                <w:color w:val="000000" w:themeColor="text1"/>
              </w:rPr>
            </w:pPr>
            <w:r w:rsidRPr="002D07EE">
              <w:rPr>
                <w:b/>
                <w:color w:val="000000" w:themeColor="text1"/>
              </w:rPr>
              <w:t xml:space="preserve"> 17 and under</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1.9</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1.9</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1.9</w:t>
            </w:r>
          </w:p>
        </w:tc>
      </w:tr>
      <w:tr w:rsidR="002D07EE" w:rsidRPr="002D07EE" w:rsidTr="003C76E0">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10205"/>
              </w:rPr>
            </w:pPr>
          </w:p>
        </w:tc>
        <w:tc>
          <w:tcPr>
            <w:tcW w:w="1714"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b/>
                <w:color w:val="000000" w:themeColor="text1"/>
              </w:rPr>
            </w:pPr>
            <w:r w:rsidRPr="002D07EE">
              <w:rPr>
                <w:b/>
                <w:color w:val="000000" w:themeColor="text1"/>
              </w:rPr>
              <w:t>18-30 years</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96</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46.4</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46.4</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48.3</w:t>
            </w:r>
          </w:p>
        </w:tc>
      </w:tr>
      <w:tr w:rsidR="002D07EE" w:rsidRPr="002D07EE" w:rsidTr="003C76E0">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10205"/>
              </w:rPr>
            </w:pPr>
          </w:p>
        </w:tc>
        <w:tc>
          <w:tcPr>
            <w:tcW w:w="1714"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b/>
                <w:color w:val="000000" w:themeColor="text1"/>
              </w:rPr>
            </w:pPr>
            <w:r w:rsidRPr="002D07EE">
              <w:rPr>
                <w:b/>
                <w:color w:val="000000" w:themeColor="text1"/>
              </w:rPr>
              <w:t>31-50 years</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74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35.7</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35.7</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84.1</w:t>
            </w:r>
          </w:p>
        </w:tc>
      </w:tr>
      <w:tr w:rsidR="002D07EE" w:rsidRPr="002D07EE" w:rsidTr="003C76E0">
        <w:trPr>
          <w:cantSplit/>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10205"/>
              </w:rPr>
            </w:pPr>
          </w:p>
        </w:tc>
        <w:tc>
          <w:tcPr>
            <w:tcW w:w="1714"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b/>
                <w:color w:val="000000" w:themeColor="text1"/>
              </w:rPr>
            </w:pPr>
            <w:r w:rsidRPr="002D07EE">
              <w:rPr>
                <w:b/>
                <w:color w:val="000000" w:themeColor="text1"/>
              </w:rPr>
              <w:t>51 or more years</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33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15.9</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15.9</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100.0</w:t>
            </w:r>
          </w:p>
        </w:tc>
      </w:tr>
      <w:tr w:rsidR="002D07EE" w:rsidRPr="002D07EE" w:rsidTr="003C76E0">
        <w:trPr>
          <w:cantSplit/>
          <w:trHeight w:val="300"/>
        </w:trPr>
        <w:tc>
          <w:tcPr>
            <w:tcW w:w="734"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10205"/>
              </w:rPr>
            </w:pPr>
          </w:p>
        </w:tc>
        <w:tc>
          <w:tcPr>
            <w:tcW w:w="1714"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000000" w:themeColor="text1"/>
              </w:rPr>
            </w:pPr>
            <w:r w:rsidRPr="002D07EE">
              <w:rPr>
                <w:color w:val="000000" w:themeColor="text1"/>
              </w:rPr>
              <w:t>Total</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207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100.0</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100.0</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2D07EE" w:rsidRPr="002D07EE" w:rsidRDefault="002D07EE" w:rsidP="00FF4921">
            <w:pPr>
              <w:autoSpaceDE w:val="0"/>
              <w:autoSpaceDN w:val="0"/>
              <w:adjustRightInd w:val="0"/>
              <w:rPr>
                <w:color w:val="000000" w:themeColor="text1"/>
              </w:rPr>
            </w:pPr>
          </w:p>
        </w:tc>
      </w:tr>
    </w:tbl>
    <w:p w:rsidR="002D07EE" w:rsidRDefault="002D07EE" w:rsidP="002D07EE">
      <w:pPr>
        <w:autoSpaceDE w:val="0"/>
        <w:autoSpaceDN w:val="0"/>
        <w:adjustRightInd w:val="0"/>
      </w:pPr>
    </w:p>
    <w:p w:rsidR="002D07EE" w:rsidRDefault="002D07EE" w:rsidP="00207A6B">
      <w:pPr>
        <w:autoSpaceDE w:val="0"/>
        <w:autoSpaceDN w:val="0"/>
        <w:adjustRightInd w:val="0"/>
        <w:spacing w:line="360" w:lineRule="auto"/>
      </w:pPr>
      <w:r>
        <w:t>Table 5.2 shows the gender of those reporting transit fines.</w:t>
      </w:r>
      <w:r w:rsidR="00AA5B12">
        <w:t xml:space="preserve"> </w:t>
      </w:r>
      <w:r w:rsidR="00335451">
        <w:t>M</w:t>
      </w:r>
      <w:r w:rsidR="005C01BB">
        <w:t>ore males (63.9% of cases) reported transit fines than females (35.6%) of cases.</w:t>
      </w:r>
    </w:p>
    <w:p w:rsidR="002D07EE" w:rsidRPr="002D07EE" w:rsidRDefault="002D07EE" w:rsidP="002D07EE">
      <w:pPr>
        <w:autoSpaceDE w:val="0"/>
        <w:autoSpaceDN w:val="0"/>
        <w:adjustRightInd w:val="0"/>
      </w:pPr>
    </w:p>
    <w:tbl>
      <w:tblPr>
        <w:tblW w:w="7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48"/>
        <w:gridCol w:w="1163"/>
        <w:gridCol w:w="1024"/>
        <w:gridCol w:w="1553"/>
        <w:gridCol w:w="2140"/>
      </w:tblGrid>
      <w:tr w:rsidR="002D07EE" w:rsidRPr="002D07EE" w:rsidTr="003C76E0">
        <w:trPr>
          <w:cantSplit/>
        </w:trPr>
        <w:tc>
          <w:tcPr>
            <w:tcW w:w="7776" w:type="dxa"/>
            <w:gridSpan w:val="6"/>
            <w:tcBorders>
              <w:top w:val="nil"/>
              <w:left w:val="nil"/>
              <w:bottom w:val="single" w:sz="4" w:space="0" w:color="auto"/>
              <w:right w:val="nil"/>
            </w:tcBorders>
            <w:shd w:val="clear" w:color="auto" w:fill="FFFFFF"/>
            <w:vAlign w:val="center"/>
          </w:tcPr>
          <w:p w:rsidR="002D07EE" w:rsidRPr="002D07EE" w:rsidRDefault="003C76E0" w:rsidP="002D07EE">
            <w:pPr>
              <w:autoSpaceDE w:val="0"/>
              <w:autoSpaceDN w:val="0"/>
              <w:adjustRightInd w:val="0"/>
              <w:spacing w:line="320" w:lineRule="atLeast"/>
              <w:ind w:left="60" w:right="60"/>
              <w:rPr>
                <w:color w:val="010205"/>
                <w:sz w:val="28"/>
                <w:szCs w:val="28"/>
              </w:rPr>
            </w:pPr>
            <w:r>
              <w:rPr>
                <w:b/>
                <w:bCs/>
                <w:sz w:val="28"/>
                <w:szCs w:val="28"/>
              </w:rPr>
              <w:t xml:space="preserve">Table </w:t>
            </w:r>
            <w:r w:rsidR="002D07EE" w:rsidRPr="002D07EE">
              <w:rPr>
                <w:b/>
                <w:bCs/>
                <w:color w:val="010205"/>
                <w:sz w:val="28"/>
                <w:szCs w:val="28"/>
              </w:rPr>
              <w:t>5.2 Gender</w:t>
            </w:r>
          </w:p>
        </w:tc>
      </w:tr>
      <w:tr w:rsidR="002D07EE" w:rsidRPr="002D07EE" w:rsidTr="003C76E0">
        <w:trPr>
          <w:cantSplit/>
        </w:trPr>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rPr>
                <w:color w:val="000000" w:themeColor="text1"/>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Frequency</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Percent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Valid Percent</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bottom"/>
          </w:tcPr>
          <w:p w:rsidR="002D07EE" w:rsidRPr="002D07EE" w:rsidRDefault="002D07EE" w:rsidP="00FF4921">
            <w:pPr>
              <w:autoSpaceDE w:val="0"/>
              <w:autoSpaceDN w:val="0"/>
              <w:adjustRightInd w:val="0"/>
              <w:spacing w:line="320" w:lineRule="atLeast"/>
              <w:ind w:left="60" w:right="60"/>
              <w:jc w:val="center"/>
              <w:rPr>
                <w:color w:val="000000" w:themeColor="text1"/>
              </w:rPr>
            </w:pPr>
            <w:r w:rsidRPr="002D07EE">
              <w:rPr>
                <w:color w:val="000000" w:themeColor="text1"/>
              </w:rPr>
              <w:t>Cumulative Percent</w:t>
            </w:r>
          </w:p>
        </w:tc>
      </w:tr>
      <w:tr w:rsidR="002D07EE" w:rsidRPr="002D07EE" w:rsidTr="003C76E0">
        <w:trPr>
          <w:cantSplit/>
        </w:trPr>
        <w:tc>
          <w:tcPr>
            <w:tcW w:w="948" w:type="dxa"/>
            <w:vMerge w:val="restart"/>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000000" w:themeColor="text1"/>
              </w:rPr>
            </w:pP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2D07EE" w:rsidRPr="001044DB" w:rsidRDefault="002D07EE" w:rsidP="00FF4921">
            <w:pPr>
              <w:autoSpaceDE w:val="0"/>
              <w:autoSpaceDN w:val="0"/>
              <w:adjustRightInd w:val="0"/>
              <w:spacing w:line="320" w:lineRule="atLeast"/>
              <w:ind w:left="60" w:right="60"/>
              <w:rPr>
                <w:b/>
                <w:color w:val="000000" w:themeColor="text1"/>
              </w:rPr>
            </w:pPr>
            <w:r w:rsidRPr="001044DB">
              <w:rPr>
                <w:b/>
                <w:color w:val="000000" w:themeColor="text1"/>
              </w:rPr>
              <w:t>Female</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69</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33.3</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35.6</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35.6</w:t>
            </w:r>
          </w:p>
        </w:tc>
      </w:tr>
      <w:tr w:rsidR="002D07EE" w:rsidRPr="002D07EE" w:rsidTr="003C76E0">
        <w:trPr>
          <w:cantSplit/>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00000" w:themeColor="text1"/>
              </w:rPr>
            </w:pP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2D07EE" w:rsidRPr="001044DB" w:rsidRDefault="002D07EE" w:rsidP="00FF4921">
            <w:pPr>
              <w:autoSpaceDE w:val="0"/>
              <w:autoSpaceDN w:val="0"/>
              <w:adjustRightInd w:val="0"/>
              <w:spacing w:line="320" w:lineRule="atLeast"/>
              <w:ind w:left="60" w:right="60"/>
              <w:rPr>
                <w:b/>
                <w:color w:val="000000" w:themeColor="text1"/>
              </w:rPr>
            </w:pPr>
            <w:r w:rsidRPr="001044DB">
              <w:rPr>
                <w:b/>
                <w:color w:val="000000" w:themeColor="text1"/>
              </w:rPr>
              <w:t>Male</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124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59.9</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63.9</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99.5</w:t>
            </w:r>
          </w:p>
        </w:tc>
      </w:tr>
      <w:tr w:rsidR="002D07EE" w:rsidRPr="002D07EE" w:rsidTr="003C76E0">
        <w:trPr>
          <w:cantSplit/>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00000" w:themeColor="text1"/>
              </w:rPr>
            </w:pP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2D07EE" w:rsidRPr="001044DB" w:rsidRDefault="002D07EE" w:rsidP="00FF4921">
            <w:pPr>
              <w:autoSpaceDE w:val="0"/>
              <w:autoSpaceDN w:val="0"/>
              <w:adjustRightInd w:val="0"/>
              <w:spacing w:line="320" w:lineRule="atLeast"/>
              <w:ind w:left="60" w:right="60"/>
              <w:rPr>
                <w:b/>
                <w:color w:val="000000" w:themeColor="text1"/>
              </w:rPr>
            </w:pPr>
            <w:r w:rsidRPr="001044DB">
              <w:rPr>
                <w:b/>
                <w:color w:val="000000" w:themeColor="text1"/>
              </w:rPr>
              <w:t>Other</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.5</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.5</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100.0</w:t>
            </w:r>
          </w:p>
        </w:tc>
      </w:tr>
      <w:tr w:rsidR="002D07EE" w:rsidRPr="002D07EE" w:rsidTr="003C76E0">
        <w:trPr>
          <w:cantSplit/>
        </w:trPr>
        <w:tc>
          <w:tcPr>
            <w:tcW w:w="948" w:type="dxa"/>
            <w:vMerge/>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rPr>
                <w:color w:val="000000" w:themeColor="text1"/>
              </w:rPr>
            </w:pP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000000" w:themeColor="text1"/>
              </w:rPr>
            </w:pPr>
            <w:r w:rsidRPr="002D07EE">
              <w:rPr>
                <w:color w:val="000000" w:themeColor="text1"/>
              </w:rPr>
              <w:t>Total</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194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93.7</w:t>
            </w:r>
          </w:p>
        </w:tc>
        <w:tc>
          <w:tcPr>
            <w:tcW w:w="155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100.0</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2D07EE" w:rsidRPr="002D07EE" w:rsidRDefault="002D07EE" w:rsidP="00FF4921">
            <w:pPr>
              <w:autoSpaceDE w:val="0"/>
              <w:autoSpaceDN w:val="0"/>
              <w:adjustRightInd w:val="0"/>
              <w:rPr>
                <w:color w:val="000000" w:themeColor="text1"/>
              </w:rPr>
            </w:pPr>
          </w:p>
        </w:tc>
      </w:tr>
      <w:tr w:rsidR="002D07EE" w:rsidRPr="002D07EE" w:rsidTr="003C76E0">
        <w:trPr>
          <w:cantSplit/>
        </w:trPr>
        <w:tc>
          <w:tcPr>
            <w:tcW w:w="948"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000000" w:themeColor="text1"/>
              </w:rPr>
            </w:pPr>
            <w:r w:rsidRPr="002D07EE">
              <w:rPr>
                <w:color w:val="000000" w:themeColor="text1"/>
              </w:rPr>
              <w:t>Missing</w:t>
            </w:r>
          </w:p>
        </w:tc>
        <w:tc>
          <w:tcPr>
            <w:tcW w:w="948" w:type="dxa"/>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000000" w:themeColor="text1"/>
              </w:rPr>
            </w:pPr>
            <w:r w:rsidRPr="002D07EE">
              <w:rPr>
                <w:color w:val="000000" w:themeColor="text1"/>
              </w:rPr>
              <w:t>Missing</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6.3</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2D07EE" w:rsidRPr="002D07EE" w:rsidRDefault="002D07EE" w:rsidP="00FF4921">
            <w:pPr>
              <w:autoSpaceDE w:val="0"/>
              <w:autoSpaceDN w:val="0"/>
              <w:adjustRightInd w:val="0"/>
              <w:rPr>
                <w:color w:val="000000" w:themeColor="text1"/>
              </w:rPr>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2D07EE" w:rsidRPr="002D07EE" w:rsidRDefault="002D07EE" w:rsidP="00FF4921">
            <w:pPr>
              <w:autoSpaceDE w:val="0"/>
              <w:autoSpaceDN w:val="0"/>
              <w:adjustRightInd w:val="0"/>
              <w:rPr>
                <w:color w:val="000000" w:themeColor="text1"/>
              </w:rPr>
            </w:pPr>
          </w:p>
        </w:tc>
      </w:tr>
      <w:tr w:rsidR="002D07EE" w:rsidRPr="002D07EE" w:rsidTr="003C76E0">
        <w:trPr>
          <w:cantSplit/>
        </w:trPr>
        <w:tc>
          <w:tcPr>
            <w:tcW w:w="1896" w:type="dxa"/>
            <w:gridSpan w:val="2"/>
            <w:tcBorders>
              <w:top w:val="single" w:sz="4" w:space="0" w:color="auto"/>
              <w:left w:val="single" w:sz="4" w:space="0" w:color="auto"/>
              <w:bottom w:val="single" w:sz="4" w:space="0" w:color="auto"/>
              <w:right w:val="single" w:sz="4" w:space="0" w:color="auto"/>
            </w:tcBorders>
            <w:shd w:val="clear" w:color="auto" w:fill="E0E0E0"/>
          </w:tcPr>
          <w:p w:rsidR="002D07EE" w:rsidRPr="002D07EE" w:rsidRDefault="002D07EE" w:rsidP="00FF4921">
            <w:pPr>
              <w:autoSpaceDE w:val="0"/>
              <w:autoSpaceDN w:val="0"/>
              <w:adjustRightInd w:val="0"/>
              <w:spacing w:line="320" w:lineRule="atLeast"/>
              <w:ind w:left="60" w:right="60"/>
              <w:rPr>
                <w:color w:val="000000" w:themeColor="text1"/>
              </w:rPr>
            </w:pPr>
            <w:r w:rsidRPr="002D07EE">
              <w:rPr>
                <w:color w:val="000000" w:themeColor="text1"/>
              </w:rPr>
              <w:t>Total</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207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D07EE" w:rsidRPr="002D07EE" w:rsidRDefault="002D07EE" w:rsidP="00FF4921">
            <w:pPr>
              <w:autoSpaceDE w:val="0"/>
              <w:autoSpaceDN w:val="0"/>
              <w:adjustRightInd w:val="0"/>
              <w:spacing w:line="320" w:lineRule="atLeast"/>
              <w:ind w:left="60" w:right="60"/>
              <w:jc w:val="right"/>
              <w:rPr>
                <w:color w:val="000000" w:themeColor="text1"/>
              </w:rPr>
            </w:pPr>
            <w:r w:rsidRPr="002D07EE">
              <w:rPr>
                <w:color w:val="000000" w:themeColor="text1"/>
              </w:rPr>
              <w:t>100.0</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2D07EE" w:rsidRPr="002D07EE" w:rsidRDefault="002D07EE" w:rsidP="00FF4921">
            <w:pPr>
              <w:autoSpaceDE w:val="0"/>
              <w:autoSpaceDN w:val="0"/>
              <w:adjustRightInd w:val="0"/>
              <w:rPr>
                <w:color w:val="000000" w:themeColor="text1"/>
              </w:rPr>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2D07EE" w:rsidRPr="002D07EE" w:rsidRDefault="002D07EE" w:rsidP="00FF4921">
            <w:pPr>
              <w:autoSpaceDE w:val="0"/>
              <w:autoSpaceDN w:val="0"/>
              <w:adjustRightInd w:val="0"/>
              <w:rPr>
                <w:color w:val="000000" w:themeColor="text1"/>
              </w:rPr>
            </w:pPr>
          </w:p>
        </w:tc>
      </w:tr>
    </w:tbl>
    <w:p w:rsidR="00EE4AF5" w:rsidRDefault="00EE4AF5" w:rsidP="00207A6B">
      <w:pPr>
        <w:autoSpaceDE w:val="0"/>
        <w:autoSpaceDN w:val="0"/>
        <w:adjustRightInd w:val="0"/>
        <w:spacing w:line="360" w:lineRule="auto"/>
      </w:pPr>
    </w:p>
    <w:p w:rsidR="00DA3CAF" w:rsidRDefault="005C01BB" w:rsidP="00207A6B">
      <w:pPr>
        <w:autoSpaceDE w:val="0"/>
        <w:autoSpaceDN w:val="0"/>
        <w:adjustRightInd w:val="0"/>
        <w:spacing w:line="360" w:lineRule="auto"/>
      </w:pPr>
      <w:r>
        <w:t>Table 5.3</w:t>
      </w:r>
      <w:r w:rsidR="0036161E">
        <w:t xml:space="preserve"> shows household income by household size for respondents reporting transit fines.</w:t>
      </w:r>
      <w:r w:rsidR="00AA5B12">
        <w:t xml:space="preserve"> </w:t>
      </w:r>
      <w:r w:rsidR="0036161E">
        <w:t xml:space="preserve">It is clear that respondents that reported transit fines </w:t>
      </w:r>
      <w:r w:rsidR="0036161E">
        <w:lastRenderedPageBreak/>
        <w:t>generally fall into a low- income category, this is true even for the highest income categories when we take into account the number of people within these households.</w:t>
      </w:r>
      <w:r w:rsidR="00AA5B12">
        <w:t xml:space="preserve"> </w:t>
      </w:r>
      <w:r w:rsidR="0036161E">
        <w:t>This may highlight the need to address transit affordability.</w:t>
      </w:r>
    </w:p>
    <w:p w:rsidR="00791295" w:rsidRPr="00C32252" w:rsidRDefault="00791295" w:rsidP="00924A5F">
      <w:pPr>
        <w:autoSpaceDE w:val="0"/>
        <w:autoSpaceDN w:val="0"/>
        <w:adjustRightInd w:val="0"/>
      </w:pPr>
    </w:p>
    <w:tbl>
      <w:tblPr>
        <w:tblW w:w="9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0"/>
        <w:gridCol w:w="2020"/>
        <w:gridCol w:w="1114"/>
        <w:gridCol w:w="992"/>
        <w:gridCol w:w="992"/>
        <w:gridCol w:w="993"/>
        <w:gridCol w:w="1224"/>
        <w:gridCol w:w="791"/>
        <w:gridCol w:w="9"/>
      </w:tblGrid>
      <w:tr w:rsidR="006C546D" w:rsidRPr="00C32252" w:rsidTr="003C76E0">
        <w:trPr>
          <w:gridAfter w:val="1"/>
          <w:wAfter w:w="9" w:type="dxa"/>
          <w:cantSplit/>
        </w:trPr>
        <w:tc>
          <w:tcPr>
            <w:tcW w:w="9256" w:type="dxa"/>
            <w:gridSpan w:val="8"/>
            <w:tcBorders>
              <w:top w:val="nil"/>
              <w:left w:val="nil"/>
              <w:bottom w:val="nil"/>
              <w:right w:val="nil"/>
            </w:tcBorders>
            <w:shd w:val="clear" w:color="auto" w:fill="FFFFFF"/>
            <w:vAlign w:val="center"/>
          </w:tcPr>
          <w:p w:rsidR="00791295" w:rsidRPr="0036161E" w:rsidRDefault="00685AEB" w:rsidP="0036161E">
            <w:pPr>
              <w:autoSpaceDE w:val="0"/>
              <w:autoSpaceDN w:val="0"/>
              <w:adjustRightInd w:val="0"/>
              <w:ind w:left="60" w:right="60"/>
              <w:rPr>
                <w:sz w:val="28"/>
                <w:szCs w:val="28"/>
              </w:rPr>
            </w:pPr>
            <w:r>
              <w:rPr>
                <w:b/>
                <w:bCs/>
                <w:sz w:val="28"/>
                <w:szCs w:val="28"/>
              </w:rPr>
              <w:t xml:space="preserve">Table </w:t>
            </w:r>
            <w:r w:rsidR="005C01BB">
              <w:rPr>
                <w:b/>
                <w:bCs/>
                <w:sz w:val="28"/>
                <w:szCs w:val="28"/>
              </w:rPr>
              <w:t>5.3</w:t>
            </w:r>
            <w:r w:rsidR="0036161E" w:rsidRPr="0036161E">
              <w:rPr>
                <w:b/>
                <w:bCs/>
                <w:sz w:val="28"/>
                <w:szCs w:val="28"/>
              </w:rPr>
              <w:t xml:space="preserve"> </w:t>
            </w:r>
            <w:r w:rsidR="00791295" w:rsidRPr="0036161E">
              <w:rPr>
                <w:b/>
                <w:bCs/>
                <w:sz w:val="28"/>
                <w:szCs w:val="28"/>
              </w:rPr>
              <w:t>Household income</w:t>
            </w:r>
            <w:r w:rsidR="006C546D" w:rsidRPr="0036161E">
              <w:rPr>
                <w:b/>
                <w:bCs/>
                <w:sz w:val="28"/>
                <w:szCs w:val="28"/>
              </w:rPr>
              <w:t xml:space="preserve"> </w:t>
            </w:r>
            <w:r w:rsidR="0036161E" w:rsidRPr="0036161E">
              <w:rPr>
                <w:b/>
                <w:bCs/>
                <w:sz w:val="28"/>
                <w:szCs w:val="28"/>
              </w:rPr>
              <w:t xml:space="preserve">by </w:t>
            </w:r>
            <w:r w:rsidR="00D13500" w:rsidRPr="0036161E">
              <w:rPr>
                <w:b/>
                <w:bCs/>
                <w:sz w:val="28"/>
                <w:szCs w:val="28"/>
              </w:rPr>
              <w:t>Household siz</w:t>
            </w:r>
            <w:r w:rsidR="0036161E" w:rsidRPr="0036161E">
              <w:rPr>
                <w:b/>
                <w:bCs/>
                <w:sz w:val="28"/>
                <w:szCs w:val="28"/>
              </w:rPr>
              <w:t>e for those with Transit Fines</w:t>
            </w:r>
          </w:p>
        </w:tc>
      </w:tr>
      <w:tr w:rsidR="00B903B5" w:rsidRPr="00C32252" w:rsidTr="003C76E0">
        <w:trPr>
          <w:gridAfter w:val="1"/>
          <w:wAfter w:w="9" w:type="dxa"/>
          <w:cantSplit/>
        </w:trPr>
        <w:tc>
          <w:tcPr>
            <w:tcW w:w="3150"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791295" w:rsidRPr="00C32252" w:rsidRDefault="00791295" w:rsidP="00924A5F">
            <w:pPr>
              <w:autoSpaceDE w:val="0"/>
              <w:autoSpaceDN w:val="0"/>
              <w:adjustRightInd w:val="0"/>
            </w:pPr>
          </w:p>
        </w:tc>
        <w:tc>
          <w:tcPr>
            <w:tcW w:w="5315" w:type="dxa"/>
            <w:gridSpan w:val="5"/>
            <w:tcBorders>
              <w:top w:val="single" w:sz="4" w:space="0" w:color="auto"/>
              <w:left w:val="single" w:sz="4" w:space="0" w:color="auto"/>
              <w:bottom w:val="nil"/>
              <w:right w:val="single" w:sz="4" w:space="0" w:color="auto"/>
            </w:tcBorders>
            <w:shd w:val="clear" w:color="auto" w:fill="FFFFFF"/>
            <w:vAlign w:val="bottom"/>
          </w:tcPr>
          <w:p w:rsidR="00791295" w:rsidRPr="00C32252" w:rsidRDefault="006C546D" w:rsidP="00924A5F">
            <w:pPr>
              <w:autoSpaceDE w:val="0"/>
              <w:autoSpaceDN w:val="0"/>
              <w:adjustRightInd w:val="0"/>
              <w:ind w:left="60" w:right="60"/>
              <w:jc w:val="center"/>
              <w:rPr>
                <w:b/>
              </w:rPr>
            </w:pPr>
            <w:r w:rsidRPr="00C32252">
              <w:rPr>
                <w:b/>
              </w:rPr>
              <w:t>Household size</w:t>
            </w:r>
          </w:p>
        </w:tc>
        <w:tc>
          <w:tcPr>
            <w:tcW w:w="791" w:type="dxa"/>
            <w:vMerge w:val="restart"/>
            <w:tcBorders>
              <w:top w:val="single" w:sz="4" w:space="0" w:color="auto"/>
              <w:left w:val="single" w:sz="4" w:space="0" w:color="auto"/>
              <w:bottom w:val="nil"/>
              <w:right w:val="single" w:sz="4" w:space="0" w:color="auto"/>
            </w:tcBorders>
            <w:shd w:val="clear" w:color="auto" w:fill="FFFFFF"/>
            <w:vAlign w:val="bottom"/>
          </w:tcPr>
          <w:p w:rsidR="00791295" w:rsidRPr="00C32252" w:rsidRDefault="00791295" w:rsidP="00924A5F">
            <w:pPr>
              <w:autoSpaceDE w:val="0"/>
              <w:autoSpaceDN w:val="0"/>
              <w:adjustRightInd w:val="0"/>
              <w:ind w:left="60" w:right="60"/>
              <w:jc w:val="center"/>
            </w:pPr>
            <w:r w:rsidRPr="00C32252">
              <w:t>Total</w:t>
            </w:r>
          </w:p>
        </w:tc>
      </w:tr>
      <w:tr w:rsidR="00B903B5" w:rsidRPr="00C32252" w:rsidTr="003C76E0">
        <w:trPr>
          <w:gridAfter w:val="1"/>
          <w:wAfter w:w="9" w:type="dxa"/>
          <w:cantSplit/>
        </w:trPr>
        <w:tc>
          <w:tcPr>
            <w:tcW w:w="3150" w:type="dxa"/>
            <w:gridSpan w:val="2"/>
            <w:vMerge/>
            <w:tcBorders>
              <w:top w:val="nil"/>
              <w:left w:val="single" w:sz="4" w:space="0" w:color="auto"/>
              <w:bottom w:val="single" w:sz="4" w:space="0" w:color="auto"/>
              <w:right w:val="single" w:sz="4" w:space="0" w:color="auto"/>
            </w:tcBorders>
            <w:shd w:val="clear" w:color="auto" w:fill="FFFFFF"/>
            <w:vAlign w:val="bottom"/>
          </w:tcPr>
          <w:p w:rsidR="00791295" w:rsidRPr="00C32252" w:rsidRDefault="00791295" w:rsidP="00924A5F">
            <w:pPr>
              <w:autoSpaceDE w:val="0"/>
              <w:autoSpaceDN w:val="0"/>
              <w:adjustRightInd w:val="0"/>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791295" w:rsidRPr="00C32252" w:rsidRDefault="00791295" w:rsidP="00924A5F">
            <w:pPr>
              <w:autoSpaceDE w:val="0"/>
              <w:autoSpaceDN w:val="0"/>
              <w:adjustRightInd w:val="0"/>
              <w:ind w:left="60" w:right="60"/>
              <w:jc w:val="center"/>
              <w:rPr>
                <w:b/>
              </w:rPr>
            </w:pPr>
            <w:r w:rsidRPr="00C32252">
              <w:rPr>
                <w:b/>
              </w:rPr>
              <w:t>1 person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91295" w:rsidRPr="00C32252" w:rsidRDefault="00791295" w:rsidP="00924A5F">
            <w:pPr>
              <w:autoSpaceDE w:val="0"/>
              <w:autoSpaceDN w:val="0"/>
              <w:adjustRightInd w:val="0"/>
              <w:ind w:left="60" w:right="60"/>
              <w:jc w:val="center"/>
              <w:rPr>
                <w:b/>
              </w:rPr>
            </w:pPr>
            <w:r w:rsidRPr="00C32252">
              <w:rPr>
                <w:b/>
              </w:rPr>
              <w:t>2 people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91295" w:rsidRPr="00C32252" w:rsidRDefault="00791295" w:rsidP="00924A5F">
            <w:pPr>
              <w:autoSpaceDE w:val="0"/>
              <w:autoSpaceDN w:val="0"/>
              <w:adjustRightInd w:val="0"/>
              <w:ind w:left="60" w:right="60"/>
              <w:jc w:val="center"/>
              <w:rPr>
                <w:b/>
              </w:rPr>
            </w:pPr>
            <w:r w:rsidRPr="00C32252">
              <w:rPr>
                <w:b/>
              </w:rPr>
              <w:t>3 people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791295" w:rsidRPr="00C32252" w:rsidRDefault="00791295" w:rsidP="00924A5F">
            <w:pPr>
              <w:autoSpaceDE w:val="0"/>
              <w:autoSpaceDN w:val="0"/>
              <w:adjustRightInd w:val="0"/>
              <w:ind w:left="60" w:right="60"/>
              <w:jc w:val="center"/>
              <w:rPr>
                <w:b/>
              </w:rPr>
            </w:pPr>
            <w:r w:rsidRPr="00C32252">
              <w:rPr>
                <w:b/>
              </w:rPr>
              <w:t>4 people</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tcPr>
          <w:p w:rsidR="00791295" w:rsidRPr="00C32252" w:rsidRDefault="006C546D" w:rsidP="00924A5F">
            <w:pPr>
              <w:autoSpaceDE w:val="0"/>
              <w:autoSpaceDN w:val="0"/>
              <w:adjustRightInd w:val="0"/>
              <w:ind w:left="60" w:right="60"/>
              <w:jc w:val="center"/>
              <w:rPr>
                <w:b/>
              </w:rPr>
            </w:pPr>
            <w:r w:rsidRPr="00C32252">
              <w:rPr>
                <w:b/>
              </w:rPr>
              <w:t xml:space="preserve">5+ </w:t>
            </w:r>
            <w:r w:rsidR="00791295" w:rsidRPr="00C32252">
              <w:rPr>
                <w:b/>
              </w:rPr>
              <w:t>people</w:t>
            </w:r>
          </w:p>
        </w:tc>
        <w:tc>
          <w:tcPr>
            <w:tcW w:w="791" w:type="dxa"/>
            <w:vMerge/>
            <w:tcBorders>
              <w:top w:val="nil"/>
              <w:left w:val="single" w:sz="4" w:space="0" w:color="auto"/>
              <w:bottom w:val="single" w:sz="4" w:space="0" w:color="auto"/>
              <w:right w:val="single" w:sz="4" w:space="0" w:color="auto"/>
            </w:tcBorders>
            <w:shd w:val="clear" w:color="auto" w:fill="FFFFFF"/>
            <w:vAlign w:val="bottom"/>
          </w:tcPr>
          <w:p w:rsidR="00791295" w:rsidRPr="00C32252" w:rsidRDefault="00791295" w:rsidP="00924A5F">
            <w:pPr>
              <w:autoSpaceDE w:val="0"/>
              <w:autoSpaceDN w:val="0"/>
              <w:adjustRightInd w:val="0"/>
            </w:pPr>
          </w:p>
        </w:tc>
      </w:tr>
      <w:tr w:rsidR="00B903B5" w:rsidRPr="00C32252" w:rsidTr="003C76E0">
        <w:trPr>
          <w:cantSplit/>
        </w:trPr>
        <w:tc>
          <w:tcPr>
            <w:tcW w:w="1130" w:type="dxa"/>
            <w:vMerge w:val="restart"/>
            <w:tcBorders>
              <w:top w:val="single" w:sz="4" w:space="0" w:color="auto"/>
              <w:left w:val="single" w:sz="4" w:space="0" w:color="auto"/>
              <w:bottom w:val="nil"/>
              <w:right w:val="nil"/>
            </w:tcBorders>
            <w:shd w:val="clear" w:color="auto" w:fill="E0E0E0"/>
          </w:tcPr>
          <w:p w:rsidR="00B903B5" w:rsidRPr="00C32252" w:rsidRDefault="00B903B5" w:rsidP="00924A5F">
            <w:pPr>
              <w:autoSpaceDE w:val="0"/>
              <w:autoSpaceDN w:val="0"/>
              <w:adjustRightInd w:val="0"/>
              <w:ind w:left="60" w:right="60"/>
              <w:rPr>
                <w:b/>
              </w:rPr>
            </w:pPr>
            <w:r w:rsidRPr="00C32252">
              <w:rPr>
                <w:b/>
              </w:rPr>
              <w:t>Household income recoded</w:t>
            </w:r>
          </w:p>
        </w:tc>
        <w:tc>
          <w:tcPr>
            <w:tcW w:w="2020" w:type="dxa"/>
            <w:vMerge w:val="restart"/>
            <w:tcBorders>
              <w:top w:val="single" w:sz="4" w:space="0" w:color="auto"/>
              <w:left w:val="nil"/>
              <w:bottom w:val="nil"/>
              <w:right w:val="nil"/>
            </w:tcBorders>
            <w:shd w:val="clear" w:color="auto" w:fill="E0E0E0"/>
          </w:tcPr>
          <w:p w:rsidR="00B903B5" w:rsidRPr="00C32252" w:rsidRDefault="00B903B5" w:rsidP="00924A5F">
            <w:pPr>
              <w:autoSpaceDE w:val="0"/>
              <w:autoSpaceDN w:val="0"/>
              <w:adjustRightInd w:val="0"/>
              <w:ind w:left="60" w:right="60"/>
              <w:rPr>
                <w:b/>
              </w:rPr>
            </w:pPr>
            <w:r w:rsidRPr="00C32252">
              <w:rPr>
                <w:b/>
              </w:rPr>
              <w:t xml:space="preserve">≤ $15,000 </w:t>
            </w:r>
          </w:p>
        </w:tc>
        <w:tc>
          <w:tcPr>
            <w:tcW w:w="1114" w:type="dxa"/>
            <w:tcBorders>
              <w:top w:val="single" w:sz="4" w:space="0" w:color="auto"/>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67</w:t>
            </w:r>
          </w:p>
        </w:tc>
        <w:tc>
          <w:tcPr>
            <w:tcW w:w="992" w:type="dxa"/>
            <w:tcBorders>
              <w:top w:val="single" w:sz="4" w:space="0" w:color="auto"/>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4" w:space="0" w:color="auto"/>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3" w:type="dxa"/>
            <w:tcBorders>
              <w:top w:val="single" w:sz="4" w:space="0" w:color="auto"/>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1224" w:type="dxa"/>
            <w:tcBorders>
              <w:top w:val="single" w:sz="4" w:space="0" w:color="auto"/>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800" w:type="dxa"/>
            <w:gridSpan w:val="2"/>
            <w:tcBorders>
              <w:top w:val="single" w:sz="4" w:space="0" w:color="auto"/>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67</w:t>
            </w:r>
          </w:p>
        </w:tc>
      </w:tr>
      <w:tr w:rsidR="00B903B5" w:rsidRPr="00C32252" w:rsidTr="003C76E0">
        <w:trPr>
          <w:cantSplit/>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tcBorders>
              <w:top w:val="single" w:sz="8" w:space="0" w:color="152935"/>
              <w:left w:val="nil"/>
              <w:bottom w:val="nil"/>
              <w:right w:val="nil"/>
            </w:tcBorders>
            <w:shd w:val="clear" w:color="auto" w:fill="E0E0E0"/>
          </w:tcPr>
          <w:p w:rsidR="00B903B5" w:rsidRPr="00C32252" w:rsidRDefault="00B903B5" w:rsidP="00924A5F">
            <w:pPr>
              <w:autoSpaceDE w:val="0"/>
              <w:autoSpaceDN w:val="0"/>
              <w:adjustRightInd w:val="0"/>
              <w:rPr>
                <w:b/>
              </w:rPr>
            </w:pPr>
          </w:p>
        </w:tc>
        <w:tc>
          <w:tcPr>
            <w:tcW w:w="1114"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3"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800" w:type="dxa"/>
            <w:gridSpan w:val="2"/>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40.6%</w:t>
            </w:r>
          </w:p>
        </w:tc>
      </w:tr>
      <w:tr w:rsidR="00B903B5" w:rsidRPr="00C32252" w:rsidTr="003C76E0">
        <w:trPr>
          <w:cantSplit/>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val="restart"/>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ind w:left="60" w:right="60"/>
              <w:rPr>
                <w:b/>
              </w:rPr>
            </w:pPr>
            <w:r w:rsidRPr="00C32252">
              <w:rPr>
                <w:b/>
              </w:rPr>
              <w:t>$15,001 - $30,000</w:t>
            </w:r>
          </w:p>
        </w:tc>
        <w:tc>
          <w:tcPr>
            <w:tcW w:w="111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21</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15</w:t>
            </w:r>
          </w:p>
        </w:tc>
        <w:tc>
          <w:tcPr>
            <w:tcW w:w="993"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800" w:type="dxa"/>
            <w:gridSpan w:val="2"/>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36</w:t>
            </w:r>
          </w:p>
        </w:tc>
      </w:tr>
      <w:tr w:rsidR="00B903B5" w:rsidRPr="00C32252" w:rsidTr="003C76E0">
        <w:trPr>
          <w:cantSplit/>
          <w:trHeight w:val="301"/>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rPr>
                <w:b/>
              </w:rPr>
            </w:pPr>
          </w:p>
        </w:tc>
        <w:tc>
          <w:tcPr>
            <w:tcW w:w="1114"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993"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800" w:type="dxa"/>
            <w:gridSpan w:val="2"/>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21.8%</w:t>
            </w:r>
          </w:p>
        </w:tc>
      </w:tr>
      <w:tr w:rsidR="00B903B5" w:rsidRPr="00C32252" w:rsidTr="003C76E0">
        <w:trPr>
          <w:cantSplit/>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val="restart"/>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ind w:left="60" w:right="60"/>
              <w:rPr>
                <w:b/>
              </w:rPr>
            </w:pPr>
            <w:r w:rsidRPr="00C32252">
              <w:rPr>
                <w:b/>
              </w:rPr>
              <w:t>$30,001 - $50,000</w:t>
            </w:r>
          </w:p>
        </w:tc>
        <w:tc>
          <w:tcPr>
            <w:tcW w:w="111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3"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9</w:t>
            </w:r>
          </w:p>
        </w:tc>
        <w:tc>
          <w:tcPr>
            <w:tcW w:w="800" w:type="dxa"/>
            <w:gridSpan w:val="2"/>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19</w:t>
            </w:r>
          </w:p>
        </w:tc>
      </w:tr>
      <w:tr w:rsidR="00B903B5" w:rsidRPr="00C32252" w:rsidTr="003C76E0">
        <w:trPr>
          <w:cantSplit/>
          <w:trHeight w:val="358"/>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rPr>
                <w:b/>
              </w:rPr>
            </w:pPr>
          </w:p>
        </w:tc>
        <w:tc>
          <w:tcPr>
            <w:tcW w:w="1114"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3"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17.3%</w:t>
            </w:r>
          </w:p>
        </w:tc>
        <w:tc>
          <w:tcPr>
            <w:tcW w:w="800" w:type="dxa"/>
            <w:gridSpan w:val="2"/>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11.5%</w:t>
            </w:r>
          </w:p>
        </w:tc>
      </w:tr>
      <w:tr w:rsidR="00B903B5" w:rsidRPr="00C32252" w:rsidTr="003C76E0">
        <w:trPr>
          <w:cantSplit/>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val="restart"/>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ind w:left="60" w:right="60"/>
              <w:rPr>
                <w:b/>
              </w:rPr>
            </w:pPr>
            <w:r w:rsidRPr="00C32252">
              <w:rPr>
                <w:b/>
              </w:rPr>
              <w:t>$50,001 - $70,000</w:t>
            </w:r>
          </w:p>
        </w:tc>
        <w:tc>
          <w:tcPr>
            <w:tcW w:w="111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3"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21</w:t>
            </w:r>
          </w:p>
        </w:tc>
        <w:tc>
          <w:tcPr>
            <w:tcW w:w="800" w:type="dxa"/>
            <w:gridSpan w:val="2"/>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21</w:t>
            </w:r>
          </w:p>
        </w:tc>
      </w:tr>
      <w:tr w:rsidR="00B903B5" w:rsidRPr="00C32252" w:rsidTr="003C76E0">
        <w:trPr>
          <w:cantSplit/>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rPr>
                <w:b/>
              </w:rPr>
            </w:pPr>
          </w:p>
        </w:tc>
        <w:tc>
          <w:tcPr>
            <w:tcW w:w="1114"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3"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40.4%</w:t>
            </w:r>
          </w:p>
        </w:tc>
        <w:tc>
          <w:tcPr>
            <w:tcW w:w="800" w:type="dxa"/>
            <w:gridSpan w:val="2"/>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12.7%</w:t>
            </w:r>
          </w:p>
        </w:tc>
      </w:tr>
      <w:tr w:rsidR="00B903B5" w:rsidRPr="00C32252" w:rsidTr="003C76E0">
        <w:trPr>
          <w:cantSplit/>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rPr>
                <w:b/>
              </w:rPr>
            </w:pPr>
          </w:p>
        </w:tc>
        <w:tc>
          <w:tcPr>
            <w:tcW w:w="2020" w:type="dxa"/>
            <w:vMerge w:val="restart"/>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ind w:left="60" w:right="60"/>
              <w:rPr>
                <w:b/>
              </w:rPr>
            </w:pPr>
            <w:r w:rsidRPr="00C32252">
              <w:rPr>
                <w:b/>
              </w:rPr>
              <w:t>$70,001+</w:t>
            </w:r>
          </w:p>
        </w:tc>
        <w:tc>
          <w:tcPr>
            <w:tcW w:w="111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993"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22</w:t>
            </w:r>
          </w:p>
        </w:tc>
        <w:tc>
          <w:tcPr>
            <w:tcW w:w="800" w:type="dxa"/>
            <w:gridSpan w:val="2"/>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22</w:t>
            </w:r>
          </w:p>
        </w:tc>
      </w:tr>
      <w:tr w:rsidR="00B903B5" w:rsidRPr="00C32252" w:rsidTr="003C76E0">
        <w:trPr>
          <w:cantSplit/>
          <w:trHeight w:val="301"/>
        </w:trPr>
        <w:tc>
          <w:tcPr>
            <w:tcW w:w="1130" w:type="dxa"/>
            <w:vMerge/>
            <w:tcBorders>
              <w:top w:val="single" w:sz="8" w:space="0" w:color="152935"/>
              <w:left w:val="single" w:sz="4" w:space="0" w:color="auto"/>
              <w:bottom w:val="nil"/>
              <w:right w:val="nil"/>
            </w:tcBorders>
            <w:shd w:val="clear" w:color="auto" w:fill="E0E0E0"/>
          </w:tcPr>
          <w:p w:rsidR="00B903B5" w:rsidRPr="00C32252" w:rsidRDefault="00B903B5" w:rsidP="00924A5F">
            <w:pPr>
              <w:autoSpaceDE w:val="0"/>
              <w:autoSpaceDN w:val="0"/>
              <w:adjustRightInd w:val="0"/>
            </w:pPr>
          </w:p>
        </w:tc>
        <w:tc>
          <w:tcPr>
            <w:tcW w:w="2020" w:type="dxa"/>
            <w:vMerge/>
            <w:tcBorders>
              <w:top w:val="single" w:sz="8" w:space="0" w:color="AEAEAE"/>
              <w:left w:val="nil"/>
              <w:bottom w:val="nil"/>
              <w:right w:val="nil"/>
            </w:tcBorders>
            <w:shd w:val="clear" w:color="auto" w:fill="E0E0E0"/>
          </w:tcPr>
          <w:p w:rsidR="00B903B5" w:rsidRPr="00C32252" w:rsidRDefault="00B903B5" w:rsidP="00924A5F">
            <w:pPr>
              <w:autoSpaceDE w:val="0"/>
              <w:autoSpaceDN w:val="0"/>
              <w:adjustRightInd w:val="0"/>
            </w:pPr>
          </w:p>
        </w:tc>
        <w:tc>
          <w:tcPr>
            <w:tcW w:w="1114"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2"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993" w:type="dxa"/>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0.0%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42.3%</w:t>
            </w:r>
          </w:p>
        </w:tc>
        <w:tc>
          <w:tcPr>
            <w:tcW w:w="800" w:type="dxa"/>
            <w:gridSpan w:val="2"/>
            <w:tcBorders>
              <w:top w:val="single" w:sz="8" w:space="0" w:color="AEAEAE"/>
              <w:left w:val="single" w:sz="4" w:space="0" w:color="auto"/>
              <w:bottom w:val="nil"/>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13.3%</w:t>
            </w:r>
          </w:p>
        </w:tc>
      </w:tr>
      <w:tr w:rsidR="00B903B5" w:rsidRPr="00C32252" w:rsidTr="003C76E0">
        <w:trPr>
          <w:cantSplit/>
        </w:trPr>
        <w:tc>
          <w:tcPr>
            <w:tcW w:w="3150" w:type="dxa"/>
            <w:gridSpan w:val="2"/>
            <w:vMerge w:val="restart"/>
            <w:tcBorders>
              <w:top w:val="single" w:sz="8" w:space="0" w:color="AEAEAE"/>
              <w:left w:val="single" w:sz="4" w:space="0" w:color="auto"/>
              <w:bottom w:val="single" w:sz="8" w:space="0" w:color="152935"/>
              <w:right w:val="nil"/>
            </w:tcBorders>
            <w:shd w:val="clear" w:color="auto" w:fill="E0E0E0"/>
          </w:tcPr>
          <w:p w:rsidR="00B903B5" w:rsidRPr="00C32252" w:rsidRDefault="00B903B5" w:rsidP="00924A5F">
            <w:pPr>
              <w:autoSpaceDE w:val="0"/>
              <w:autoSpaceDN w:val="0"/>
              <w:adjustRightInd w:val="0"/>
              <w:ind w:left="60" w:right="60"/>
            </w:pPr>
            <w:r w:rsidRPr="00C32252">
              <w:t>Total</w:t>
            </w:r>
          </w:p>
        </w:tc>
        <w:tc>
          <w:tcPr>
            <w:tcW w:w="111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67</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21</w:t>
            </w:r>
          </w:p>
        </w:tc>
        <w:tc>
          <w:tcPr>
            <w:tcW w:w="992"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15</w:t>
            </w:r>
          </w:p>
        </w:tc>
        <w:tc>
          <w:tcPr>
            <w:tcW w:w="993"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w:t>
            </w:r>
          </w:p>
        </w:tc>
        <w:tc>
          <w:tcPr>
            <w:tcW w:w="1224" w:type="dxa"/>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52</w:t>
            </w:r>
          </w:p>
        </w:tc>
        <w:tc>
          <w:tcPr>
            <w:tcW w:w="800" w:type="dxa"/>
            <w:gridSpan w:val="2"/>
            <w:tcBorders>
              <w:top w:val="single" w:sz="8" w:space="0" w:color="AEAEAE"/>
              <w:left w:val="single" w:sz="4" w:space="0" w:color="auto"/>
              <w:bottom w:val="single" w:sz="8" w:space="0" w:color="AEAEAE"/>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165</w:t>
            </w:r>
          </w:p>
        </w:tc>
      </w:tr>
      <w:tr w:rsidR="00B903B5" w:rsidRPr="00C32252" w:rsidTr="003C76E0">
        <w:trPr>
          <w:cantSplit/>
        </w:trPr>
        <w:tc>
          <w:tcPr>
            <w:tcW w:w="3150" w:type="dxa"/>
            <w:gridSpan w:val="2"/>
            <w:vMerge/>
            <w:tcBorders>
              <w:top w:val="single" w:sz="8" w:space="0" w:color="AEAEAE"/>
              <w:left w:val="single" w:sz="4" w:space="0" w:color="auto"/>
              <w:bottom w:val="single" w:sz="4" w:space="0" w:color="auto"/>
              <w:right w:val="nil"/>
            </w:tcBorders>
            <w:shd w:val="clear" w:color="auto" w:fill="E0E0E0"/>
          </w:tcPr>
          <w:p w:rsidR="00B903B5" w:rsidRPr="00C32252" w:rsidRDefault="00B903B5" w:rsidP="00924A5F">
            <w:pPr>
              <w:autoSpaceDE w:val="0"/>
              <w:autoSpaceDN w:val="0"/>
              <w:adjustRightInd w:val="0"/>
            </w:pPr>
          </w:p>
        </w:tc>
        <w:tc>
          <w:tcPr>
            <w:tcW w:w="1114" w:type="dxa"/>
            <w:tcBorders>
              <w:top w:val="single" w:sz="8" w:space="0" w:color="AEAEAE"/>
              <w:left w:val="single" w:sz="4" w:space="0" w:color="auto"/>
              <w:bottom w:val="single" w:sz="4" w:space="0" w:color="auto"/>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992" w:type="dxa"/>
            <w:tcBorders>
              <w:top w:val="single" w:sz="8" w:space="0" w:color="AEAEAE"/>
              <w:left w:val="single" w:sz="4" w:space="0" w:color="auto"/>
              <w:bottom w:val="single" w:sz="4" w:space="0" w:color="auto"/>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992" w:type="dxa"/>
            <w:tcBorders>
              <w:top w:val="single" w:sz="8" w:space="0" w:color="AEAEAE"/>
              <w:left w:val="single" w:sz="4" w:space="0" w:color="auto"/>
              <w:bottom w:val="single" w:sz="4" w:space="0" w:color="auto"/>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993" w:type="dxa"/>
            <w:tcBorders>
              <w:top w:val="single" w:sz="8" w:space="0" w:color="AEAEAE"/>
              <w:left w:val="single" w:sz="4" w:space="0" w:color="auto"/>
              <w:bottom w:val="single" w:sz="4" w:space="0" w:color="auto"/>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1224" w:type="dxa"/>
            <w:tcBorders>
              <w:top w:val="single" w:sz="8" w:space="0" w:color="AEAEAE"/>
              <w:left w:val="single" w:sz="4" w:space="0" w:color="auto"/>
              <w:bottom w:val="single" w:sz="4" w:space="0" w:color="auto"/>
              <w:right w:val="single" w:sz="4" w:space="0" w:color="auto"/>
            </w:tcBorders>
            <w:shd w:val="clear" w:color="auto" w:fill="FFFFFF"/>
          </w:tcPr>
          <w:p w:rsidR="00B903B5" w:rsidRPr="00C32252" w:rsidRDefault="00B903B5" w:rsidP="00924A5F">
            <w:pPr>
              <w:autoSpaceDE w:val="0"/>
              <w:autoSpaceDN w:val="0"/>
              <w:adjustRightInd w:val="0"/>
              <w:ind w:left="60" w:right="60"/>
              <w:jc w:val="right"/>
            </w:pPr>
            <w:r w:rsidRPr="00C32252">
              <w:t>100.0%</w:t>
            </w:r>
          </w:p>
        </w:tc>
        <w:tc>
          <w:tcPr>
            <w:tcW w:w="800" w:type="dxa"/>
            <w:gridSpan w:val="2"/>
            <w:tcBorders>
              <w:top w:val="single" w:sz="8" w:space="0" w:color="AEAEAE"/>
              <w:left w:val="single" w:sz="4" w:space="0" w:color="auto"/>
              <w:bottom w:val="single" w:sz="4" w:space="0" w:color="auto"/>
              <w:right w:val="single" w:sz="4" w:space="0" w:color="auto"/>
            </w:tcBorders>
            <w:shd w:val="clear" w:color="auto" w:fill="FFFFFF"/>
          </w:tcPr>
          <w:p w:rsidR="00B903B5" w:rsidRPr="00C32252" w:rsidRDefault="00B903B5" w:rsidP="00B903B5">
            <w:pPr>
              <w:autoSpaceDE w:val="0"/>
              <w:autoSpaceDN w:val="0"/>
              <w:adjustRightInd w:val="0"/>
              <w:ind w:left="60" w:right="60"/>
            </w:pPr>
            <w:r>
              <w:t>100.</w:t>
            </w:r>
            <w:r w:rsidRPr="00C32252">
              <w:t>%</w:t>
            </w:r>
          </w:p>
        </w:tc>
      </w:tr>
    </w:tbl>
    <w:p w:rsidR="00A152C4" w:rsidRDefault="00A152C4" w:rsidP="00EE4AF5">
      <w:pPr>
        <w:spacing w:line="360" w:lineRule="auto"/>
      </w:pPr>
    </w:p>
    <w:p w:rsidR="00EE4AF5" w:rsidRDefault="00EE4AF5">
      <w:pPr>
        <w:spacing w:after="160" w:line="259" w:lineRule="auto"/>
        <w:rPr>
          <w:b/>
          <w:sz w:val="28"/>
          <w:szCs w:val="28"/>
          <w:u w:val="single"/>
        </w:rPr>
      </w:pPr>
      <w:r>
        <w:rPr>
          <w:b/>
          <w:sz w:val="28"/>
          <w:szCs w:val="28"/>
          <w:u w:val="single"/>
        </w:rPr>
        <w:br w:type="page"/>
      </w:r>
    </w:p>
    <w:p w:rsidR="00AF244E" w:rsidRPr="009869B8" w:rsidRDefault="009869B8" w:rsidP="00EE4AF5">
      <w:pPr>
        <w:spacing w:line="360" w:lineRule="auto"/>
        <w:rPr>
          <w:b/>
          <w:sz w:val="28"/>
          <w:szCs w:val="28"/>
          <w:u w:val="single"/>
        </w:rPr>
      </w:pPr>
      <w:r>
        <w:rPr>
          <w:b/>
          <w:sz w:val="28"/>
          <w:szCs w:val="28"/>
          <w:u w:val="single"/>
        </w:rPr>
        <w:lastRenderedPageBreak/>
        <w:t>Discussion and R</w:t>
      </w:r>
      <w:r w:rsidR="00AF244E" w:rsidRPr="009869B8">
        <w:rPr>
          <w:b/>
          <w:sz w:val="28"/>
          <w:szCs w:val="28"/>
          <w:u w:val="single"/>
        </w:rPr>
        <w:t>ecommendations</w:t>
      </w:r>
      <w:r>
        <w:rPr>
          <w:b/>
          <w:sz w:val="28"/>
          <w:szCs w:val="28"/>
          <w:u w:val="single"/>
        </w:rPr>
        <w:t>_____________________________________</w:t>
      </w:r>
    </w:p>
    <w:p w:rsidR="005F6CF9" w:rsidRPr="00C32252" w:rsidRDefault="005F6CF9" w:rsidP="00EE4AF5">
      <w:pPr>
        <w:spacing w:line="360" w:lineRule="auto"/>
        <w:rPr>
          <w:b/>
        </w:rPr>
      </w:pPr>
    </w:p>
    <w:p w:rsidR="00614E8E" w:rsidRPr="009869B8" w:rsidRDefault="00614E8E" w:rsidP="00EE4AF5">
      <w:pPr>
        <w:spacing w:line="360" w:lineRule="auto"/>
      </w:pPr>
      <w:r w:rsidRPr="009869B8">
        <w:t xml:space="preserve">This research provides insight into how bylaw enforcement is experienced by citizens in </w:t>
      </w:r>
      <w:r w:rsidRPr="009869B8">
        <w:lastRenderedPageBreak/>
        <w:t>the City of Calgary.</w:t>
      </w:r>
      <w:r w:rsidR="00AA5B12">
        <w:t xml:space="preserve"> </w:t>
      </w:r>
      <w:r w:rsidRPr="009869B8">
        <w:t>Before discussing the results, we must highlight the limitations of this research.</w:t>
      </w:r>
      <w:r w:rsidR="00AA5B12">
        <w:t xml:space="preserve"> </w:t>
      </w:r>
      <w:r w:rsidRPr="009869B8">
        <w:t>First, this is not a representative sample.</w:t>
      </w:r>
      <w:r w:rsidR="00AA5B12">
        <w:t xml:space="preserve"> </w:t>
      </w:r>
      <w:r w:rsidRPr="009869B8">
        <w:t>Respondents were approached at the Calgary Courts Centre and within a variety of community agencies and asked to participate.</w:t>
      </w:r>
      <w:r w:rsidR="00AA5B12">
        <w:t xml:space="preserve"> </w:t>
      </w:r>
      <w:r w:rsidRPr="009869B8">
        <w:lastRenderedPageBreak/>
        <w:t>Our sam</w:t>
      </w:r>
      <w:r w:rsidR="00DB4557" w:rsidRPr="009869B8">
        <w:t>ple then is limited t</w:t>
      </w:r>
      <w:r w:rsidR="00C665D6" w:rsidRPr="009869B8">
        <w:t>o</w:t>
      </w:r>
      <w:r w:rsidRPr="009869B8">
        <w:t xml:space="preserve"> those who </w:t>
      </w:r>
      <w:r w:rsidR="00DB4557" w:rsidRPr="009869B8">
        <w:t>agreed</w:t>
      </w:r>
      <w:r w:rsidRPr="009869B8">
        <w:t xml:space="preserve"> to partici</w:t>
      </w:r>
      <w:r w:rsidR="00C665D6" w:rsidRPr="009869B8">
        <w:t xml:space="preserve">pate and </w:t>
      </w:r>
      <w:r w:rsidR="00CC02E1" w:rsidRPr="009869B8">
        <w:t xml:space="preserve">obviously </w:t>
      </w:r>
      <w:r w:rsidR="0043708D" w:rsidRPr="009869B8">
        <w:t>does not include</w:t>
      </w:r>
      <w:r w:rsidRPr="009869B8">
        <w:t xml:space="preserve"> those who were not present at court to address their fines</w:t>
      </w:r>
      <w:r w:rsidR="00C665D6" w:rsidRPr="009869B8">
        <w:t xml:space="preserve"> or at a community agency</w:t>
      </w:r>
      <w:r w:rsidRPr="009869B8">
        <w:t>.</w:t>
      </w:r>
      <w:r w:rsidR="00AA5B12">
        <w:t xml:space="preserve"> </w:t>
      </w:r>
      <w:r w:rsidRPr="009869B8">
        <w:t>Thus, our sample</w:t>
      </w:r>
      <w:r w:rsidR="0043708D" w:rsidRPr="009869B8">
        <w:t xml:space="preserve"> (and subsequent findings)</w:t>
      </w:r>
      <w:r w:rsidRPr="009869B8">
        <w:t xml:space="preserve"> will </w:t>
      </w:r>
      <w:r w:rsidR="0043708D" w:rsidRPr="009869B8">
        <w:t xml:space="preserve">likely </w:t>
      </w:r>
      <w:r w:rsidRPr="009869B8">
        <w:t xml:space="preserve">underrepresent those who received and paid </w:t>
      </w:r>
      <w:r w:rsidRPr="009869B8">
        <w:lastRenderedPageBreak/>
        <w:t>their fines immediately as well as those who received fines and avoided court and/or community agency contact.</w:t>
      </w:r>
      <w:r w:rsidR="00AA5B12">
        <w:t xml:space="preserve"> </w:t>
      </w:r>
      <w:r w:rsidR="00AC4630" w:rsidRPr="009869B8">
        <w:t>Within the context of these limitations</w:t>
      </w:r>
      <w:r w:rsidR="00FD4C49" w:rsidRPr="009869B8">
        <w:t>, we discuss the results of the survey</w:t>
      </w:r>
      <w:r w:rsidR="00C20165" w:rsidRPr="009869B8">
        <w:t xml:space="preserve"> and provide some preliminary recommendations for those interested </w:t>
      </w:r>
      <w:r w:rsidR="005146BD">
        <w:t xml:space="preserve">in </w:t>
      </w:r>
      <w:r w:rsidR="00C20165" w:rsidRPr="009869B8">
        <w:t xml:space="preserve">municipal bylaw </w:t>
      </w:r>
      <w:r w:rsidR="00C20165" w:rsidRPr="009869B8">
        <w:lastRenderedPageBreak/>
        <w:t>policy development and modification</w:t>
      </w:r>
      <w:r w:rsidR="00FD4C49" w:rsidRPr="009869B8">
        <w:t>.</w:t>
      </w:r>
    </w:p>
    <w:p w:rsidR="00786C8E" w:rsidRPr="009869B8" w:rsidRDefault="00786C8E" w:rsidP="009869B8">
      <w:pPr>
        <w:spacing w:line="360" w:lineRule="auto"/>
      </w:pPr>
    </w:p>
    <w:p w:rsidR="00705998" w:rsidRPr="009869B8" w:rsidRDefault="00705998" w:rsidP="009869B8">
      <w:pPr>
        <w:spacing w:line="360" w:lineRule="auto"/>
      </w:pPr>
      <w:r w:rsidRPr="009869B8">
        <w:t>As one might expect, respondents varied in age and were evenly split along gender lines.</w:t>
      </w:r>
      <w:r w:rsidR="00AA5B12">
        <w:t xml:space="preserve"> </w:t>
      </w:r>
    </w:p>
    <w:p w:rsidR="00786C8E" w:rsidRPr="009869B8" w:rsidRDefault="00705998" w:rsidP="001D438C">
      <w:pPr>
        <w:pStyle w:val="NormalWeb"/>
        <w:spacing w:line="360" w:lineRule="auto"/>
      </w:pPr>
      <w:r w:rsidRPr="009869B8">
        <w:t xml:space="preserve">However, when we examine incomes we see that respondents were somewhat different </w:t>
      </w:r>
      <w:r w:rsidRPr="009869B8">
        <w:lastRenderedPageBreak/>
        <w:t>from the ‘average’ family in the City of Calgary.</w:t>
      </w:r>
      <w:r w:rsidR="00AA5B12">
        <w:t xml:space="preserve"> </w:t>
      </w:r>
      <w:r w:rsidRPr="009869B8">
        <w:t>This research found that many of the people attending Court, or community service agencies, to address their fines report</w:t>
      </w:r>
      <w:r w:rsidR="00CC02E1" w:rsidRPr="009869B8">
        <w:t>ed</w:t>
      </w:r>
      <w:r w:rsidRPr="009869B8">
        <w:t xml:space="preserve"> lower incomes when compared to the general population in Calgary.</w:t>
      </w:r>
      <w:r w:rsidR="00AA5B12">
        <w:t xml:space="preserve"> </w:t>
      </w:r>
      <w:r w:rsidRPr="009869B8">
        <w:t xml:space="preserve">The majority of respondents indicated that </w:t>
      </w:r>
      <w:r w:rsidR="00CC02E1" w:rsidRPr="009869B8">
        <w:lastRenderedPageBreak/>
        <w:t xml:space="preserve">they </w:t>
      </w:r>
      <w:r w:rsidRPr="009869B8">
        <w:t xml:space="preserve">had difficulties paying their fines and that the fines had </w:t>
      </w:r>
      <w:r w:rsidR="00CC02E1" w:rsidRPr="009869B8">
        <w:t xml:space="preserve">a </w:t>
      </w:r>
      <w:r w:rsidRPr="009869B8">
        <w:t>considerable impact on their daily lives.</w:t>
      </w:r>
      <w:r w:rsidR="00AA5B12">
        <w:t xml:space="preserve"> </w:t>
      </w:r>
      <w:r w:rsidRPr="009869B8">
        <w:t>Aside from the stress the fines caused, many respondents indicated quite serious impacts on their lives.</w:t>
      </w:r>
      <w:r w:rsidR="00AA5B12">
        <w:t xml:space="preserve"> </w:t>
      </w:r>
      <w:r w:rsidRPr="009869B8">
        <w:t xml:space="preserve">Some of these included having warrants issued for their arrest and spending time </w:t>
      </w:r>
      <w:r w:rsidRPr="009869B8">
        <w:lastRenderedPageBreak/>
        <w:t>in a correctional facility.</w:t>
      </w:r>
      <w:r w:rsidR="00AA5B12">
        <w:t xml:space="preserve"> </w:t>
      </w:r>
      <w:r w:rsidR="00E605D2">
        <w:t xml:space="preserve"> During this research</w:t>
      </w:r>
      <w:r w:rsidR="00550B4E">
        <w:t>,</w:t>
      </w:r>
      <w:r w:rsidR="00E605D2">
        <w:t xml:space="preserve"> the Province </w:t>
      </w:r>
      <w:r w:rsidR="00BB5F5F">
        <w:t>of Alberta passed Bill 9: An</w:t>
      </w:r>
      <w:r w:rsidR="00855A29">
        <w:t xml:space="preserve"> </w:t>
      </w:r>
      <w:r w:rsidR="00074370">
        <w:t>Act to</w:t>
      </w:r>
      <w:r w:rsidR="00BB5F5F">
        <w:t xml:space="preserve"> Moder</w:t>
      </w:r>
      <w:r w:rsidR="00165C56">
        <w:t>nize Enforcement of Provincial O</w:t>
      </w:r>
      <w:r w:rsidR="00BB5F5F">
        <w:t>ffences</w:t>
      </w:r>
      <w:r w:rsidR="00855A29">
        <w:t xml:space="preserve"> (see Government o</w:t>
      </w:r>
      <w:r w:rsidR="00A808EA">
        <w:t>f Alberta). T</w:t>
      </w:r>
      <w:r w:rsidR="00BB5F5F">
        <w:t>his was a</w:t>
      </w:r>
      <w:r w:rsidR="00855A29">
        <w:t xml:space="preserve"> significant development within t</w:t>
      </w:r>
      <w:r w:rsidR="00074370">
        <w:t>he P</w:t>
      </w:r>
      <w:r w:rsidR="00BB5F5F">
        <w:t>rovince particularly as it re</w:t>
      </w:r>
      <w:r w:rsidR="00BB5F5F">
        <w:lastRenderedPageBreak/>
        <w:t>lates to how m</w:t>
      </w:r>
      <w:r w:rsidR="00074370">
        <w:t>unicipal bylaws are enforced</w:t>
      </w:r>
      <w:r w:rsidR="00855A29">
        <w:t xml:space="preserve">.  </w:t>
      </w:r>
      <w:r w:rsidR="008E4513">
        <w:t xml:space="preserve">The purpose of the Bill was to increase the efficiency and effectiveness of provincial and municipal bylaw enforcement in the Province.  Specifically, </w:t>
      </w:r>
      <w:r w:rsidR="00CA010F">
        <w:t xml:space="preserve">and of most relevance to this research, </w:t>
      </w:r>
      <w:r w:rsidR="008E4513">
        <w:t xml:space="preserve">Bill 9 stops the use </w:t>
      </w:r>
      <w:r w:rsidR="008E4513">
        <w:lastRenderedPageBreak/>
        <w:t>of warrants in cases with provincial and/or municipal bylaw infractions with penalties of one thousand dollars or less</w:t>
      </w:r>
      <w:r w:rsidR="00CA010F">
        <w:t xml:space="preserve">; </w:t>
      </w:r>
      <w:r w:rsidR="00F11F48">
        <w:t xml:space="preserve">and </w:t>
      </w:r>
      <w:r w:rsidR="00CA010F">
        <w:t>restricts the use of arrest and custody for minor provincial and municipal infractions</w:t>
      </w:r>
      <w:r w:rsidR="00550B4E">
        <w:t xml:space="preserve"> and instead replaces these with civil enforcement measures, such as restricting </w:t>
      </w:r>
      <w:r w:rsidR="00550B4E">
        <w:lastRenderedPageBreak/>
        <w:t>motor vehicle license renewal and garnishing wages</w:t>
      </w:r>
      <w:r w:rsidR="00CA010F">
        <w:t>.</w:t>
      </w:r>
      <w:r w:rsidR="00550B4E">
        <w:t xml:space="preserve">  It is too early to determine what impact this change in law will have on municipal bylaw enforcement and to what extent it will reduce the disproportionately negative impact these bylaws have on those living in poverty.  We would </w:t>
      </w:r>
      <w:r w:rsidR="00550B4E">
        <w:lastRenderedPageBreak/>
        <w:t xml:space="preserve">encourage further research to evaluate the impact of Bill 9 in the near future. </w:t>
      </w:r>
    </w:p>
    <w:p w:rsidR="00FD4C49" w:rsidRPr="009869B8" w:rsidRDefault="00FD4C49" w:rsidP="009869B8">
      <w:pPr>
        <w:spacing w:line="360" w:lineRule="auto"/>
      </w:pPr>
      <w:r w:rsidRPr="009869B8">
        <w:t>By far the most frequently reported bylaw offence</w:t>
      </w:r>
      <w:r w:rsidR="00C20165" w:rsidRPr="009869B8">
        <w:t>s</w:t>
      </w:r>
      <w:r w:rsidRPr="009869B8">
        <w:t xml:space="preserve"> were transit fines.</w:t>
      </w:r>
      <w:r w:rsidR="00AA5B12">
        <w:t xml:space="preserve"> </w:t>
      </w:r>
      <w:r w:rsidRPr="009869B8">
        <w:t>These fines were all related to fares going unpaid (for example, not having proof of payment).</w:t>
      </w:r>
      <w:r w:rsidR="00AA5B12">
        <w:t xml:space="preserve"> </w:t>
      </w:r>
      <w:r w:rsidRPr="009869B8">
        <w:t xml:space="preserve">These fines represented roughly </w:t>
      </w:r>
      <w:r w:rsidRPr="009869B8">
        <w:lastRenderedPageBreak/>
        <w:t>65% of the fines reported by our 417 respondents.</w:t>
      </w:r>
      <w:r w:rsidR="00AA5B12">
        <w:t xml:space="preserve"> </w:t>
      </w:r>
      <w:r w:rsidRPr="009869B8">
        <w:t>When we explored the circumstances of those who had received transit fines over the l</w:t>
      </w:r>
      <w:r w:rsidR="00CC02E1" w:rsidRPr="009869B8">
        <w:t>ast year, it was clear that the vast majority</w:t>
      </w:r>
      <w:r w:rsidRPr="009869B8">
        <w:t xml:space="preserve"> of these respondents reported low incomes.</w:t>
      </w:r>
      <w:r w:rsidR="00AA5B12">
        <w:t xml:space="preserve"> </w:t>
      </w:r>
      <w:r w:rsidR="00C20165" w:rsidRPr="009869B8">
        <w:t xml:space="preserve">Once household size was taken into account, this </w:t>
      </w:r>
      <w:r w:rsidR="00C20165" w:rsidRPr="009869B8">
        <w:lastRenderedPageBreak/>
        <w:t>remained true for all respondents reporting transit fines.</w:t>
      </w:r>
      <w:r w:rsidR="00AA5B12">
        <w:t xml:space="preserve"> </w:t>
      </w:r>
      <w:r w:rsidR="00C20165" w:rsidRPr="009869B8">
        <w:t>This suggests that addressing issues of transit affordability may be a place to start if we are to reduce the negative impacts of these fines on low income households.</w:t>
      </w:r>
      <w:r w:rsidR="00AA5B12">
        <w:t xml:space="preserve"> </w:t>
      </w:r>
      <w:r w:rsidR="00C20165" w:rsidRPr="009869B8">
        <w:t xml:space="preserve">During this research, Calgary Transit initiated a low income monthly </w:t>
      </w:r>
      <w:r w:rsidR="00C20165" w:rsidRPr="009869B8">
        <w:lastRenderedPageBreak/>
        <w:t>pass system that works on a sliding scale.</w:t>
      </w:r>
      <w:r w:rsidR="00AA5B12">
        <w:t xml:space="preserve"> </w:t>
      </w:r>
      <w:r w:rsidR="000F66F1" w:rsidRPr="0014339D">
        <w:t>This initiative may help to alleviate the number of non-payment fines being issued.</w:t>
      </w:r>
      <w:r w:rsidR="00AA5B12" w:rsidRPr="0014339D">
        <w:t xml:space="preserve"> </w:t>
      </w:r>
      <w:r w:rsidR="0014339D" w:rsidRPr="0014339D">
        <w:t xml:space="preserve">Upon evaluating the sliding scale for low-income transit passes, it appears that families receiving social assistance and many individuals earning minimum </w:t>
      </w:r>
      <w:r w:rsidR="0014339D" w:rsidRPr="0014339D">
        <w:lastRenderedPageBreak/>
        <w:t>wage will qualify for transit passes at a reduced price. This would suggest that many low-income Calgarians will be able to access more affordable transit services.</w:t>
      </w:r>
      <w:r w:rsidR="0014339D">
        <w:t xml:space="preserve">  </w:t>
      </w:r>
      <w:r w:rsidR="000F66F1" w:rsidRPr="009869B8">
        <w:t xml:space="preserve">Additional research examining the uptake of these sliding scale transit passes will be important to determine if </w:t>
      </w:r>
      <w:r w:rsidR="000F66F1" w:rsidRPr="009869B8">
        <w:lastRenderedPageBreak/>
        <w:t>those with low incomes are using this service</w:t>
      </w:r>
      <w:r w:rsidR="00860EC7" w:rsidRPr="009869B8">
        <w:t xml:space="preserve"> and to identify any potential concerns with uptake</w:t>
      </w:r>
      <w:r w:rsidR="000F66F1" w:rsidRPr="009869B8">
        <w:t>.</w:t>
      </w:r>
      <w:r w:rsidR="00AA5B12">
        <w:t xml:space="preserve"> </w:t>
      </w:r>
      <w:r w:rsidR="000F66F1" w:rsidRPr="009869B8">
        <w:t>A number of factors must be considered in examining the benefits of such research.</w:t>
      </w:r>
      <w:r w:rsidR="00AA5B12">
        <w:t xml:space="preserve"> </w:t>
      </w:r>
      <w:r w:rsidR="000F66F1" w:rsidRPr="009869B8">
        <w:t xml:space="preserve"> For example, ease of access in attaining low income transit passes as </w:t>
      </w:r>
      <w:r w:rsidR="000F66F1" w:rsidRPr="009869B8">
        <w:lastRenderedPageBreak/>
        <w:t>well as determining if established low income thresholds are sufficient.</w:t>
      </w:r>
      <w:r w:rsidR="00AA5B12">
        <w:t xml:space="preserve"> </w:t>
      </w:r>
      <w:r w:rsidR="000F66F1" w:rsidRPr="009869B8">
        <w:t xml:space="preserve"> We are hopeful that this initiative will help to create greater access to transit and reduce the number of fines low income citizens are experiencing on Transit and strongly recommend a full evaluation of the </w:t>
      </w:r>
      <w:r w:rsidR="000F66F1" w:rsidRPr="009869B8">
        <w:lastRenderedPageBreak/>
        <w:t>impact of this initiative in the future.</w:t>
      </w:r>
    </w:p>
    <w:p w:rsidR="00544F3B" w:rsidRPr="009869B8" w:rsidRDefault="00544F3B" w:rsidP="009869B8">
      <w:pPr>
        <w:spacing w:line="360" w:lineRule="auto"/>
        <w:rPr>
          <w:b/>
        </w:rPr>
      </w:pPr>
    </w:p>
    <w:p w:rsidR="00FA4F46" w:rsidRPr="009869B8" w:rsidRDefault="00A808EA" w:rsidP="009869B8">
      <w:pPr>
        <w:spacing w:line="360" w:lineRule="auto"/>
      </w:pPr>
      <w:r>
        <w:t>Finally, our research comple</w:t>
      </w:r>
      <w:r w:rsidR="00FA4F46" w:rsidRPr="009869B8">
        <w:t>ments existing research on the impact of fines on homeless populations.</w:t>
      </w:r>
      <w:r w:rsidR="00AA5B12">
        <w:t xml:space="preserve"> </w:t>
      </w:r>
      <w:r w:rsidR="00FA4F46" w:rsidRPr="009869B8">
        <w:t xml:space="preserve">Respondents reporting unstable housing were more likely to report receiving social disorder bylaw </w:t>
      </w:r>
      <w:r w:rsidR="00FA4F46" w:rsidRPr="009869B8">
        <w:lastRenderedPageBreak/>
        <w:t>tickets when compared to those who were in stable housing.</w:t>
      </w:r>
      <w:r w:rsidR="00AA5B12">
        <w:t xml:space="preserve"> </w:t>
      </w:r>
      <w:r w:rsidR="00FA4F46" w:rsidRPr="009869B8">
        <w:t>We echo the concerns of prior research on this issue.</w:t>
      </w:r>
      <w:r w:rsidR="00AA5B12">
        <w:t xml:space="preserve"> </w:t>
      </w:r>
      <w:r w:rsidR="0064701B">
        <w:t>One additional noteworthy finding from this survey research relates to the deterrent impact of tickets received.</w:t>
      </w:r>
      <w:r w:rsidR="00AA5B12">
        <w:t xml:space="preserve"> </w:t>
      </w:r>
      <w:r w:rsidR="00460B8B">
        <w:t xml:space="preserve">One of the primary goals of bylaw enforcement </w:t>
      </w:r>
      <w:r w:rsidR="00460B8B">
        <w:lastRenderedPageBreak/>
        <w:t>is to discourage certain behaviour through deterrence.</w:t>
      </w:r>
      <w:r w:rsidR="00AA5B12">
        <w:t xml:space="preserve"> </w:t>
      </w:r>
      <w:r w:rsidR="00460B8B">
        <w:t>That is, it is assumed the individuals calculate the costs and benefits of engaging in the behaviours regulated under the municipal bylaws.</w:t>
      </w:r>
      <w:r w:rsidR="00AA5B12">
        <w:t xml:space="preserve"> </w:t>
      </w:r>
      <w:r w:rsidR="00460B8B">
        <w:t xml:space="preserve">Many respondents indicated that fines themselves would </w:t>
      </w:r>
      <w:r w:rsidR="00460B8B">
        <w:lastRenderedPageBreak/>
        <w:t>not deter them from committing similar infractions in the future because of their life circumstances.</w:t>
      </w:r>
      <w:r w:rsidR="00AA5B12">
        <w:t xml:space="preserve"> </w:t>
      </w:r>
      <w:r w:rsidR="007851C3">
        <w:t>And</w:t>
      </w:r>
      <w:r w:rsidR="00460B8B">
        <w:t xml:space="preserve"> many further indicated they simply did not care if they received fines in the future.</w:t>
      </w:r>
      <w:r w:rsidR="00AA5B12">
        <w:t xml:space="preserve"> </w:t>
      </w:r>
      <w:r w:rsidR="00460B8B">
        <w:t>This suggests that for some citizens bylaws are simply unavoida</w:t>
      </w:r>
      <w:r w:rsidR="00460B8B">
        <w:lastRenderedPageBreak/>
        <w:t xml:space="preserve">ble and are unlikely to be deterred by the fines they receive. Given these findings, one must question the use of limited public resources in </w:t>
      </w:r>
      <w:r w:rsidR="00FA4F46" w:rsidRPr="009869B8">
        <w:t>addressing tickets for low income and homeless citizens</w:t>
      </w:r>
      <w:r w:rsidR="002C5A87" w:rsidRPr="009869B8">
        <w:t>.</w:t>
      </w:r>
      <w:r w:rsidR="00AA5B12">
        <w:t xml:space="preserve"> </w:t>
      </w:r>
      <w:r w:rsidR="002C5A87" w:rsidRPr="009869B8">
        <w:t>There are a number o</w:t>
      </w:r>
      <w:r w:rsidR="00460B8B">
        <w:t xml:space="preserve">f things that </w:t>
      </w:r>
      <w:r w:rsidR="008942E1">
        <w:t>mu</w:t>
      </w:r>
      <w:r w:rsidR="00460B8B">
        <w:t>nicipalities might</w:t>
      </w:r>
      <w:r w:rsidR="002C5A87" w:rsidRPr="009869B8">
        <w:t xml:space="preserve"> </w:t>
      </w:r>
      <w:r w:rsidR="002C5A87" w:rsidRPr="009869B8">
        <w:lastRenderedPageBreak/>
        <w:t>consider if they want to address this disproportionately negative impact of bylaws on its citizens</w:t>
      </w:r>
      <w:r w:rsidR="00460B8B">
        <w:t xml:space="preserve"> (and reduce their high administrative costs)</w:t>
      </w:r>
      <w:r w:rsidR="002C5A87" w:rsidRPr="009869B8">
        <w:t>.</w:t>
      </w:r>
      <w:r w:rsidR="00AA5B12">
        <w:t xml:space="preserve"> </w:t>
      </w:r>
      <w:r w:rsidR="002C5A87" w:rsidRPr="009869B8">
        <w:t>Below we highlight some</w:t>
      </w:r>
      <w:r w:rsidR="00460B8B">
        <w:t xml:space="preserve"> of the ways</w:t>
      </w:r>
      <w:r w:rsidR="00DC556F" w:rsidRPr="009869B8">
        <w:t xml:space="preserve"> these</w:t>
      </w:r>
      <w:r w:rsidR="002C5A87" w:rsidRPr="009869B8">
        <w:t xml:space="preserve"> problem</w:t>
      </w:r>
      <w:r w:rsidR="00DC556F" w:rsidRPr="009869B8">
        <w:t xml:space="preserve">s </w:t>
      </w:r>
      <w:r w:rsidR="00460B8B">
        <w:t xml:space="preserve">might be addressed </w:t>
      </w:r>
      <w:r w:rsidR="00DC556F" w:rsidRPr="009869B8">
        <w:t>in the City of Calgary</w:t>
      </w:r>
      <w:r w:rsidR="002C5A87" w:rsidRPr="009869B8">
        <w:t>:</w:t>
      </w:r>
    </w:p>
    <w:p w:rsidR="002C5A87" w:rsidRPr="009869B8" w:rsidRDefault="002C5A87" w:rsidP="009869B8">
      <w:pPr>
        <w:spacing w:line="360" w:lineRule="auto"/>
      </w:pPr>
    </w:p>
    <w:p w:rsidR="00FA4F46" w:rsidRPr="009869B8" w:rsidRDefault="002C5A87" w:rsidP="009869B8">
      <w:pPr>
        <w:pStyle w:val="ListParagraph"/>
        <w:numPr>
          <w:ilvl w:val="0"/>
          <w:numId w:val="8"/>
        </w:numPr>
        <w:spacing w:after="0" w:line="360" w:lineRule="auto"/>
        <w:rPr>
          <w:rFonts w:ascii="Times New Roman" w:hAnsi="Times New Roman" w:cs="Times New Roman"/>
          <w:sz w:val="24"/>
          <w:szCs w:val="24"/>
        </w:rPr>
      </w:pPr>
      <w:r w:rsidRPr="009869B8">
        <w:rPr>
          <w:rFonts w:ascii="Times New Roman" w:hAnsi="Times New Roman" w:cs="Times New Roman"/>
          <w:sz w:val="24"/>
          <w:szCs w:val="24"/>
          <w:u w:val="single"/>
        </w:rPr>
        <w:lastRenderedPageBreak/>
        <w:t xml:space="preserve">Accessible and </w:t>
      </w:r>
      <w:r w:rsidR="00696943">
        <w:rPr>
          <w:rFonts w:ascii="Times New Roman" w:hAnsi="Times New Roman" w:cs="Times New Roman"/>
          <w:sz w:val="24"/>
          <w:szCs w:val="24"/>
          <w:u w:val="single"/>
        </w:rPr>
        <w:t>A</w:t>
      </w:r>
      <w:r w:rsidRPr="009869B8">
        <w:rPr>
          <w:rFonts w:ascii="Times New Roman" w:hAnsi="Times New Roman" w:cs="Times New Roman"/>
          <w:sz w:val="24"/>
          <w:szCs w:val="24"/>
          <w:u w:val="single"/>
        </w:rPr>
        <w:t xml:space="preserve">ffordable </w:t>
      </w:r>
      <w:r w:rsidR="00696943">
        <w:rPr>
          <w:rFonts w:ascii="Times New Roman" w:hAnsi="Times New Roman" w:cs="Times New Roman"/>
          <w:sz w:val="24"/>
          <w:szCs w:val="24"/>
          <w:u w:val="single"/>
        </w:rPr>
        <w:t>P</w:t>
      </w:r>
      <w:r w:rsidRPr="009869B8">
        <w:rPr>
          <w:rFonts w:ascii="Times New Roman" w:hAnsi="Times New Roman" w:cs="Times New Roman"/>
          <w:sz w:val="24"/>
          <w:szCs w:val="24"/>
          <w:u w:val="single"/>
        </w:rPr>
        <w:t xml:space="preserve">ublic </w:t>
      </w:r>
      <w:r w:rsidR="00696943">
        <w:rPr>
          <w:rFonts w:ascii="Times New Roman" w:hAnsi="Times New Roman" w:cs="Times New Roman"/>
          <w:sz w:val="24"/>
          <w:szCs w:val="24"/>
          <w:u w:val="single"/>
        </w:rPr>
        <w:t>T</w:t>
      </w:r>
      <w:r w:rsidRPr="009869B8">
        <w:rPr>
          <w:rFonts w:ascii="Times New Roman" w:hAnsi="Times New Roman" w:cs="Times New Roman"/>
          <w:sz w:val="24"/>
          <w:szCs w:val="24"/>
          <w:u w:val="single"/>
        </w:rPr>
        <w:t>ransit</w:t>
      </w:r>
      <w:r w:rsidRPr="009869B8">
        <w:rPr>
          <w:rFonts w:ascii="Times New Roman" w:hAnsi="Times New Roman" w:cs="Times New Roman"/>
          <w:sz w:val="24"/>
          <w:szCs w:val="24"/>
        </w:rPr>
        <w:t>.</w:t>
      </w:r>
      <w:r w:rsidR="00AA5B12">
        <w:rPr>
          <w:rFonts w:ascii="Times New Roman" w:hAnsi="Times New Roman" w:cs="Times New Roman"/>
          <w:sz w:val="24"/>
          <w:szCs w:val="24"/>
        </w:rPr>
        <w:t xml:space="preserve"> </w:t>
      </w:r>
      <w:r w:rsidRPr="009869B8">
        <w:rPr>
          <w:rFonts w:ascii="Times New Roman" w:hAnsi="Times New Roman" w:cs="Times New Roman"/>
          <w:sz w:val="24"/>
          <w:szCs w:val="24"/>
        </w:rPr>
        <w:t>Our findings suggest that easy access to affordable transit will be an important step in reducing the negative impact of bylaw fines on low income Calgarians.</w:t>
      </w:r>
      <w:r w:rsidR="00AA5B12">
        <w:rPr>
          <w:rFonts w:ascii="Times New Roman" w:hAnsi="Times New Roman" w:cs="Times New Roman"/>
          <w:sz w:val="24"/>
          <w:szCs w:val="24"/>
        </w:rPr>
        <w:t xml:space="preserve"> </w:t>
      </w:r>
      <w:r w:rsidRPr="009869B8">
        <w:rPr>
          <w:rFonts w:ascii="Times New Roman" w:hAnsi="Times New Roman" w:cs="Times New Roman"/>
          <w:sz w:val="24"/>
          <w:szCs w:val="24"/>
        </w:rPr>
        <w:t>During this research, Cal</w:t>
      </w:r>
      <w:r w:rsidRPr="009869B8">
        <w:rPr>
          <w:rFonts w:ascii="Times New Roman" w:hAnsi="Times New Roman" w:cs="Times New Roman"/>
          <w:sz w:val="24"/>
          <w:szCs w:val="24"/>
        </w:rPr>
        <w:lastRenderedPageBreak/>
        <w:t>gary Transit took significant steps to address this problem and should be commended for this work.</w:t>
      </w:r>
      <w:r w:rsidR="00AA5B12">
        <w:rPr>
          <w:rFonts w:ascii="Times New Roman" w:hAnsi="Times New Roman" w:cs="Times New Roman"/>
          <w:sz w:val="24"/>
          <w:szCs w:val="24"/>
        </w:rPr>
        <w:t xml:space="preserve"> </w:t>
      </w:r>
      <w:r w:rsidRPr="009869B8">
        <w:rPr>
          <w:rFonts w:ascii="Times New Roman" w:hAnsi="Times New Roman" w:cs="Times New Roman"/>
          <w:sz w:val="24"/>
          <w:szCs w:val="24"/>
        </w:rPr>
        <w:t>We encourage future research to</w:t>
      </w:r>
      <w:r w:rsidR="00301218">
        <w:rPr>
          <w:rFonts w:ascii="Times New Roman" w:hAnsi="Times New Roman" w:cs="Times New Roman"/>
          <w:sz w:val="24"/>
          <w:szCs w:val="24"/>
        </w:rPr>
        <w:t xml:space="preserve"> evaluate the success of the</w:t>
      </w:r>
      <w:r w:rsidRPr="009869B8">
        <w:rPr>
          <w:rFonts w:ascii="Times New Roman" w:hAnsi="Times New Roman" w:cs="Times New Roman"/>
          <w:sz w:val="24"/>
          <w:szCs w:val="24"/>
        </w:rPr>
        <w:t xml:space="preserve"> </w:t>
      </w:r>
      <w:r w:rsidR="00301218">
        <w:rPr>
          <w:rFonts w:ascii="Times New Roman" w:hAnsi="Times New Roman" w:cs="Times New Roman"/>
          <w:sz w:val="24"/>
          <w:szCs w:val="24"/>
        </w:rPr>
        <w:t xml:space="preserve">low </w:t>
      </w:r>
      <w:r w:rsidRPr="009869B8">
        <w:rPr>
          <w:rFonts w:ascii="Times New Roman" w:hAnsi="Times New Roman" w:cs="Times New Roman"/>
          <w:sz w:val="24"/>
          <w:szCs w:val="24"/>
        </w:rPr>
        <w:t xml:space="preserve">income pass initiative in order to determine if the income categories are sufficient to </w:t>
      </w:r>
      <w:r w:rsidRPr="009869B8">
        <w:rPr>
          <w:rFonts w:ascii="Times New Roman" w:hAnsi="Times New Roman" w:cs="Times New Roman"/>
          <w:sz w:val="24"/>
          <w:szCs w:val="24"/>
        </w:rPr>
        <w:lastRenderedPageBreak/>
        <w:t xml:space="preserve">meet low income needs and most importantly, </w:t>
      </w:r>
      <w:r w:rsidR="00C14470" w:rsidRPr="009869B8">
        <w:rPr>
          <w:rFonts w:ascii="Times New Roman" w:hAnsi="Times New Roman" w:cs="Times New Roman"/>
          <w:sz w:val="24"/>
          <w:szCs w:val="24"/>
        </w:rPr>
        <w:t>to determine if the requirements for accessing the low income pass do not discourage it</w:t>
      </w:r>
      <w:r w:rsidR="007851C3">
        <w:rPr>
          <w:rFonts w:ascii="Times New Roman" w:hAnsi="Times New Roman" w:cs="Times New Roman"/>
          <w:sz w:val="24"/>
          <w:szCs w:val="24"/>
        </w:rPr>
        <w:t>s attainment.</w:t>
      </w:r>
    </w:p>
    <w:p w:rsidR="00F46432" w:rsidRPr="009869B8" w:rsidRDefault="00483204" w:rsidP="009869B8">
      <w:pPr>
        <w:pStyle w:val="ListParagraph"/>
        <w:numPr>
          <w:ilvl w:val="0"/>
          <w:numId w:val="8"/>
        </w:numPr>
        <w:spacing w:after="0" w:line="360" w:lineRule="auto"/>
        <w:rPr>
          <w:rFonts w:ascii="Times New Roman" w:hAnsi="Times New Roman" w:cs="Times New Roman"/>
          <w:sz w:val="24"/>
          <w:szCs w:val="24"/>
        </w:rPr>
      </w:pPr>
      <w:r w:rsidRPr="009869B8">
        <w:rPr>
          <w:rFonts w:ascii="Times New Roman" w:hAnsi="Times New Roman" w:cs="Times New Roman"/>
          <w:sz w:val="24"/>
          <w:szCs w:val="24"/>
          <w:u w:val="single"/>
        </w:rPr>
        <w:t xml:space="preserve">Modify (or repeal) Bylaws that </w:t>
      </w:r>
      <w:r w:rsidR="00696943">
        <w:rPr>
          <w:rFonts w:ascii="Times New Roman" w:hAnsi="Times New Roman" w:cs="Times New Roman"/>
          <w:sz w:val="24"/>
          <w:szCs w:val="24"/>
          <w:u w:val="single"/>
        </w:rPr>
        <w:t>D</w:t>
      </w:r>
      <w:r w:rsidRPr="009869B8">
        <w:rPr>
          <w:rFonts w:ascii="Times New Roman" w:hAnsi="Times New Roman" w:cs="Times New Roman"/>
          <w:sz w:val="24"/>
          <w:szCs w:val="24"/>
          <w:u w:val="single"/>
        </w:rPr>
        <w:t>iscriminate</w:t>
      </w:r>
      <w:r w:rsidRPr="009869B8">
        <w:rPr>
          <w:rFonts w:ascii="Times New Roman" w:hAnsi="Times New Roman" w:cs="Times New Roman"/>
          <w:sz w:val="24"/>
          <w:szCs w:val="24"/>
        </w:rPr>
        <w:t>.</w:t>
      </w:r>
      <w:r w:rsidR="00AA5B12">
        <w:rPr>
          <w:rFonts w:ascii="Times New Roman" w:hAnsi="Times New Roman" w:cs="Times New Roman"/>
          <w:sz w:val="24"/>
          <w:szCs w:val="24"/>
        </w:rPr>
        <w:t xml:space="preserve"> </w:t>
      </w:r>
      <w:r w:rsidR="00EB6A0A" w:rsidRPr="009869B8">
        <w:rPr>
          <w:rFonts w:ascii="Times New Roman" w:hAnsi="Times New Roman" w:cs="Times New Roman"/>
          <w:sz w:val="24"/>
          <w:szCs w:val="24"/>
        </w:rPr>
        <w:t xml:space="preserve">Social disorder bylaws result in </w:t>
      </w:r>
      <w:r w:rsidR="00EB6A0A" w:rsidRPr="009869B8">
        <w:rPr>
          <w:rFonts w:ascii="Times New Roman" w:hAnsi="Times New Roman" w:cs="Times New Roman"/>
          <w:sz w:val="24"/>
          <w:szCs w:val="24"/>
        </w:rPr>
        <w:lastRenderedPageBreak/>
        <w:t xml:space="preserve">disproportionately negative impacts on </w:t>
      </w:r>
      <w:r w:rsidR="007851C3">
        <w:rPr>
          <w:rFonts w:ascii="Times New Roman" w:hAnsi="Times New Roman" w:cs="Times New Roman"/>
          <w:sz w:val="24"/>
          <w:szCs w:val="24"/>
        </w:rPr>
        <w:t>vulnerable citizens</w:t>
      </w:r>
      <w:r w:rsidR="00EB6A0A" w:rsidRPr="009869B8">
        <w:rPr>
          <w:rFonts w:ascii="Times New Roman" w:hAnsi="Times New Roman" w:cs="Times New Roman"/>
          <w:sz w:val="24"/>
          <w:szCs w:val="24"/>
        </w:rPr>
        <w:t xml:space="preserve">. A progressive municipality might consider tackling the root causes of the behaviours requiring </w:t>
      </w:r>
      <w:r w:rsidR="007851C3">
        <w:rPr>
          <w:rFonts w:ascii="Times New Roman" w:hAnsi="Times New Roman" w:cs="Times New Roman"/>
          <w:sz w:val="24"/>
          <w:szCs w:val="24"/>
        </w:rPr>
        <w:t xml:space="preserve">regulation </w:t>
      </w:r>
      <w:r w:rsidR="00EB6A0A" w:rsidRPr="009869B8">
        <w:rPr>
          <w:rFonts w:ascii="Times New Roman" w:hAnsi="Times New Roman" w:cs="Times New Roman"/>
          <w:sz w:val="24"/>
          <w:szCs w:val="24"/>
        </w:rPr>
        <w:t>rather than f</w:t>
      </w:r>
      <w:r w:rsidR="00AA3120">
        <w:rPr>
          <w:rFonts w:ascii="Times New Roman" w:hAnsi="Times New Roman" w:cs="Times New Roman"/>
          <w:sz w:val="24"/>
          <w:szCs w:val="24"/>
        </w:rPr>
        <w:t>ocu</w:t>
      </w:r>
      <w:r w:rsidR="00EB6A0A" w:rsidRPr="009869B8">
        <w:rPr>
          <w:rFonts w:ascii="Times New Roman" w:hAnsi="Times New Roman" w:cs="Times New Roman"/>
          <w:sz w:val="24"/>
          <w:szCs w:val="24"/>
        </w:rPr>
        <w:t>sing on the behaviours after</w:t>
      </w:r>
      <w:r w:rsidR="00321336">
        <w:rPr>
          <w:rFonts w:ascii="Times New Roman" w:hAnsi="Times New Roman" w:cs="Times New Roman"/>
          <w:sz w:val="24"/>
          <w:szCs w:val="24"/>
        </w:rPr>
        <w:t xml:space="preserve"> the</w:t>
      </w:r>
      <w:r w:rsidR="00EB6A0A" w:rsidRPr="009869B8">
        <w:rPr>
          <w:rFonts w:ascii="Times New Roman" w:hAnsi="Times New Roman" w:cs="Times New Roman"/>
          <w:sz w:val="24"/>
          <w:szCs w:val="24"/>
        </w:rPr>
        <w:t xml:space="preserve"> fact.</w:t>
      </w:r>
      <w:r w:rsidR="00AA5B12">
        <w:rPr>
          <w:rFonts w:ascii="Times New Roman" w:hAnsi="Times New Roman" w:cs="Times New Roman"/>
          <w:sz w:val="24"/>
          <w:szCs w:val="24"/>
        </w:rPr>
        <w:t xml:space="preserve"> </w:t>
      </w:r>
      <w:r w:rsidR="007851C3">
        <w:rPr>
          <w:rFonts w:ascii="Times New Roman" w:hAnsi="Times New Roman" w:cs="Times New Roman"/>
          <w:sz w:val="24"/>
          <w:szCs w:val="24"/>
        </w:rPr>
        <w:t xml:space="preserve">It is </w:t>
      </w:r>
      <w:r w:rsidR="00321336">
        <w:rPr>
          <w:rFonts w:ascii="Times New Roman" w:hAnsi="Times New Roman" w:cs="Times New Roman"/>
          <w:sz w:val="24"/>
          <w:szCs w:val="24"/>
        </w:rPr>
        <w:t xml:space="preserve">also </w:t>
      </w:r>
      <w:r w:rsidR="007851C3">
        <w:rPr>
          <w:rFonts w:ascii="Times New Roman" w:hAnsi="Times New Roman" w:cs="Times New Roman"/>
          <w:sz w:val="24"/>
          <w:szCs w:val="24"/>
        </w:rPr>
        <w:t>worth noting that</w:t>
      </w:r>
      <w:r w:rsidR="00F46432" w:rsidRPr="009869B8">
        <w:rPr>
          <w:rFonts w:ascii="Times New Roman" w:hAnsi="Times New Roman" w:cs="Times New Roman"/>
          <w:sz w:val="24"/>
          <w:szCs w:val="24"/>
        </w:rPr>
        <w:t xml:space="preserve"> full </w:t>
      </w:r>
      <w:r w:rsidR="00F46432" w:rsidRPr="009869B8">
        <w:rPr>
          <w:rFonts w:ascii="Times New Roman" w:hAnsi="Times New Roman" w:cs="Times New Roman"/>
          <w:sz w:val="24"/>
          <w:szCs w:val="24"/>
        </w:rPr>
        <w:lastRenderedPageBreak/>
        <w:t>repeal may not be necessary to address these problems.</w:t>
      </w:r>
      <w:r w:rsidR="00AA5B12">
        <w:rPr>
          <w:rFonts w:ascii="Times New Roman" w:hAnsi="Times New Roman" w:cs="Times New Roman"/>
          <w:sz w:val="24"/>
          <w:szCs w:val="24"/>
        </w:rPr>
        <w:t xml:space="preserve"> </w:t>
      </w:r>
      <w:r w:rsidR="00F46432" w:rsidRPr="009869B8">
        <w:rPr>
          <w:rFonts w:ascii="Times New Roman" w:hAnsi="Times New Roman" w:cs="Times New Roman"/>
          <w:sz w:val="24"/>
          <w:szCs w:val="24"/>
        </w:rPr>
        <w:t>M</w:t>
      </w:r>
      <w:r w:rsidR="00EB6A0A" w:rsidRPr="009869B8">
        <w:rPr>
          <w:rFonts w:ascii="Times New Roman" w:hAnsi="Times New Roman" w:cs="Times New Roman"/>
          <w:sz w:val="24"/>
          <w:szCs w:val="24"/>
        </w:rPr>
        <w:t xml:space="preserve">unicipalities might also consider </w:t>
      </w:r>
      <w:r w:rsidR="00F46432" w:rsidRPr="009869B8">
        <w:rPr>
          <w:rFonts w:ascii="Times New Roman" w:hAnsi="Times New Roman" w:cs="Times New Roman"/>
          <w:sz w:val="24"/>
          <w:szCs w:val="24"/>
        </w:rPr>
        <w:t>the adoption of</w:t>
      </w:r>
      <w:r w:rsidR="00EB6A0A" w:rsidRPr="009869B8">
        <w:rPr>
          <w:rFonts w:ascii="Times New Roman" w:hAnsi="Times New Roman" w:cs="Times New Roman"/>
          <w:sz w:val="24"/>
          <w:szCs w:val="24"/>
        </w:rPr>
        <w:t xml:space="preserve"> guiding principles </w:t>
      </w:r>
      <w:r w:rsidR="001978C2">
        <w:rPr>
          <w:rFonts w:ascii="Times New Roman" w:hAnsi="Times New Roman" w:cs="Times New Roman"/>
          <w:sz w:val="24"/>
          <w:szCs w:val="24"/>
        </w:rPr>
        <w:t xml:space="preserve">in the law itself </w:t>
      </w:r>
      <w:r w:rsidR="00EB6A0A" w:rsidRPr="009869B8">
        <w:rPr>
          <w:rFonts w:ascii="Times New Roman" w:hAnsi="Times New Roman" w:cs="Times New Roman"/>
          <w:sz w:val="24"/>
          <w:szCs w:val="24"/>
        </w:rPr>
        <w:t>that discourage the over reliance of ticketing</w:t>
      </w:r>
      <w:r w:rsidR="00F46432" w:rsidRPr="009869B8">
        <w:rPr>
          <w:rFonts w:ascii="Times New Roman" w:hAnsi="Times New Roman" w:cs="Times New Roman"/>
          <w:sz w:val="24"/>
          <w:szCs w:val="24"/>
        </w:rPr>
        <w:t xml:space="preserve"> as a tool of enforcement.</w:t>
      </w:r>
      <w:r w:rsidR="00AA5B12">
        <w:rPr>
          <w:rFonts w:ascii="Times New Roman" w:hAnsi="Times New Roman" w:cs="Times New Roman"/>
          <w:sz w:val="24"/>
          <w:szCs w:val="24"/>
        </w:rPr>
        <w:t xml:space="preserve"> </w:t>
      </w:r>
      <w:r w:rsidR="00EB6A0A" w:rsidRPr="009869B8">
        <w:rPr>
          <w:rFonts w:ascii="Times New Roman" w:hAnsi="Times New Roman" w:cs="Times New Roman"/>
          <w:sz w:val="24"/>
          <w:szCs w:val="24"/>
        </w:rPr>
        <w:t>One of the most e</w:t>
      </w:r>
      <w:r w:rsidR="0009252E" w:rsidRPr="009869B8">
        <w:rPr>
          <w:rFonts w:ascii="Times New Roman" w:hAnsi="Times New Roman" w:cs="Times New Roman"/>
          <w:sz w:val="24"/>
          <w:szCs w:val="24"/>
        </w:rPr>
        <w:t xml:space="preserve">ffective ways of creating </w:t>
      </w:r>
      <w:r w:rsidR="00F46432" w:rsidRPr="009869B8">
        <w:rPr>
          <w:rFonts w:ascii="Times New Roman" w:hAnsi="Times New Roman" w:cs="Times New Roman"/>
          <w:sz w:val="24"/>
          <w:szCs w:val="24"/>
        </w:rPr>
        <w:lastRenderedPageBreak/>
        <w:t>change</w:t>
      </w:r>
      <w:r w:rsidR="0009252E" w:rsidRPr="009869B8">
        <w:rPr>
          <w:rFonts w:ascii="Times New Roman" w:hAnsi="Times New Roman" w:cs="Times New Roman"/>
          <w:sz w:val="24"/>
          <w:szCs w:val="24"/>
        </w:rPr>
        <w:t xml:space="preserve"> </w:t>
      </w:r>
      <w:r w:rsidR="004E6539">
        <w:rPr>
          <w:rFonts w:ascii="Times New Roman" w:hAnsi="Times New Roman" w:cs="Times New Roman"/>
          <w:sz w:val="24"/>
          <w:szCs w:val="24"/>
        </w:rPr>
        <w:t xml:space="preserve">in </w:t>
      </w:r>
      <w:r w:rsidR="001978C2">
        <w:rPr>
          <w:rFonts w:ascii="Times New Roman" w:hAnsi="Times New Roman" w:cs="Times New Roman"/>
          <w:sz w:val="24"/>
          <w:szCs w:val="24"/>
        </w:rPr>
        <w:t xml:space="preserve">practice </w:t>
      </w:r>
      <w:r w:rsidR="00F46432" w:rsidRPr="009869B8">
        <w:rPr>
          <w:rFonts w:ascii="Times New Roman" w:hAnsi="Times New Roman" w:cs="Times New Roman"/>
          <w:sz w:val="24"/>
          <w:szCs w:val="24"/>
        </w:rPr>
        <w:t>can be to</w:t>
      </w:r>
      <w:r w:rsidR="004E6539">
        <w:rPr>
          <w:rFonts w:ascii="Times New Roman" w:hAnsi="Times New Roman" w:cs="Times New Roman"/>
          <w:sz w:val="24"/>
          <w:szCs w:val="24"/>
        </w:rPr>
        <w:t xml:space="preserve"> prescribe how laws are to be enforced</w:t>
      </w:r>
      <w:r w:rsidR="0009252E" w:rsidRPr="009869B8">
        <w:rPr>
          <w:rFonts w:ascii="Times New Roman" w:hAnsi="Times New Roman" w:cs="Times New Roman"/>
          <w:sz w:val="24"/>
          <w:szCs w:val="24"/>
        </w:rPr>
        <w:t xml:space="preserve"> in</w:t>
      </w:r>
      <w:r w:rsidR="004E6539">
        <w:rPr>
          <w:rFonts w:ascii="Times New Roman" w:hAnsi="Times New Roman" w:cs="Times New Roman"/>
          <w:sz w:val="24"/>
          <w:szCs w:val="24"/>
        </w:rPr>
        <w:t xml:space="preserve"> the</w:t>
      </w:r>
      <w:r w:rsidR="0009252E" w:rsidRPr="009869B8">
        <w:rPr>
          <w:rFonts w:ascii="Times New Roman" w:hAnsi="Times New Roman" w:cs="Times New Roman"/>
          <w:sz w:val="24"/>
          <w:szCs w:val="24"/>
        </w:rPr>
        <w:t xml:space="preserve"> </w:t>
      </w:r>
      <w:r w:rsidR="008942E1">
        <w:rPr>
          <w:rFonts w:ascii="Times New Roman" w:hAnsi="Times New Roman" w:cs="Times New Roman"/>
          <w:sz w:val="24"/>
          <w:szCs w:val="24"/>
        </w:rPr>
        <w:t>legislation</w:t>
      </w:r>
      <w:r w:rsidR="004E6539">
        <w:rPr>
          <w:rFonts w:ascii="Times New Roman" w:hAnsi="Times New Roman" w:cs="Times New Roman"/>
          <w:sz w:val="24"/>
          <w:szCs w:val="24"/>
        </w:rPr>
        <w:t xml:space="preserve"> itself</w:t>
      </w:r>
      <w:r w:rsidR="008942E1">
        <w:rPr>
          <w:rFonts w:ascii="Times New Roman" w:hAnsi="Times New Roman" w:cs="Times New Roman"/>
          <w:sz w:val="24"/>
          <w:szCs w:val="24"/>
        </w:rPr>
        <w:t xml:space="preserve">. </w:t>
      </w:r>
      <w:r w:rsidR="00AA3120">
        <w:rPr>
          <w:rFonts w:ascii="Times New Roman" w:hAnsi="Times New Roman" w:cs="Times New Roman"/>
          <w:sz w:val="24"/>
          <w:szCs w:val="24"/>
        </w:rPr>
        <w:t>That is,</w:t>
      </w:r>
      <w:r w:rsidR="00F46432" w:rsidRPr="009869B8">
        <w:rPr>
          <w:rFonts w:ascii="Times New Roman" w:hAnsi="Times New Roman" w:cs="Times New Roman"/>
          <w:sz w:val="24"/>
          <w:szCs w:val="24"/>
        </w:rPr>
        <w:t xml:space="preserve"> we can provide </w:t>
      </w:r>
      <w:r w:rsidR="00AA3120">
        <w:rPr>
          <w:rFonts w:ascii="Times New Roman" w:hAnsi="Times New Roman" w:cs="Times New Roman"/>
          <w:sz w:val="24"/>
          <w:szCs w:val="24"/>
        </w:rPr>
        <w:t xml:space="preserve">formal </w:t>
      </w:r>
      <w:r w:rsidR="00F46432" w:rsidRPr="009869B8">
        <w:rPr>
          <w:rFonts w:ascii="Times New Roman" w:hAnsi="Times New Roman" w:cs="Times New Roman"/>
          <w:sz w:val="24"/>
          <w:szCs w:val="24"/>
        </w:rPr>
        <w:t xml:space="preserve">legal guidance on how </w:t>
      </w:r>
      <w:r w:rsidR="001978C2">
        <w:rPr>
          <w:rFonts w:ascii="Times New Roman" w:hAnsi="Times New Roman" w:cs="Times New Roman"/>
          <w:sz w:val="24"/>
          <w:szCs w:val="24"/>
        </w:rPr>
        <w:t xml:space="preserve">bylaw </w:t>
      </w:r>
      <w:r w:rsidR="00F46432" w:rsidRPr="009869B8">
        <w:rPr>
          <w:rFonts w:ascii="Times New Roman" w:hAnsi="Times New Roman" w:cs="Times New Roman"/>
          <w:sz w:val="24"/>
          <w:szCs w:val="24"/>
        </w:rPr>
        <w:t>enforcement should be used</w:t>
      </w:r>
      <w:r w:rsidR="008942E1">
        <w:rPr>
          <w:rFonts w:ascii="Times New Roman" w:hAnsi="Times New Roman" w:cs="Times New Roman"/>
          <w:sz w:val="24"/>
          <w:szCs w:val="24"/>
        </w:rPr>
        <w:t xml:space="preserve"> within the law itself</w:t>
      </w:r>
      <w:r w:rsidR="00F46432" w:rsidRPr="009869B8">
        <w:rPr>
          <w:rFonts w:ascii="Times New Roman" w:hAnsi="Times New Roman" w:cs="Times New Roman"/>
          <w:sz w:val="24"/>
          <w:szCs w:val="24"/>
        </w:rPr>
        <w:t xml:space="preserve"> </w:t>
      </w:r>
      <w:r w:rsidR="004E6539">
        <w:rPr>
          <w:rFonts w:ascii="Times New Roman" w:hAnsi="Times New Roman" w:cs="Times New Roman"/>
          <w:sz w:val="24"/>
          <w:szCs w:val="24"/>
        </w:rPr>
        <w:t>and this may</w:t>
      </w:r>
      <w:r w:rsidR="001978C2">
        <w:rPr>
          <w:rFonts w:ascii="Times New Roman" w:hAnsi="Times New Roman" w:cs="Times New Roman"/>
          <w:sz w:val="24"/>
          <w:szCs w:val="24"/>
        </w:rPr>
        <w:t xml:space="preserve"> be done </w:t>
      </w:r>
      <w:r w:rsidR="00F46432" w:rsidRPr="009869B8">
        <w:rPr>
          <w:rFonts w:ascii="Times New Roman" w:hAnsi="Times New Roman" w:cs="Times New Roman"/>
          <w:sz w:val="24"/>
          <w:szCs w:val="24"/>
        </w:rPr>
        <w:t>with</w:t>
      </w:r>
      <w:r w:rsidR="00F46432" w:rsidRPr="009869B8">
        <w:rPr>
          <w:rFonts w:ascii="Times New Roman" w:hAnsi="Times New Roman" w:cs="Times New Roman"/>
          <w:sz w:val="24"/>
          <w:szCs w:val="24"/>
        </w:rPr>
        <w:lastRenderedPageBreak/>
        <w:t>out adding additional</w:t>
      </w:r>
      <w:r w:rsidR="001978C2">
        <w:rPr>
          <w:rFonts w:ascii="Times New Roman" w:hAnsi="Times New Roman" w:cs="Times New Roman"/>
          <w:sz w:val="24"/>
          <w:szCs w:val="24"/>
        </w:rPr>
        <w:t>, often costly,</w:t>
      </w:r>
      <w:r w:rsidR="00F46432" w:rsidRPr="009869B8">
        <w:rPr>
          <w:rFonts w:ascii="Times New Roman" w:hAnsi="Times New Roman" w:cs="Times New Roman"/>
          <w:sz w:val="24"/>
          <w:szCs w:val="24"/>
        </w:rPr>
        <w:t xml:space="preserve"> administrative layers, such as formal diversion.</w:t>
      </w:r>
      <w:r w:rsidR="00AA3120">
        <w:rPr>
          <w:rFonts w:ascii="Times New Roman" w:hAnsi="Times New Roman" w:cs="Times New Roman"/>
          <w:sz w:val="24"/>
          <w:szCs w:val="24"/>
        </w:rPr>
        <w:t xml:space="preserve">  Research has shown that when we pr</w:t>
      </w:r>
      <w:r w:rsidR="009467AE">
        <w:rPr>
          <w:rFonts w:ascii="Times New Roman" w:hAnsi="Times New Roman" w:cs="Times New Roman"/>
          <w:sz w:val="24"/>
          <w:szCs w:val="24"/>
        </w:rPr>
        <w:t>ovide sufficient guidance within legislation</w:t>
      </w:r>
      <w:r w:rsidR="00AA3120">
        <w:rPr>
          <w:rFonts w:ascii="Times New Roman" w:hAnsi="Times New Roman" w:cs="Times New Roman"/>
          <w:sz w:val="24"/>
          <w:szCs w:val="24"/>
        </w:rPr>
        <w:t xml:space="preserve">, practices will change and this can have positive impacts </w:t>
      </w:r>
      <w:r w:rsidR="00385D02">
        <w:rPr>
          <w:rFonts w:ascii="Times New Roman" w:hAnsi="Times New Roman" w:cs="Times New Roman"/>
          <w:sz w:val="24"/>
          <w:szCs w:val="24"/>
        </w:rPr>
        <w:t xml:space="preserve">downstream within the </w:t>
      </w:r>
      <w:r w:rsidR="00385D02">
        <w:rPr>
          <w:rFonts w:ascii="Times New Roman" w:hAnsi="Times New Roman" w:cs="Times New Roman"/>
          <w:sz w:val="24"/>
          <w:szCs w:val="24"/>
        </w:rPr>
        <w:lastRenderedPageBreak/>
        <w:t xml:space="preserve">criminal justice </w:t>
      </w:r>
      <w:r w:rsidR="009467AE">
        <w:rPr>
          <w:rFonts w:ascii="Times New Roman" w:hAnsi="Times New Roman" w:cs="Times New Roman"/>
          <w:sz w:val="24"/>
          <w:szCs w:val="24"/>
        </w:rPr>
        <w:t>system</w:t>
      </w:r>
      <w:r w:rsidR="004E6539">
        <w:rPr>
          <w:rFonts w:ascii="Times New Roman" w:hAnsi="Times New Roman" w:cs="Times New Roman"/>
          <w:sz w:val="24"/>
          <w:szCs w:val="24"/>
        </w:rPr>
        <w:t>.  An excellent example of this is the implementation of the Youth Criminal Justice Act and the significant impact it had on reducing the use of court and custody for youth in Canada (</w:t>
      </w:r>
      <w:r w:rsidR="009467AE">
        <w:rPr>
          <w:rFonts w:ascii="Times New Roman" w:hAnsi="Times New Roman" w:cs="Times New Roman"/>
          <w:sz w:val="24"/>
          <w:szCs w:val="24"/>
        </w:rPr>
        <w:t>see Bala et al., 2009; Doob and Sprott, 2009).</w:t>
      </w:r>
      <w:r w:rsidR="001D438C">
        <w:rPr>
          <w:rFonts w:ascii="Times New Roman" w:hAnsi="Times New Roman" w:cs="Times New Roman"/>
          <w:sz w:val="24"/>
          <w:szCs w:val="24"/>
        </w:rPr>
        <w:t xml:space="preserve">  </w:t>
      </w:r>
      <w:r w:rsidR="001D438C">
        <w:rPr>
          <w:rFonts w:ascii="Times New Roman" w:hAnsi="Times New Roman" w:cs="Times New Roman"/>
          <w:sz w:val="24"/>
          <w:szCs w:val="24"/>
        </w:rPr>
        <w:lastRenderedPageBreak/>
        <w:t>As mentioned earlier, the Province of Alberta has taken steps to reduce the negative impact of bylaw enforcement through</w:t>
      </w:r>
      <w:r w:rsidR="00B15ECB">
        <w:rPr>
          <w:rFonts w:ascii="Times New Roman" w:hAnsi="Times New Roman" w:cs="Times New Roman"/>
          <w:sz w:val="24"/>
          <w:szCs w:val="24"/>
        </w:rPr>
        <w:t xml:space="preserve"> the</w:t>
      </w:r>
      <w:r w:rsidR="001D438C">
        <w:rPr>
          <w:rFonts w:ascii="Times New Roman" w:hAnsi="Times New Roman" w:cs="Times New Roman"/>
          <w:sz w:val="24"/>
          <w:szCs w:val="24"/>
        </w:rPr>
        <w:t xml:space="preserve"> </w:t>
      </w:r>
      <w:r w:rsidR="00B15ECB">
        <w:rPr>
          <w:rFonts w:ascii="Times New Roman" w:hAnsi="Times New Roman" w:cs="Times New Roman"/>
          <w:sz w:val="24"/>
          <w:szCs w:val="24"/>
        </w:rPr>
        <w:t>implemen</w:t>
      </w:r>
      <w:r w:rsidR="001D438C">
        <w:rPr>
          <w:rFonts w:ascii="Times New Roman" w:hAnsi="Times New Roman" w:cs="Times New Roman"/>
          <w:sz w:val="24"/>
          <w:szCs w:val="24"/>
        </w:rPr>
        <w:t>tation of Bill 9</w:t>
      </w:r>
      <w:r w:rsidR="00B15ECB">
        <w:rPr>
          <w:rFonts w:ascii="Times New Roman" w:hAnsi="Times New Roman" w:cs="Times New Roman"/>
          <w:sz w:val="24"/>
          <w:szCs w:val="24"/>
        </w:rPr>
        <w:t xml:space="preserve"> in 2016</w:t>
      </w:r>
      <w:r w:rsidR="001D438C">
        <w:rPr>
          <w:rFonts w:ascii="Times New Roman" w:hAnsi="Times New Roman" w:cs="Times New Roman"/>
          <w:sz w:val="24"/>
          <w:szCs w:val="24"/>
        </w:rPr>
        <w:t xml:space="preserve">, </w:t>
      </w:r>
      <w:r w:rsidR="00B15ECB">
        <w:rPr>
          <w:rFonts w:ascii="Times New Roman" w:hAnsi="Times New Roman" w:cs="Times New Roman"/>
          <w:sz w:val="24"/>
          <w:szCs w:val="24"/>
        </w:rPr>
        <w:t>we encourage future research that evaluates the impact of this legislation.</w:t>
      </w:r>
    </w:p>
    <w:p w:rsidR="005E0D5D" w:rsidRPr="00D56634" w:rsidRDefault="006606E5" w:rsidP="001978C2">
      <w:pPr>
        <w:pStyle w:val="ListParagraph"/>
        <w:numPr>
          <w:ilvl w:val="0"/>
          <w:numId w:val="8"/>
        </w:numPr>
        <w:spacing w:after="0" w:line="360" w:lineRule="auto"/>
        <w:rPr>
          <w:b/>
          <w:szCs w:val="28"/>
          <w:u w:val="single"/>
        </w:rPr>
      </w:pPr>
      <w:r w:rsidRPr="00D56634">
        <w:rPr>
          <w:rFonts w:ascii="Times New Roman" w:hAnsi="Times New Roman" w:cs="Times New Roman"/>
          <w:sz w:val="24"/>
          <w:szCs w:val="24"/>
          <w:u w:val="single"/>
        </w:rPr>
        <w:lastRenderedPageBreak/>
        <w:t>Community Partnerships</w:t>
      </w:r>
      <w:r w:rsidR="00144C6C" w:rsidRPr="00D56634">
        <w:rPr>
          <w:rFonts w:ascii="Times New Roman" w:hAnsi="Times New Roman" w:cs="Times New Roman"/>
          <w:sz w:val="24"/>
          <w:szCs w:val="24"/>
          <w:u w:val="single"/>
        </w:rPr>
        <w:t xml:space="preserve"> and </w:t>
      </w:r>
      <w:r w:rsidR="00696943">
        <w:rPr>
          <w:rFonts w:ascii="Times New Roman" w:hAnsi="Times New Roman" w:cs="Times New Roman"/>
          <w:sz w:val="24"/>
          <w:szCs w:val="24"/>
          <w:u w:val="single"/>
        </w:rPr>
        <w:t>T</w:t>
      </w:r>
      <w:r w:rsidR="00144C6C" w:rsidRPr="00D56634">
        <w:rPr>
          <w:rFonts w:ascii="Times New Roman" w:hAnsi="Times New Roman" w:cs="Times New Roman"/>
          <w:sz w:val="24"/>
          <w:szCs w:val="24"/>
          <w:u w:val="single"/>
        </w:rPr>
        <w:t>raining</w:t>
      </w:r>
      <w:r w:rsidRPr="00D56634">
        <w:rPr>
          <w:rFonts w:ascii="Times New Roman" w:hAnsi="Times New Roman" w:cs="Times New Roman"/>
          <w:sz w:val="24"/>
          <w:szCs w:val="24"/>
        </w:rPr>
        <w:t>.</w:t>
      </w:r>
      <w:r w:rsidR="00AA5B12" w:rsidRPr="00D56634">
        <w:rPr>
          <w:rFonts w:ascii="Times New Roman" w:hAnsi="Times New Roman" w:cs="Times New Roman"/>
          <w:sz w:val="24"/>
          <w:szCs w:val="24"/>
        </w:rPr>
        <w:t xml:space="preserve"> </w:t>
      </w:r>
      <w:r w:rsidRPr="00D56634">
        <w:rPr>
          <w:rFonts w:ascii="Times New Roman" w:hAnsi="Times New Roman" w:cs="Times New Roman"/>
          <w:sz w:val="24"/>
          <w:szCs w:val="24"/>
        </w:rPr>
        <w:t>Encoura</w:t>
      </w:r>
      <w:r w:rsidR="00144C6C" w:rsidRPr="00D56634">
        <w:rPr>
          <w:rFonts w:ascii="Times New Roman" w:hAnsi="Times New Roman" w:cs="Times New Roman"/>
          <w:sz w:val="24"/>
          <w:szCs w:val="24"/>
        </w:rPr>
        <w:t>ging collaborative partnerships</w:t>
      </w:r>
      <w:r w:rsidRPr="00D56634">
        <w:rPr>
          <w:rFonts w:ascii="Times New Roman" w:hAnsi="Times New Roman" w:cs="Times New Roman"/>
          <w:sz w:val="24"/>
          <w:szCs w:val="24"/>
        </w:rPr>
        <w:t xml:space="preserve"> </w:t>
      </w:r>
      <w:r w:rsidR="00144C6C" w:rsidRPr="00D56634">
        <w:rPr>
          <w:rFonts w:ascii="Times New Roman" w:hAnsi="Times New Roman" w:cs="Times New Roman"/>
          <w:sz w:val="24"/>
          <w:szCs w:val="24"/>
        </w:rPr>
        <w:t xml:space="preserve">between stakeholders </w:t>
      </w:r>
      <w:r w:rsidRPr="00D56634">
        <w:rPr>
          <w:rFonts w:ascii="Times New Roman" w:hAnsi="Times New Roman" w:cs="Times New Roman"/>
          <w:sz w:val="24"/>
          <w:szCs w:val="24"/>
        </w:rPr>
        <w:t>will be important to address the complex issues bylaw enforcement offic</w:t>
      </w:r>
      <w:r w:rsidR="002C5F8F" w:rsidRPr="00D56634">
        <w:rPr>
          <w:rFonts w:ascii="Times New Roman" w:hAnsi="Times New Roman" w:cs="Times New Roman"/>
          <w:sz w:val="24"/>
          <w:szCs w:val="24"/>
        </w:rPr>
        <w:t>i</w:t>
      </w:r>
      <w:r w:rsidRPr="00D56634">
        <w:rPr>
          <w:rFonts w:ascii="Times New Roman" w:hAnsi="Times New Roman" w:cs="Times New Roman"/>
          <w:sz w:val="24"/>
          <w:szCs w:val="24"/>
        </w:rPr>
        <w:t>als are faced with</w:t>
      </w:r>
      <w:r w:rsidR="00D3196A" w:rsidRPr="00D56634">
        <w:rPr>
          <w:rFonts w:ascii="Times New Roman" w:hAnsi="Times New Roman" w:cs="Times New Roman"/>
          <w:sz w:val="24"/>
          <w:szCs w:val="24"/>
        </w:rPr>
        <w:t xml:space="preserve"> when dealing with </w:t>
      </w:r>
      <w:r w:rsidR="002C5F8F" w:rsidRPr="00D56634">
        <w:rPr>
          <w:rFonts w:ascii="Times New Roman" w:hAnsi="Times New Roman" w:cs="Times New Roman"/>
          <w:sz w:val="24"/>
          <w:szCs w:val="24"/>
        </w:rPr>
        <w:t xml:space="preserve">the diverse needs of </w:t>
      </w:r>
      <w:r w:rsidR="002C5F8F" w:rsidRPr="00D56634">
        <w:rPr>
          <w:rFonts w:ascii="Times New Roman" w:hAnsi="Times New Roman" w:cs="Times New Roman"/>
          <w:sz w:val="24"/>
          <w:szCs w:val="24"/>
        </w:rPr>
        <w:lastRenderedPageBreak/>
        <w:t>Calgary’s vulnerable citizens.</w:t>
      </w:r>
      <w:r w:rsidR="00AA5B12" w:rsidRPr="00D56634">
        <w:rPr>
          <w:rFonts w:ascii="Times New Roman" w:hAnsi="Times New Roman" w:cs="Times New Roman"/>
          <w:sz w:val="24"/>
          <w:szCs w:val="24"/>
        </w:rPr>
        <w:t xml:space="preserve"> </w:t>
      </w:r>
      <w:r w:rsidR="001978C2" w:rsidRPr="00D56634">
        <w:rPr>
          <w:rFonts w:ascii="Times New Roman" w:hAnsi="Times New Roman" w:cs="Times New Roman"/>
          <w:sz w:val="24"/>
          <w:szCs w:val="24"/>
        </w:rPr>
        <w:t>We would encourage t</w:t>
      </w:r>
      <w:r w:rsidR="00144C6C" w:rsidRPr="00D56634">
        <w:rPr>
          <w:rFonts w:ascii="Times New Roman" w:hAnsi="Times New Roman" w:cs="Times New Roman"/>
          <w:sz w:val="24"/>
          <w:szCs w:val="24"/>
        </w:rPr>
        <w:t>raining that emphasizes safe and effe</w:t>
      </w:r>
      <w:r w:rsidR="001978C2" w:rsidRPr="00D56634">
        <w:rPr>
          <w:rFonts w:ascii="Times New Roman" w:hAnsi="Times New Roman" w:cs="Times New Roman"/>
          <w:sz w:val="24"/>
          <w:szCs w:val="24"/>
        </w:rPr>
        <w:t xml:space="preserve">ctive response during </w:t>
      </w:r>
      <w:r w:rsidR="00144C6C" w:rsidRPr="00D56634">
        <w:rPr>
          <w:rFonts w:ascii="Times New Roman" w:hAnsi="Times New Roman" w:cs="Times New Roman"/>
          <w:sz w:val="24"/>
          <w:szCs w:val="24"/>
        </w:rPr>
        <w:t xml:space="preserve">encounters with citizens </w:t>
      </w:r>
      <w:r w:rsidR="001978C2" w:rsidRPr="00D56634">
        <w:rPr>
          <w:rFonts w:ascii="Times New Roman" w:hAnsi="Times New Roman" w:cs="Times New Roman"/>
          <w:sz w:val="24"/>
          <w:szCs w:val="24"/>
        </w:rPr>
        <w:t xml:space="preserve">that </w:t>
      </w:r>
      <w:r w:rsidR="00144C6C" w:rsidRPr="00D56634">
        <w:rPr>
          <w:rFonts w:ascii="Times New Roman" w:hAnsi="Times New Roman" w:cs="Times New Roman"/>
          <w:sz w:val="24"/>
          <w:szCs w:val="24"/>
        </w:rPr>
        <w:t>may help to deescalate potentially violent or unsafe situations</w:t>
      </w:r>
      <w:r w:rsidR="001978C2" w:rsidRPr="00D56634">
        <w:rPr>
          <w:rFonts w:ascii="Times New Roman" w:hAnsi="Times New Roman" w:cs="Times New Roman"/>
          <w:sz w:val="24"/>
          <w:szCs w:val="24"/>
        </w:rPr>
        <w:t xml:space="preserve">. </w:t>
      </w:r>
      <w:r w:rsidR="00A87AB9">
        <w:rPr>
          <w:rFonts w:ascii="Times New Roman" w:hAnsi="Times New Roman" w:cs="Times New Roman"/>
          <w:sz w:val="24"/>
          <w:szCs w:val="24"/>
        </w:rPr>
        <w:t>I</w:t>
      </w:r>
      <w:r w:rsidR="001978C2" w:rsidRPr="00D56634">
        <w:rPr>
          <w:rFonts w:ascii="Times New Roman" w:hAnsi="Times New Roman" w:cs="Times New Roman"/>
          <w:sz w:val="24"/>
          <w:szCs w:val="24"/>
        </w:rPr>
        <w:t xml:space="preserve">f legal change occurs, additional training for officers </w:t>
      </w:r>
      <w:r w:rsidR="001978C2" w:rsidRPr="00D56634">
        <w:rPr>
          <w:rFonts w:ascii="Times New Roman" w:hAnsi="Times New Roman" w:cs="Times New Roman"/>
          <w:sz w:val="24"/>
          <w:szCs w:val="24"/>
        </w:rPr>
        <w:lastRenderedPageBreak/>
        <w:t xml:space="preserve">may also help to encourage </w:t>
      </w:r>
      <w:r w:rsidR="00A87AB9">
        <w:rPr>
          <w:rFonts w:ascii="Times New Roman" w:hAnsi="Times New Roman" w:cs="Times New Roman"/>
          <w:sz w:val="24"/>
          <w:szCs w:val="24"/>
        </w:rPr>
        <w:t>early compliance</w:t>
      </w:r>
      <w:r w:rsidR="001978C2" w:rsidRPr="00D56634">
        <w:rPr>
          <w:rFonts w:ascii="Times New Roman" w:hAnsi="Times New Roman" w:cs="Times New Roman"/>
          <w:sz w:val="24"/>
          <w:szCs w:val="24"/>
        </w:rPr>
        <w:t xml:space="preserve">. </w:t>
      </w:r>
    </w:p>
    <w:p w:rsidR="00EE4AF5" w:rsidRDefault="00EE4AF5">
      <w:pPr>
        <w:spacing w:after="160" w:line="259" w:lineRule="auto"/>
        <w:rPr>
          <w:b/>
          <w:sz w:val="28"/>
          <w:szCs w:val="28"/>
          <w:u w:val="single"/>
        </w:rPr>
      </w:pPr>
      <w:r>
        <w:rPr>
          <w:b/>
          <w:sz w:val="28"/>
          <w:szCs w:val="28"/>
          <w:u w:val="single"/>
        </w:rPr>
        <w:br w:type="page"/>
      </w:r>
    </w:p>
    <w:p w:rsidR="00072195" w:rsidRPr="009869B8" w:rsidRDefault="00072195" w:rsidP="00AA4831">
      <w:r w:rsidRPr="00AA4831">
        <w:rPr>
          <w:b/>
          <w:sz w:val="28"/>
          <w:szCs w:val="28"/>
          <w:u w:val="single"/>
        </w:rPr>
        <w:lastRenderedPageBreak/>
        <w:t>References</w:t>
      </w:r>
    </w:p>
    <w:p w:rsidR="00AA4831" w:rsidRDefault="00AA4831" w:rsidP="00AA4831">
      <w:pPr>
        <w:pStyle w:val="p1"/>
        <w:rPr>
          <w:rFonts w:ascii="Times New Roman" w:hAnsi="Times New Roman"/>
          <w:sz w:val="24"/>
          <w:szCs w:val="24"/>
        </w:rPr>
      </w:pPr>
    </w:p>
    <w:p w:rsidR="00226112" w:rsidRPr="00226112" w:rsidRDefault="00A678E6" w:rsidP="00AA4831">
      <w:pPr>
        <w:pStyle w:val="p1"/>
        <w:rPr>
          <w:rFonts w:ascii="Times New Roman" w:hAnsi="Times New Roman"/>
          <w:sz w:val="24"/>
          <w:szCs w:val="24"/>
        </w:rPr>
      </w:pPr>
      <w:r w:rsidRPr="00226112">
        <w:rPr>
          <w:rFonts w:ascii="Times New Roman" w:hAnsi="Times New Roman"/>
          <w:sz w:val="24"/>
          <w:szCs w:val="24"/>
        </w:rPr>
        <w:t xml:space="preserve">Amster, R. (2003) Patterns of exclusion: Sanitizing space, criminalizing homelessness. </w:t>
      </w:r>
      <w:r w:rsidRPr="00226112">
        <w:rPr>
          <w:rFonts w:ascii="Times New Roman" w:hAnsi="Times New Roman"/>
          <w:i/>
          <w:sz w:val="24"/>
          <w:szCs w:val="24"/>
        </w:rPr>
        <w:t>Social Justice</w:t>
      </w:r>
      <w:r w:rsidRPr="00226112">
        <w:rPr>
          <w:rFonts w:ascii="Times New Roman" w:hAnsi="Times New Roman"/>
          <w:sz w:val="24"/>
          <w:szCs w:val="24"/>
        </w:rPr>
        <w:t>, 30, 195–221.</w:t>
      </w:r>
    </w:p>
    <w:p w:rsidR="00B902A3" w:rsidRPr="00B902A3" w:rsidRDefault="00B902A3" w:rsidP="00B902A3">
      <w:pPr>
        <w:spacing w:before="100" w:beforeAutospacing="1" w:after="100" w:afterAutospacing="1"/>
        <w:rPr>
          <w:rFonts w:eastAsia="Times New Roman"/>
          <w:color w:val="000000"/>
        </w:rPr>
      </w:pPr>
      <w:r w:rsidRPr="00B902A3">
        <w:rPr>
          <w:rFonts w:eastAsia="Times New Roman"/>
          <w:color w:val="000000"/>
        </w:rPr>
        <w:t xml:space="preserve">Bala, N., Carrington, P. J., and Roberts, J.V. (2009). </w:t>
      </w:r>
      <w:r w:rsidRPr="00B902A3">
        <w:rPr>
          <w:rFonts w:eastAsia="Times New Roman"/>
          <w:i/>
          <w:color w:val="000000"/>
        </w:rPr>
        <w:t>Canadian Journal of Criminology and Criminal Justice</w:t>
      </w:r>
      <w:r w:rsidRPr="00B902A3">
        <w:rPr>
          <w:rFonts w:eastAsia="Times New Roman"/>
          <w:color w:val="000000"/>
        </w:rPr>
        <w:t>, 51(2), pp. 583-590.</w:t>
      </w:r>
    </w:p>
    <w:p w:rsidR="00E03850" w:rsidRPr="00226112" w:rsidRDefault="002503AF" w:rsidP="00AA4831">
      <w:pPr>
        <w:pStyle w:val="p1"/>
        <w:rPr>
          <w:rFonts w:ascii="Times New Roman" w:hAnsi="Times New Roman"/>
          <w:sz w:val="24"/>
          <w:szCs w:val="24"/>
        </w:rPr>
      </w:pPr>
      <w:r w:rsidRPr="00226112">
        <w:rPr>
          <w:rFonts w:ascii="Times New Roman" w:hAnsi="Times New Roman"/>
          <w:sz w:val="24"/>
          <w:szCs w:val="24"/>
        </w:rPr>
        <w:t>Berk, R., and</w:t>
      </w:r>
      <w:r w:rsidR="00E03850" w:rsidRPr="00226112">
        <w:rPr>
          <w:rFonts w:ascii="Times New Roman" w:hAnsi="Times New Roman"/>
          <w:sz w:val="24"/>
          <w:szCs w:val="24"/>
        </w:rPr>
        <w:t xml:space="preserve"> MacDonald, J. (2010). Policing the homeless: An evaluation of efforts </w:t>
      </w:r>
      <w:r w:rsidR="00E03850" w:rsidRPr="00226112">
        <w:rPr>
          <w:rFonts w:ascii="Times New Roman" w:hAnsi="Times New Roman"/>
          <w:sz w:val="24"/>
          <w:szCs w:val="24"/>
        </w:rPr>
        <w:lastRenderedPageBreak/>
        <w:t xml:space="preserve">to reduce homeless-related crime. </w:t>
      </w:r>
      <w:r w:rsidR="00E03850" w:rsidRPr="00226112">
        <w:rPr>
          <w:rFonts w:ascii="Times New Roman" w:hAnsi="Times New Roman"/>
          <w:i/>
          <w:sz w:val="24"/>
          <w:szCs w:val="24"/>
        </w:rPr>
        <w:t>Criminology and</w:t>
      </w:r>
      <w:r w:rsidR="00086E2B" w:rsidRPr="00226112">
        <w:rPr>
          <w:rFonts w:ascii="Times New Roman" w:hAnsi="Times New Roman"/>
          <w:i/>
          <w:sz w:val="24"/>
          <w:szCs w:val="24"/>
        </w:rPr>
        <w:t xml:space="preserve"> </w:t>
      </w:r>
      <w:r w:rsidR="00E03850" w:rsidRPr="00226112">
        <w:rPr>
          <w:rFonts w:ascii="Times New Roman" w:hAnsi="Times New Roman"/>
          <w:i/>
          <w:sz w:val="24"/>
          <w:szCs w:val="24"/>
        </w:rPr>
        <w:t>Public Policy</w:t>
      </w:r>
      <w:r w:rsidR="00E03850" w:rsidRPr="00226112">
        <w:rPr>
          <w:rFonts w:ascii="Times New Roman" w:hAnsi="Times New Roman"/>
          <w:sz w:val="24"/>
          <w:szCs w:val="24"/>
        </w:rPr>
        <w:t>, 9(4), 813-840.</w:t>
      </w:r>
    </w:p>
    <w:p w:rsidR="00AE292C" w:rsidRPr="00226112" w:rsidRDefault="00AE292C" w:rsidP="00AA4831">
      <w:pPr>
        <w:pStyle w:val="p1"/>
        <w:rPr>
          <w:rFonts w:ascii="Times New Roman" w:hAnsi="Times New Roman"/>
          <w:sz w:val="24"/>
          <w:szCs w:val="24"/>
        </w:rPr>
      </w:pPr>
    </w:p>
    <w:p w:rsidR="00C3548C" w:rsidRPr="00226112" w:rsidRDefault="002503AF" w:rsidP="00AA4831">
      <w:pPr>
        <w:pStyle w:val="p1"/>
        <w:rPr>
          <w:rFonts w:ascii="Times New Roman" w:hAnsi="Times New Roman"/>
          <w:sz w:val="24"/>
          <w:szCs w:val="24"/>
        </w:rPr>
      </w:pPr>
      <w:r w:rsidRPr="00226112">
        <w:rPr>
          <w:rFonts w:ascii="Times New Roman" w:hAnsi="Times New Roman"/>
          <w:sz w:val="24"/>
          <w:szCs w:val="24"/>
        </w:rPr>
        <w:t>Berti, M., and</w:t>
      </w:r>
      <w:r w:rsidR="00AE292C" w:rsidRPr="00226112">
        <w:rPr>
          <w:rFonts w:ascii="Times New Roman" w:hAnsi="Times New Roman"/>
          <w:sz w:val="24"/>
          <w:szCs w:val="24"/>
        </w:rPr>
        <w:t xml:space="preserve"> Sommers, J. (2010). “The streets belong to people that pay for them”: The spatial regulation of street poverty in Vancouver,</w:t>
      </w:r>
      <w:r w:rsidR="00086E2B" w:rsidRPr="00226112">
        <w:rPr>
          <w:rFonts w:ascii="Times New Roman" w:hAnsi="Times New Roman"/>
          <w:sz w:val="24"/>
          <w:szCs w:val="24"/>
        </w:rPr>
        <w:t xml:space="preserve"> </w:t>
      </w:r>
      <w:r w:rsidR="00AE292C" w:rsidRPr="00226112">
        <w:rPr>
          <w:rFonts w:ascii="Times New Roman" w:hAnsi="Times New Roman"/>
          <w:sz w:val="24"/>
          <w:szCs w:val="24"/>
        </w:rPr>
        <w:t xml:space="preserve">British Columbia. In D. Crocker &amp; V. M. Johnson (Eds.), Poverty, regulation and social justice: Readings </w:t>
      </w:r>
      <w:r w:rsidR="00AE292C" w:rsidRPr="00226112">
        <w:rPr>
          <w:rFonts w:ascii="Times New Roman" w:hAnsi="Times New Roman"/>
          <w:sz w:val="24"/>
          <w:szCs w:val="24"/>
        </w:rPr>
        <w:lastRenderedPageBreak/>
        <w:t>on the criminalization of</w:t>
      </w:r>
      <w:r w:rsidR="00086E2B" w:rsidRPr="00226112">
        <w:rPr>
          <w:rFonts w:ascii="Times New Roman" w:hAnsi="Times New Roman"/>
          <w:sz w:val="24"/>
          <w:szCs w:val="24"/>
        </w:rPr>
        <w:t xml:space="preserve"> poverty (pp.60-74). Halifax</w:t>
      </w:r>
      <w:r w:rsidR="00AE292C" w:rsidRPr="00226112">
        <w:rPr>
          <w:rFonts w:ascii="Times New Roman" w:hAnsi="Times New Roman"/>
          <w:sz w:val="24"/>
          <w:szCs w:val="24"/>
        </w:rPr>
        <w:t>: Fe</w:t>
      </w:r>
      <w:r w:rsidR="00086E2B" w:rsidRPr="00226112">
        <w:rPr>
          <w:rFonts w:ascii="Times New Roman" w:hAnsi="Times New Roman"/>
          <w:sz w:val="24"/>
          <w:szCs w:val="24"/>
        </w:rPr>
        <w:t>r</w:t>
      </w:r>
      <w:r w:rsidR="00AE292C" w:rsidRPr="00226112">
        <w:rPr>
          <w:rFonts w:ascii="Times New Roman" w:hAnsi="Times New Roman"/>
          <w:sz w:val="24"/>
          <w:szCs w:val="24"/>
        </w:rPr>
        <w:t>nwood Publishing</w:t>
      </w:r>
      <w:r w:rsidR="00086E2B" w:rsidRPr="00226112">
        <w:rPr>
          <w:rFonts w:ascii="Times New Roman" w:hAnsi="Times New Roman"/>
          <w:sz w:val="24"/>
          <w:szCs w:val="24"/>
        </w:rPr>
        <w:t>.</w:t>
      </w:r>
    </w:p>
    <w:p w:rsidR="00AA4831" w:rsidRDefault="00AA4831" w:rsidP="00AA4831">
      <w:pPr>
        <w:rPr>
          <w:rFonts w:eastAsia="Calibri"/>
          <w:szCs w:val="22"/>
          <w:lang w:val="en-CA"/>
        </w:rPr>
      </w:pPr>
    </w:p>
    <w:p w:rsidR="00AA4831" w:rsidRPr="00AA4831" w:rsidRDefault="00AA4831" w:rsidP="00AA4831">
      <w:pPr>
        <w:rPr>
          <w:rFonts w:eastAsia="Calibri"/>
          <w:szCs w:val="22"/>
          <w:lang w:val="en-CA"/>
        </w:rPr>
      </w:pPr>
      <w:r w:rsidRPr="00AA4831">
        <w:rPr>
          <w:rFonts w:eastAsia="Calibri"/>
          <w:szCs w:val="22"/>
          <w:lang w:val="en-CA"/>
        </w:rPr>
        <w:t xml:space="preserve">Chesnay, C. T., Bellot, C., &amp; Sylvestre, M.-È. (2013). Taming disorderly people one ticket at a time: The penalization of homelessness in Ontario and British Columbia. </w:t>
      </w:r>
      <w:r w:rsidRPr="00AA4831">
        <w:rPr>
          <w:rFonts w:eastAsia="Calibri"/>
          <w:i/>
          <w:iCs/>
          <w:szCs w:val="22"/>
          <w:lang w:val="en-CA"/>
        </w:rPr>
        <w:t>Canadian Journal of Criminology and Criminal Justice</w:t>
      </w:r>
      <w:r w:rsidRPr="00AA4831">
        <w:rPr>
          <w:rFonts w:eastAsia="Calibri"/>
          <w:szCs w:val="22"/>
          <w:lang w:val="en-CA"/>
        </w:rPr>
        <w:t xml:space="preserve">, </w:t>
      </w:r>
      <w:r w:rsidRPr="00AA4831">
        <w:rPr>
          <w:rFonts w:eastAsia="Calibri"/>
          <w:i/>
          <w:iCs/>
          <w:szCs w:val="22"/>
          <w:lang w:val="en-CA"/>
        </w:rPr>
        <w:t>55</w:t>
      </w:r>
      <w:r w:rsidRPr="00AA4831">
        <w:rPr>
          <w:rFonts w:eastAsia="Calibri"/>
          <w:szCs w:val="22"/>
          <w:lang w:val="en-CA"/>
        </w:rPr>
        <w:t>(2), 161–185.</w:t>
      </w:r>
    </w:p>
    <w:p w:rsidR="00AA4831" w:rsidRDefault="00AA4831" w:rsidP="00AA4831">
      <w:pPr>
        <w:pStyle w:val="NormalWeb"/>
        <w:spacing w:before="0" w:beforeAutospacing="0" w:after="0" w:afterAutospacing="0"/>
        <w:rPr>
          <w:bCs/>
        </w:rPr>
      </w:pPr>
    </w:p>
    <w:p w:rsidR="00773AE2" w:rsidRPr="00226112" w:rsidRDefault="00773AE2" w:rsidP="00AA4831">
      <w:pPr>
        <w:pStyle w:val="NormalWeb"/>
        <w:spacing w:before="0" w:beforeAutospacing="0" w:after="0" w:afterAutospacing="0"/>
      </w:pPr>
      <w:r w:rsidRPr="00226112">
        <w:rPr>
          <w:bCs/>
        </w:rPr>
        <w:lastRenderedPageBreak/>
        <w:t>City of Calgary</w:t>
      </w:r>
      <w:r w:rsidR="00F70096">
        <w:rPr>
          <w:bCs/>
        </w:rPr>
        <w:t>.</w:t>
      </w:r>
      <w:r w:rsidRPr="00226112">
        <w:rPr>
          <w:bCs/>
        </w:rPr>
        <w:t xml:space="preserve"> (2017). http://www.calgary.ca/CA/city-clerks/Pages/Legislative-services/Bylaws.aspx</w:t>
      </w:r>
    </w:p>
    <w:p w:rsidR="00AA4831" w:rsidRDefault="00AA4831" w:rsidP="00AA4831">
      <w:pPr>
        <w:rPr>
          <w:rFonts w:eastAsia="Calibri"/>
          <w:szCs w:val="22"/>
          <w:lang w:val="en-CA"/>
        </w:rPr>
      </w:pPr>
    </w:p>
    <w:p w:rsidR="00AA4831" w:rsidRPr="00AA4831" w:rsidRDefault="00AA4831" w:rsidP="00AA4831">
      <w:pPr>
        <w:rPr>
          <w:rFonts w:eastAsia="Calibri"/>
          <w:szCs w:val="22"/>
          <w:lang w:val="en-CA"/>
        </w:rPr>
      </w:pPr>
      <w:r w:rsidRPr="00AA4831">
        <w:rPr>
          <w:rFonts w:eastAsia="Calibri"/>
          <w:szCs w:val="22"/>
          <w:lang w:val="en-CA"/>
        </w:rPr>
        <w:t xml:space="preserve">City of Vancouver. (2011). </w:t>
      </w:r>
      <w:r w:rsidRPr="00AA4831">
        <w:rPr>
          <w:rFonts w:eastAsia="Calibri"/>
          <w:i/>
          <w:iCs/>
          <w:szCs w:val="22"/>
          <w:lang w:val="en-CA"/>
        </w:rPr>
        <w:t>Strathcona census data</w:t>
      </w:r>
      <w:r w:rsidRPr="00AA4831">
        <w:rPr>
          <w:rFonts w:eastAsia="Calibri"/>
          <w:szCs w:val="22"/>
          <w:lang w:val="en-CA"/>
        </w:rPr>
        <w:t>. Statistics Canada, Census.</w:t>
      </w:r>
    </w:p>
    <w:p w:rsidR="00AA4831" w:rsidRDefault="00AA4831" w:rsidP="00AA4831">
      <w:pPr>
        <w:rPr>
          <w:rFonts w:eastAsia="Calibri"/>
          <w:szCs w:val="22"/>
          <w:lang w:val="en-CA"/>
        </w:rPr>
      </w:pPr>
    </w:p>
    <w:p w:rsidR="00AA4831" w:rsidRPr="00AA4831" w:rsidRDefault="00AA4831" w:rsidP="00AA4831">
      <w:pPr>
        <w:rPr>
          <w:rFonts w:eastAsia="Calibri"/>
          <w:szCs w:val="22"/>
          <w:lang w:val="en-CA"/>
        </w:rPr>
      </w:pPr>
      <w:r w:rsidRPr="00AA4831">
        <w:rPr>
          <w:rFonts w:eastAsia="Calibri"/>
          <w:szCs w:val="22"/>
          <w:lang w:val="en-CA"/>
        </w:rPr>
        <w:t xml:space="preserve">City of Vancouver Community Services, &amp; City of Vancouver Planning and Development Services. (2013). </w:t>
      </w:r>
      <w:r w:rsidRPr="00AA4831">
        <w:rPr>
          <w:rFonts w:eastAsia="Calibri"/>
          <w:i/>
          <w:iCs/>
          <w:szCs w:val="22"/>
          <w:lang w:val="en-CA"/>
        </w:rPr>
        <w:t xml:space="preserve">Downtown Eastside local </w:t>
      </w:r>
      <w:r w:rsidRPr="00AA4831">
        <w:rPr>
          <w:rFonts w:eastAsia="Calibri"/>
          <w:i/>
          <w:iCs/>
          <w:szCs w:val="22"/>
          <w:lang w:val="en-CA"/>
        </w:rPr>
        <w:lastRenderedPageBreak/>
        <w:t>area profile 2013</w:t>
      </w:r>
      <w:r w:rsidRPr="00AA4831">
        <w:rPr>
          <w:rFonts w:eastAsia="Calibri"/>
          <w:szCs w:val="22"/>
          <w:lang w:val="en-CA"/>
        </w:rPr>
        <w:t>. City of Vancouver. Retrieved from http://vancouver.ca/files/cov/profile-dtes-local-area-2013.pdf</w:t>
      </w:r>
    </w:p>
    <w:p w:rsidR="00AA4831" w:rsidRDefault="00AA4831" w:rsidP="00AA4831">
      <w:pPr>
        <w:rPr>
          <w:rFonts w:eastAsia="Calibri"/>
          <w:szCs w:val="22"/>
          <w:lang w:val="fr-CA"/>
        </w:rPr>
      </w:pPr>
    </w:p>
    <w:p w:rsidR="00AA4831" w:rsidRPr="00AA4831" w:rsidRDefault="00AA4831" w:rsidP="00AA4831">
      <w:pPr>
        <w:rPr>
          <w:rFonts w:eastAsia="Calibri"/>
          <w:szCs w:val="22"/>
          <w:lang w:val="en-CA"/>
        </w:rPr>
      </w:pPr>
      <w:r w:rsidRPr="00AA4831">
        <w:rPr>
          <w:rFonts w:eastAsia="Calibri"/>
          <w:szCs w:val="22"/>
          <w:lang w:val="fr-CA"/>
        </w:rPr>
        <w:t xml:space="preserve">Commission des droits de la personne et des droits de la jeunesse. </w:t>
      </w:r>
      <w:r w:rsidRPr="00AA4831">
        <w:rPr>
          <w:rFonts w:eastAsia="Calibri"/>
          <w:szCs w:val="22"/>
          <w:lang w:val="en-CA"/>
        </w:rPr>
        <w:t xml:space="preserve">(2009). </w:t>
      </w:r>
      <w:r w:rsidRPr="00AA4831">
        <w:rPr>
          <w:rFonts w:eastAsia="Calibri"/>
          <w:i/>
          <w:iCs/>
          <w:szCs w:val="22"/>
          <w:lang w:val="en-CA"/>
        </w:rPr>
        <w:t>The judiciarization of the homeless in Montreal: A case of social profiling</w:t>
      </w:r>
      <w:r w:rsidRPr="00AA4831">
        <w:rPr>
          <w:rFonts w:eastAsia="Calibri"/>
          <w:szCs w:val="22"/>
          <w:lang w:val="en-CA"/>
        </w:rPr>
        <w:t>. Retrieved from http://www.cdpdj.qc.ca/Publications/Homeless_Summary.pdf</w:t>
      </w:r>
    </w:p>
    <w:p w:rsidR="00AA4831" w:rsidRDefault="00AA4831" w:rsidP="00AA4831">
      <w:pPr>
        <w:rPr>
          <w:color w:val="000000" w:themeColor="text1"/>
        </w:rPr>
      </w:pPr>
    </w:p>
    <w:p w:rsidR="009F68BF" w:rsidRPr="00226112" w:rsidRDefault="009F68BF" w:rsidP="00AA4831">
      <w:pPr>
        <w:rPr>
          <w:rFonts w:eastAsia="Times New Roman"/>
        </w:rPr>
      </w:pPr>
      <w:r w:rsidRPr="00226112">
        <w:rPr>
          <w:color w:val="000000" w:themeColor="text1"/>
        </w:rPr>
        <w:t xml:space="preserve">Culhane, D. P., (2010). </w:t>
      </w:r>
      <w:r w:rsidRPr="00226112">
        <w:rPr>
          <w:rFonts w:eastAsia="Times New Roman"/>
          <w:color w:val="000000" w:themeColor="text1"/>
        </w:rPr>
        <w:t xml:space="preserve">Tackling homelessness in Los Angeles' Skid Row: </w:t>
      </w:r>
      <w:r w:rsidRPr="00FB375F">
        <w:rPr>
          <w:color w:val="000000" w:themeColor="text1"/>
        </w:rPr>
        <w:t>The role of policing strategies and the spatial deconcentration of homelessness</w:t>
      </w:r>
      <w:r w:rsidRPr="00226112">
        <w:rPr>
          <w:color w:val="000000" w:themeColor="text1"/>
        </w:rPr>
        <w:t>.</w:t>
      </w:r>
      <w:r w:rsidR="00AA5B12">
        <w:rPr>
          <w:color w:val="000000" w:themeColor="text1"/>
        </w:rPr>
        <w:t xml:space="preserve"> </w:t>
      </w:r>
      <w:r w:rsidRPr="00226112">
        <w:rPr>
          <w:i/>
          <w:color w:val="000000" w:themeColor="text1"/>
        </w:rPr>
        <w:t>Criminology and Public Policy</w:t>
      </w:r>
      <w:r w:rsidRPr="00226112">
        <w:rPr>
          <w:color w:val="000000" w:themeColor="text1"/>
        </w:rPr>
        <w:t xml:space="preserve">, 9(4), pp. </w:t>
      </w:r>
      <w:r w:rsidRPr="00226112">
        <w:rPr>
          <w:rFonts w:eastAsia="Times New Roman"/>
          <w:color w:val="333333"/>
          <w:shd w:val="clear" w:color="auto" w:fill="FFFFFF"/>
        </w:rPr>
        <w:t>851–857.</w:t>
      </w:r>
    </w:p>
    <w:p w:rsidR="009F68BF" w:rsidRPr="00226112" w:rsidRDefault="009F68BF" w:rsidP="00AA4831">
      <w:pPr>
        <w:pStyle w:val="p1"/>
        <w:rPr>
          <w:rFonts w:ascii="Times New Roman" w:hAnsi="Times New Roman"/>
          <w:sz w:val="24"/>
          <w:szCs w:val="24"/>
        </w:rPr>
      </w:pPr>
    </w:p>
    <w:p w:rsidR="00D73263" w:rsidRDefault="00D73263" w:rsidP="00AA4831">
      <w:pPr>
        <w:pStyle w:val="p1"/>
        <w:rPr>
          <w:rFonts w:ascii="Times New Roman" w:hAnsi="Times New Roman"/>
          <w:sz w:val="24"/>
          <w:szCs w:val="24"/>
        </w:rPr>
      </w:pPr>
      <w:r>
        <w:rPr>
          <w:rFonts w:ascii="Times New Roman" w:hAnsi="Times New Roman"/>
          <w:sz w:val="24"/>
          <w:szCs w:val="24"/>
        </w:rPr>
        <w:t>Doob, A. N., and Sprott, J. B., (2009).  Reducing Child Imprisonment in Canada.  Criminal Justice Matters, 75(1), pp. 32-34.</w:t>
      </w:r>
    </w:p>
    <w:p w:rsidR="00D73263" w:rsidRDefault="00D73263" w:rsidP="00AA4831">
      <w:pPr>
        <w:pStyle w:val="p1"/>
        <w:rPr>
          <w:rFonts w:ascii="Times New Roman" w:hAnsi="Times New Roman"/>
          <w:sz w:val="24"/>
          <w:szCs w:val="24"/>
        </w:rPr>
      </w:pPr>
    </w:p>
    <w:p w:rsidR="00293F36" w:rsidRPr="00226112" w:rsidRDefault="00293F36" w:rsidP="00AA4831">
      <w:pPr>
        <w:pStyle w:val="p1"/>
        <w:rPr>
          <w:rFonts w:ascii="Times New Roman" w:hAnsi="Times New Roman"/>
          <w:sz w:val="24"/>
          <w:szCs w:val="24"/>
        </w:rPr>
      </w:pPr>
      <w:r w:rsidRPr="00226112">
        <w:rPr>
          <w:rFonts w:ascii="Times New Roman" w:hAnsi="Times New Roman"/>
          <w:sz w:val="24"/>
          <w:szCs w:val="24"/>
        </w:rPr>
        <w:t>Gaetz, S. (2002a). Street justice – the legal and justice issues of homeless youth in Toronto. Toronto: Justice for Children and Youth.</w:t>
      </w:r>
    </w:p>
    <w:p w:rsidR="00086E2B" w:rsidRPr="00226112" w:rsidRDefault="00086E2B" w:rsidP="00AA4831">
      <w:pPr>
        <w:pStyle w:val="p1"/>
        <w:rPr>
          <w:rFonts w:ascii="Times New Roman" w:hAnsi="Times New Roman"/>
          <w:sz w:val="24"/>
          <w:szCs w:val="24"/>
        </w:rPr>
      </w:pPr>
    </w:p>
    <w:p w:rsidR="00293F36" w:rsidRDefault="00293F36" w:rsidP="00AA4831">
      <w:pPr>
        <w:pStyle w:val="p1"/>
        <w:rPr>
          <w:rFonts w:ascii="Times New Roman" w:hAnsi="Times New Roman"/>
          <w:sz w:val="24"/>
          <w:szCs w:val="24"/>
        </w:rPr>
      </w:pPr>
      <w:r w:rsidRPr="00226112">
        <w:rPr>
          <w:rFonts w:ascii="Times New Roman" w:hAnsi="Times New Roman"/>
          <w:sz w:val="24"/>
          <w:szCs w:val="24"/>
        </w:rPr>
        <w:t>Gaetz, S. (2002b). Street youth agencies and the legal and justice issues of homeless youth in Toronto. Toronto: Justice for Children</w:t>
      </w:r>
      <w:r w:rsidR="00086E2B" w:rsidRPr="00226112">
        <w:rPr>
          <w:rFonts w:ascii="Times New Roman" w:hAnsi="Times New Roman"/>
          <w:sz w:val="24"/>
          <w:szCs w:val="24"/>
        </w:rPr>
        <w:t xml:space="preserve"> </w:t>
      </w:r>
      <w:r w:rsidRPr="00226112">
        <w:rPr>
          <w:rFonts w:ascii="Times New Roman" w:hAnsi="Times New Roman"/>
          <w:sz w:val="24"/>
          <w:szCs w:val="24"/>
        </w:rPr>
        <w:t>and Youth.</w:t>
      </w:r>
    </w:p>
    <w:p w:rsidR="00AA4831" w:rsidRPr="00226112" w:rsidRDefault="00AA4831" w:rsidP="00AA4831">
      <w:pPr>
        <w:pStyle w:val="p1"/>
        <w:rPr>
          <w:rFonts w:ascii="Times New Roman" w:hAnsi="Times New Roman"/>
          <w:sz w:val="24"/>
          <w:szCs w:val="24"/>
        </w:rPr>
      </w:pPr>
    </w:p>
    <w:p w:rsidR="00AA4831" w:rsidRPr="00AA4831" w:rsidRDefault="00AA4831" w:rsidP="00AA4831">
      <w:pPr>
        <w:rPr>
          <w:rFonts w:eastAsia="Calibri"/>
          <w:szCs w:val="22"/>
          <w:lang w:val="en-CA"/>
        </w:rPr>
      </w:pPr>
      <w:r w:rsidRPr="00AA4831">
        <w:rPr>
          <w:rFonts w:eastAsia="Calibri"/>
          <w:szCs w:val="22"/>
          <w:lang w:val="en-CA"/>
        </w:rPr>
        <w:lastRenderedPageBreak/>
        <w:t xml:space="preserve">Gordon, T. (2004). The return of vagrancy law and the politics of poverty in Canada. </w:t>
      </w:r>
      <w:r w:rsidRPr="00AA4831">
        <w:rPr>
          <w:rFonts w:eastAsia="Calibri"/>
          <w:i/>
          <w:iCs/>
          <w:szCs w:val="22"/>
          <w:lang w:val="en-CA"/>
        </w:rPr>
        <w:t>Canadian Review of Social Policy</w:t>
      </w:r>
      <w:r w:rsidRPr="00AA4831">
        <w:rPr>
          <w:rFonts w:eastAsia="Calibri"/>
          <w:szCs w:val="22"/>
          <w:lang w:val="en-CA"/>
        </w:rPr>
        <w:t xml:space="preserve">, </w:t>
      </w:r>
      <w:r w:rsidRPr="00AA4831">
        <w:rPr>
          <w:rFonts w:eastAsia="Calibri"/>
          <w:i/>
          <w:iCs/>
          <w:szCs w:val="22"/>
          <w:lang w:val="en-CA"/>
        </w:rPr>
        <w:t>54</w:t>
      </w:r>
      <w:r w:rsidRPr="00AA4831">
        <w:rPr>
          <w:rFonts w:eastAsia="Calibri"/>
          <w:szCs w:val="22"/>
          <w:lang w:val="en-CA"/>
        </w:rPr>
        <w:t>, 34–57.</w:t>
      </w:r>
    </w:p>
    <w:p w:rsidR="00AA4831" w:rsidRDefault="00AA4831" w:rsidP="00AA4831">
      <w:pPr>
        <w:pStyle w:val="NormalWeb"/>
        <w:spacing w:before="0" w:beforeAutospacing="0" w:after="0" w:afterAutospacing="0"/>
      </w:pPr>
    </w:p>
    <w:p w:rsidR="00BB5F5F" w:rsidRDefault="00BB5F5F" w:rsidP="00AA4831">
      <w:pPr>
        <w:pStyle w:val="NormalWeb"/>
        <w:spacing w:before="0" w:beforeAutospacing="0" w:after="0" w:afterAutospacing="0"/>
      </w:pPr>
      <w:r>
        <w:t xml:space="preserve">Government of Alberta. (2017).   </w:t>
      </w:r>
      <w:r w:rsidRPr="00BB5F5F">
        <w:rPr>
          <w:i/>
        </w:rPr>
        <w:t>Bill 9: An Act to Modernize Enforcement of Provincial Offence</w:t>
      </w:r>
      <w:r>
        <w:t>s.</w:t>
      </w:r>
      <w:r w:rsidRPr="00BB5F5F">
        <w:t>http://www.assembly.ab.ca/ISYS/LADDAR_files/docs/bills/bill/leg</w:t>
      </w:r>
      <w:r w:rsidRPr="00BB5F5F">
        <w:lastRenderedPageBreak/>
        <w:t>islature_29/session_2/20160308_bill-009.pdf</w:t>
      </w:r>
    </w:p>
    <w:p w:rsidR="00BB5F5F" w:rsidRDefault="00BB5F5F" w:rsidP="00AA4831">
      <w:pPr>
        <w:pStyle w:val="NormalWeb"/>
        <w:spacing w:before="0" w:beforeAutospacing="0" w:after="0" w:afterAutospacing="0"/>
      </w:pPr>
    </w:p>
    <w:p w:rsidR="00086E2B" w:rsidRPr="00226112" w:rsidRDefault="00411208" w:rsidP="00AA4831">
      <w:pPr>
        <w:pStyle w:val="NormalWeb"/>
        <w:spacing w:before="0" w:beforeAutospacing="0" w:after="0" w:afterAutospacing="0"/>
      </w:pPr>
      <w:r w:rsidRPr="00226112">
        <w:t>Hermer, J. and Mosher, J., E. (2002).</w:t>
      </w:r>
      <w:r w:rsidR="00AA5B12">
        <w:t xml:space="preserve"> </w:t>
      </w:r>
      <w:r w:rsidRPr="00226112">
        <w:rPr>
          <w:i/>
        </w:rPr>
        <w:t>Disorderly People: Law and the Politics of Exclusion in Ontario</w:t>
      </w:r>
      <w:r w:rsidRPr="00226112">
        <w:t>.</w:t>
      </w:r>
      <w:r w:rsidR="00AA5B12">
        <w:t xml:space="preserve"> </w:t>
      </w:r>
      <w:r w:rsidRPr="00226112">
        <w:t>Halifax: Fernwood.</w:t>
      </w:r>
    </w:p>
    <w:p w:rsidR="00AA4831" w:rsidRDefault="00AA4831" w:rsidP="00AA4831">
      <w:pPr>
        <w:pStyle w:val="p1"/>
        <w:rPr>
          <w:rFonts w:ascii="Times New Roman" w:hAnsi="Times New Roman"/>
          <w:sz w:val="24"/>
          <w:szCs w:val="24"/>
        </w:rPr>
      </w:pPr>
    </w:p>
    <w:p w:rsidR="00C95F75" w:rsidRPr="00226112" w:rsidRDefault="00C95F75" w:rsidP="00AA4831">
      <w:pPr>
        <w:pStyle w:val="p1"/>
        <w:rPr>
          <w:rFonts w:ascii="Times New Roman" w:hAnsi="Times New Roman"/>
          <w:sz w:val="24"/>
          <w:szCs w:val="24"/>
        </w:rPr>
      </w:pPr>
      <w:r w:rsidRPr="00226112">
        <w:rPr>
          <w:rFonts w:ascii="Times New Roman" w:hAnsi="Times New Roman"/>
          <w:sz w:val="24"/>
          <w:szCs w:val="24"/>
        </w:rPr>
        <w:t xml:space="preserve">National Law Center on Homelessness &amp; Poverty. (2006). </w:t>
      </w:r>
      <w:r w:rsidRPr="00226112">
        <w:rPr>
          <w:rFonts w:ascii="Times New Roman" w:hAnsi="Times New Roman"/>
          <w:i/>
          <w:sz w:val="24"/>
          <w:szCs w:val="24"/>
        </w:rPr>
        <w:t>A dream denied: The criminalization of homeless</w:t>
      </w:r>
      <w:r w:rsidRPr="00226112">
        <w:rPr>
          <w:rFonts w:ascii="Times New Roman" w:hAnsi="Times New Roman"/>
          <w:i/>
          <w:sz w:val="24"/>
          <w:szCs w:val="24"/>
        </w:rPr>
        <w:lastRenderedPageBreak/>
        <w:t>ness in U.S. cities</w:t>
      </w:r>
      <w:r w:rsidRPr="00226112">
        <w:rPr>
          <w:rFonts w:ascii="Times New Roman" w:hAnsi="Times New Roman"/>
          <w:sz w:val="24"/>
          <w:szCs w:val="24"/>
        </w:rPr>
        <w:t>.</w:t>
      </w:r>
      <w:r w:rsidR="00AA5B12">
        <w:rPr>
          <w:rFonts w:ascii="Times New Roman" w:hAnsi="Times New Roman"/>
          <w:sz w:val="24"/>
          <w:szCs w:val="24"/>
        </w:rPr>
        <w:t xml:space="preserve"> </w:t>
      </w:r>
      <w:r w:rsidRPr="00226112">
        <w:rPr>
          <w:rFonts w:ascii="Times New Roman" w:hAnsi="Times New Roman"/>
          <w:sz w:val="24"/>
          <w:szCs w:val="24"/>
        </w:rPr>
        <w:t>Washington, DC: The National Coalition for the Homeless and The National Law Center on Homelessness &amp; Poverty.</w:t>
      </w:r>
    </w:p>
    <w:p w:rsidR="00086E2B" w:rsidRPr="00226112" w:rsidRDefault="00086E2B" w:rsidP="00AA4831">
      <w:pPr>
        <w:pStyle w:val="p1"/>
        <w:rPr>
          <w:rFonts w:ascii="Times New Roman" w:hAnsi="Times New Roman"/>
          <w:sz w:val="24"/>
          <w:szCs w:val="24"/>
        </w:rPr>
      </w:pPr>
    </w:p>
    <w:p w:rsidR="00F958F1" w:rsidRPr="00226112" w:rsidRDefault="00C95F75" w:rsidP="00AA4831">
      <w:pPr>
        <w:pStyle w:val="p1"/>
        <w:rPr>
          <w:rFonts w:ascii="Times New Roman" w:hAnsi="Times New Roman"/>
          <w:sz w:val="24"/>
          <w:szCs w:val="24"/>
        </w:rPr>
      </w:pPr>
      <w:r w:rsidRPr="00226112">
        <w:rPr>
          <w:rFonts w:ascii="Times New Roman" w:hAnsi="Times New Roman"/>
          <w:sz w:val="24"/>
          <w:szCs w:val="24"/>
        </w:rPr>
        <w:t xml:space="preserve">National Law Center on Homelessness &amp; Poverty. (2009). </w:t>
      </w:r>
      <w:r w:rsidRPr="00226112">
        <w:rPr>
          <w:rFonts w:ascii="Times New Roman" w:hAnsi="Times New Roman"/>
          <w:i/>
          <w:sz w:val="24"/>
          <w:szCs w:val="24"/>
        </w:rPr>
        <w:t>Homes not handcuffs: The criminalization of homelessness in U.S. cities</w:t>
      </w:r>
      <w:r w:rsidRPr="00226112">
        <w:rPr>
          <w:rFonts w:ascii="Times New Roman" w:hAnsi="Times New Roman"/>
          <w:sz w:val="24"/>
          <w:szCs w:val="24"/>
        </w:rPr>
        <w:t>.</w:t>
      </w:r>
      <w:r w:rsidR="00AA5B12">
        <w:rPr>
          <w:rFonts w:ascii="Times New Roman" w:hAnsi="Times New Roman"/>
          <w:sz w:val="24"/>
          <w:szCs w:val="24"/>
        </w:rPr>
        <w:t xml:space="preserve"> </w:t>
      </w:r>
      <w:r w:rsidR="00F958F1" w:rsidRPr="00226112">
        <w:rPr>
          <w:rFonts w:ascii="Times New Roman" w:hAnsi="Times New Roman"/>
          <w:sz w:val="24"/>
          <w:szCs w:val="24"/>
        </w:rPr>
        <w:t>Washington, DC: The National Coalition for the Homeless and The National Law Center on Homelessness &amp; Poverty.</w:t>
      </w:r>
    </w:p>
    <w:p w:rsidR="00C95F75" w:rsidRPr="00226112" w:rsidRDefault="00C95F75" w:rsidP="00AA4831">
      <w:pPr>
        <w:pStyle w:val="p1"/>
        <w:rPr>
          <w:rFonts w:ascii="Times New Roman" w:hAnsi="Times New Roman"/>
          <w:sz w:val="24"/>
          <w:szCs w:val="24"/>
        </w:rPr>
      </w:pPr>
    </w:p>
    <w:p w:rsidR="001A344D" w:rsidRPr="00226112" w:rsidRDefault="001A344D" w:rsidP="00AA4831">
      <w:pPr>
        <w:pStyle w:val="p1"/>
        <w:rPr>
          <w:rFonts w:ascii="Times New Roman" w:hAnsi="Times New Roman"/>
          <w:sz w:val="24"/>
          <w:szCs w:val="24"/>
        </w:rPr>
      </w:pPr>
      <w:r w:rsidRPr="00226112">
        <w:rPr>
          <w:rFonts w:ascii="Times New Roman" w:hAnsi="Times New Roman"/>
          <w:sz w:val="24"/>
          <w:szCs w:val="24"/>
        </w:rPr>
        <w:t>O’Grady, B., &amp; Greene, C. (2003). A social and economic impact study of the Ontario safe streets act on Toronto squeegee workers.</w:t>
      </w:r>
      <w:r w:rsidR="00AA5B12">
        <w:rPr>
          <w:rFonts w:ascii="Times New Roman" w:hAnsi="Times New Roman"/>
          <w:sz w:val="24"/>
          <w:szCs w:val="24"/>
        </w:rPr>
        <w:t xml:space="preserve"> </w:t>
      </w:r>
      <w:r w:rsidR="00086E2B" w:rsidRPr="00226112">
        <w:rPr>
          <w:rFonts w:ascii="Times New Roman" w:hAnsi="Times New Roman"/>
          <w:sz w:val="24"/>
          <w:szCs w:val="24"/>
        </w:rPr>
        <w:t xml:space="preserve"> </w:t>
      </w:r>
      <w:r w:rsidRPr="00226112">
        <w:rPr>
          <w:rFonts w:ascii="Times New Roman" w:hAnsi="Times New Roman"/>
          <w:i/>
          <w:sz w:val="24"/>
          <w:szCs w:val="24"/>
        </w:rPr>
        <w:t>Online Journal of Justice Studies</w:t>
      </w:r>
      <w:r w:rsidRPr="00226112">
        <w:rPr>
          <w:rFonts w:ascii="Times New Roman" w:hAnsi="Times New Roman"/>
          <w:sz w:val="24"/>
          <w:szCs w:val="24"/>
        </w:rPr>
        <w:t>, 1(1), n.p.</w:t>
      </w:r>
    </w:p>
    <w:p w:rsidR="00B073CD" w:rsidRPr="00226112" w:rsidRDefault="00B073CD" w:rsidP="00AA4831">
      <w:pPr>
        <w:pStyle w:val="p1"/>
        <w:rPr>
          <w:rFonts w:ascii="Times New Roman" w:hAnsi="Times New Roman"/>
          <w:sz w:val="24"/>
          <w:szCs w:val="24"/>
        </w:rPr>
      </w:pPr>
    </w:p>
    <w:p w:rsidR="000922EB" w:rsidRPr="00226112" w:rsidRDefault="000922EB" w:rsidP="00AA4831">
      <w:pPr>
        <w:pStyle w:val="p1"/>
        <w:rPr>
          <w:rFonts w:ascii="Times New Roman" w:hAnsi="Times New Roman"/>
          <w:color w:val="000000" w:themeColor="text1"/>
          <w:sz w:val="24"/>
          <w:szCs w:val="24"/>
        </w:rPr>
      </w:pPr>
      <w:r w:rsidRPr="00226112">
        <w:rPr>
          <w:rFonts w:ascii="Times New Roman" w:hAnsi="Times New Roman"/>
          <w:color w:val="000000" w:themeColor="text1"/>
          <w:sz w:val="24"/>
          <w:szCs w:val="24"/>
        </w:rPr>
        <w:t>O’Grady, B., Gaetz, S., and Buccieri, K. (2011).</w:t>
      </w:r>
      <w:r w:rsidR="00AA5B12">
        <w:rPr>
          <w:rFonts w:ascii="Times New Roman" w:hAnsi="Times New Roman"/>
          <w:color w:val="000000" w:themeColor="text1"/>
          <w:sz w:val="24"/>
          <w:szCs w:val="24"/>
        </w:rPr>
        <w:t xml:space="preserve"> </w:t>
      </w:r>
      <w:r w:rsidRPr="008B7798">
        <w:rPr>
          <w:rFonts w:ascii="Times New Roman" w:eastAsia="Times New Roman" w:hAnsi="Times New Roman"/>
          <w:i/>
          <w:color w:val="000000" w:themeColor="text1"/>
          <w:sz w:val="24"/>
          <w:szCs w:val="24"/>
        </w:rPr>
        <w:t>Can I See Your ID? The Policing of Youth Homelessness in Toronto</w:t>
      </w:r>
      <w:r w:rsidRPr="00226112">
        <w:rPr>
          <w:rFonts w:ascii="Times New Roman" w:hAnsi="Times New Roman"/>
          <w:color w:val="000000" w:themeColor="text1"/>
          <w:sz w:val="24"/>
          <w:szCs w:val="24"/>
        </w:rPr>
        <w:t>.</w:t>
      </w:r>
      <w:r w:rsidR="00AA5B12">
        <w:rPr>
          <w:rFonts w:ascii="Times New Roman" w:hAnsi="Times New Roman"/>
          <w:color w:val="000000" w:themeColor="text1"/>
          <w:sz w:val="24"/>
          <w:szCs w:val="24"/>
        </w:rPr>
        <w:t xml:space="preserve"> </w:t>
      </w:r>
      <w:r w:rsidRPr="00226112">
        <w:rPr>
          <w:rFonts w:ascii="Times New Roman" w:hAnsi="Times New Roman"/>
          <w:color w:val="000000" w:themeColor="text1"/>
          <w:sz w:val="24"/>
          <w:szCs w:val="24"/>
        </w:rPr>
        <w:t xml:space="preserve">Toronto: Justice for </w:t>
      </w:r>
      <w:r w:rsidRPr="00226112">
        <w:rPr>
          <w:rFonts w:ascii="Times New Roman" w:hAnsi="Times New Roman"/>
          <w:color w:val="000000" w:themeColor="text1"/>
          <w:sz w:val="24"/>
          <w:szCs w:val="24"/>
        </w:rPr>
        <w:lastRenderedPageBreak/>
        <w:t>Children and Youth, and Homeless Hub Press.</w:t>
      </w:r>
    </w:p>
    <w:p w:rsidR="000922EB" w:rsidRPr="00226112" w:rsidRDefault="000922EB" w:rsidP="00AA4831">
      <w:pPr>
        <w:pStyle w:val="p1"/>
        <w:rPr>
          <w:rFonts w:ascii="Times New Roman" w:hAnsi="Times New Roman"/>
          <w:sz w:val="24"/>
          <w:szCs w:val="24"/>
        </w:rPr>
      </w:pPr>
    </w:p>
    <w:p w:rsidR="00AA4831" w:rsidRPr="00AA4831" w:rsidRDefault="00AA4831" w:rsidP="00AA4831">
      <w:pPr>
        <w:rPr>
          <w:rFonts w:eastAsia="Calibri"/>
          <w:szCs w:val="22"/>
          <w:lang w:val="en-CA"/>
        </w:rPr>
      </w:pPr>
      <w:r w:rsidRPr="00AA4831">
        <w:rPr>
          <w:rFonts w:eastAsia="Calibri"/>
          <w:szCs w:val="22"/>
          <w:lang w:val="en-CA"/>
        </w:rPr>
        <w:t xml:space="preserve">Patricia Evans &amp; Associates Inc. (2017). </w:t>
      </w:r>
      <w:r w:rsidRPr="00AA4831">
        <w:rPr>
          <w:rFonts w:eastAsia="Calibri"/>
          <w:i/>
          <w:iCs/>
          <w:szCs w:val="22"/>
          <w:lang w:val="en-CA"/>
        </w:rPr>
        <w:t>Report to the chief administrative officer from the corporate services and community safety department on community safety and enforcement division service level and operational review</w:t>
      </w:r>
      <w:r w:rsidRPr="00AA4831">
        <w:rPr>
          <w:rFonts w:eastAsia="Calibri"/>
          <w:szCs w:val="22"/>
          <w:lang w:val="en-CA"/>
        </w:rPr>
        <w:t>. City of Kamloops. Retrieved from https://kamloops.civicweb.net/document/65667/Report%20-</w:t>
      </w:r>
      <w:r w:rsidRPr="00AA4831">
        <w:rPr>
          <w:rFonts w:eastAsia="Calibri"/>
          <w:szCs w:val="22"/>
          <w:lang w:val="en-CA"/>
        </w:rPr>
        <w:lastRenderedPageBreak/>
        <w:t>%20full%20-%20Community%20Safety%20Operational%20Revie.pdf?handle=27592A05A0D6479E9432E89ABCDD3F3E</w:t>
      </w:r>
    </w:p>
    <w:p w:rsidR="00AA4831" w:rsidRDefault="00AA4831" w:rsidP="00AA4831">
      <w:pPr>
        <w:pStyle w:val="p1"/>
        <w:rPr>
          <w:rFonts w:ascii="Times New Roman" w:hAnsi="Times New Roman"/>
          <w:sz w:val="24"/>
          <w:szCs w:val="24"/>
        </w:rPr>
      </w:pPr>
    </w:p>
    <w:p w:rsidR="001A344D" w:rsidRPr="00226112" w:rsidRDefault="001A344D" w:rsidP="00AA4831">
      <w:pPr>
        <w:pStyle w:val="p1"/>
        <w:rPr>
          <w:rFonts w:ascii="Times New Roman" w:hAnsi="Times New Roman"/>
          <w:sz w:val="24"/>
          <w:szCs w:val="24"/>
        </w:rPr>
      </w:pPr>
      <w:r w:rsidRPr="00226112">
        <w:rPr>
          <w:rFonts w:ascii="Times New Roman" w:hAnsi="Times New Roman"/>
          <w:sz w:val="24"/>
          <w:szCs w:val="24"/>
        </w:rPr>
        <w:t xml:space="preserve">Piquero, A. (2010). Policy essay on “policing the homeless…”. </w:t>
      </w:r>
      <w:r w:rsidRPr="00226112">
        <w:rPr>
          <w:rFonts w:ascii="Times New Roman" w:hAnsi="Times New Roman"/>
          <w:i/>
          <w:sz w:val="24"/>
          <w:szCs w:val="24"/>
        </w:rPr>
        <w:t>Criminology &amp; Public Policy</w:t>
      </w:r>
      <w:r w:rsidRPr="00226112">
        <w:rPr>
          <w:rFonts w:ascii="Times New Roman" w:hAnsi="Times New Roman"/>
          <w:sz w:val="24"/>
          <w:szCs w:val="24"/>
        </w:rPr>
        <w:t>, 9(4), 841-849.</w:t>
      </w:r>
    </w:p>
    <w:p w:rsidR="00086E2B" w:rsidRPr="00226112" w:rsidRDefault="00086E2B" w:rsidP="00AA4831">
      <w:pPr>
        <w:pStyle w:val="p1"/>
        <w:rPr>
          <w:rFonts w:ascii="Times New Roman" w:hAnsi="Times New Roman"/>
          <w:sz w:val="24"/>
          <w:szCs w:val="24"/>
        </w:rPr>
      </w:pPr>
    </w:p>
    <w:p w:rsidR="00AA4831" w:rsidRPr="00AA4831" w:rsidRDefault="00AA4831" w:rsidP="00AA4831">
      <w:pPr>
        <w:rPr>
          <w:rFonts w:eastAsia="Calibri"/>
          <w:szCs w:val="22"/>
          <w:lang w:val="en-CA"/>
        </w:rPr>
      </w:pPr>
      <w:r w:rsidRPr="00AA4831">
        <w:rPr>
          <w:rFonts w:eastAsia="Calibri"/>
          <w:szCs w:val="22"/>
          <w:lang w:val="en-CA"/>
        </w:rPr>
        <w:t xml:space="preserve">PIVOT, &amp; Vancouver Area Network of Drug Users. (n.d.). </w:t>
      </w:r>
      <w:r w:rsidRPr="00AA4831">
        <w:rPr>
          <w:rFonts w:eastAsia="Calibri"/>
          <w:i/>
          <w:iCs/>
          <w:szCs w:val="22"/>
          <w:lang w:val="en-CA"/>
        </w:rPr>
        <w:t>Backgrounder on by-</w:t>
      </w:r>
      <w:r w:rsidRPr="00AA4831">
        <w:rPr>
          <w:rFonts w:eastAsia="Calibri"/>
          <w:i/>
          <w:iCs/>
          <w:szCs w:val="22"/>
          <w:lang w:val="en-CA"/>
        </w:rPr>
        <w:lastRenderedPageBreak/>
        <w:t>law enforcement in Vancouver’s Downtown Eastside</w:t>
      </w:r>
      <w:r w:rsidRPr="00AA4831">
        <w:rPr>
          <w:rFonts w:eastAsia="Calibri"/>
          <w:szCs w:val="22"/>
          <w:lang w:val="en-CA"/>
        </w:rPr>
        <w:t>. Retrieved from http://d3n8a8pro7vhmx.cloudfront.net/pivotlegal/mailings/82/attachments/original/Ticketing_Backgrounder.pdf?1362558098</w:t>
      </w:r>
    </w:p>
    <w:p w:rsidR="00AA4831" w:rsidRDefault="00AA4831" w:rsidP="00AA4831">
      <w:pPr>
        <w:pStyle w:val="p1"/>
        <w:rPr>
          <w:rFonts w:ascii="Times New Roman" w:hAnsi="Times New Roman"/>
          <w:sz w:val="24"/>
          <w:szCs w:val="24"/>
        </w:rPr>
      </w:pPr>
    </w:p>
    <w:p w:rsidR="001A344D" w:rsidRPr="00226112" w:rsidRDefault="001A344D" w:rsidP="00AA4831">
      <w:pPr>
        <w:pStyle w:val="p1"/>
        <w:rPr>
          <w:rFonts w:ascii="Times New Roman" w:hAnsi="Times New Roman"/>
          <w:sz w:val="24"/>
          <w:szCs w:val="24"/>
        </w:rPr>
      </w:pPr>
      <w:r w:rsidRPr="00226112">
        <w:rPr>
          <w:rFonts w:ascii="Times New Roman" w:hAnsi="Times New Roman"/>
          <w:sz w:val="24"/>
          <w:szCs w:val="24"/>
        </w:rPr>
        <w:t>Rowe, M., &amp; O’Connell, M. (2010). Policy essay on “policing the homeless: An evaluation of efforts to reduce homeless-related crime”.</w:t>
      </w:r>
      <w:r w:rsidR="00086E2B" w:rsidRPr="00226112">
        <w:rPr>
          <w:rFonts w:ascii="Times New Roman" w:hAnsi="Times New Roman"/>
          <w:sz w:val="24"/>
          <w:szCs w:val="24"/>
        </w:rPr>
        <w:t xml:space="preserve"> </w:t>
      </w:r>
      <w:r w:rsidRPr="00226112">
        <w:rPr>
          <w:rFonts w:ascii="Times New Roman" w:hAnsi="Times New Roman"/>
          <w:i/>
          <w:sz w:val="24"/>
          <w:szCs w:val="24"/>
        </w:rPr>
        <w:lastRenderedPageBreak/>
        <w:t>Criminology &amp; Public Policy</w:t>
      </w:r>
      <w:r w:rsidRPr="00226112">
        <w:rPr>
          <w:rFonts w:ascii="Times New Roman" w:hAnsi="Times New Roman"/>
          <w:sz w:val="24"/>
          <w:szCs w:val="24"/>
        </w:rPr>
        <w:t>, 9(4), 875-881.</w:t>
      </w:r>
    </w:p>
    <w:p w:rsidR="00932D97" w:rsidRPr="00226112" w:rsidRDefault="00932D97" w:rsidP="00AA4831">
      <w:pPr>
        <w:textAlignment w:val="baseline"/>
        <w:rPr>
          <w:rFonts w:eastAsia="Times New Roman"/>
          <w:color w:val="000000" w:themeColor="text1"/>
        </w:rPr>
      </w:pPr>
    </w:p>
    <w:p w:rsidR="00932D97" w:rsidRPr="000F017C" w:rsidRDefault="00932D97" w:rsidP="00AA4831">
      <w:pPr>
        <w:textAlignment w:val="baseline"/>
        <w:rPr>
          <w:rFonts w:eastAsia="Times New Roman"/>
          <w:color w:val="000000" w:themeColor="text1"/>
        </w:rPr>
      </w:pPr>
      <w:r w:rsidRPr="00226112">
        <w:rPr>
          <w:rFonts w:eastAsia="Times New Roman"/>
          <w:color w:val="000000" w:themeColor="text1"/>
        </w:rPr>
        <w:t xml:space="preserve">Ruddick, S. 1996. </w:t>
      </w:r>
      <w:r w:rsidRPr="000F017C">
        <w:rPr>
          <w:rFonts w:eastAsia="Times New Roman"/>
          <w:color w:val="000000" w:themeColor="text1"/>
        </w:rPr>
        <w:t>Constructing Difference in Public Spaces: Race, Class and</w:t>
      </w:r>
      <w:r w:rsidRPr="00226112">
        <w:rPr>
          <w:rFonts w:eastAsia="Times New Roman"/>
          <w:color w:val="000000" w:themeColor="text1"/>
        </w:rPr>
        <w:t xml:space="preserve"> Gender as Interlocking Systems</w:t>
      </w:r>
      <w:r w:rsidRPr="000F017C">
        <w:rPr>
          <w:rFonts w:eastAsia="Times New Roman"/>
          <w:color w:val="000000" w:themeColor="text1"/>
        </w:rPr>
        <w:t xml:space="preserve">. </w:t>
      </w:r>
      <w:r w:rsidRPr="000F017C">
        <w:rPr>
          <w:rFonts w:eastAsia="Times New Roman"/>
          <w:i/>
          <w:color w:val="000000" w:themeColor="text1"/>
        </w:rPr>
        <w:t>Urban Geography</w:t>
      </w:r>
      <w:r w:rsidRPr="00226112">
        <w:rPr>
          <w:rFonts w:eastAsia="Times New Roman"/>
          <w:color w:val="000000" w:themeColor="text1"/>
        </w:rPr>
        <w:t>. 7(</w:t>
      </w:r>
      <w:r w:rsidRPr="000F017C">
        <w:rPr>
          <w:rFonts w:eastAsia="Times New Roman"/>
          <w:color w:val="000000" w:themeColor="text1"/>
        </w:rPr>
        <w:t>2</w:t>
      </w:r>
      <w:r w:rsidRPr="00226112">
        <w:rPr>
          <w:rFonts w:eastAsia="Times New Roman"/>
          <w:color w:val="000000" w:themeColor="text1"/>
        </w:rPr>
        <w:t>), pp.</w:t>
      </w:r>
      <w:r w:rsidRPr="000F017C">
        <w:rPr>
          <w:rFonts w:eastAsia="Times New Roman"/>
          <w:color w:val="000000" w:themeColor="text1"/>
        </w:rPr>
        <w:t xml:space="preserve"> 132-151.</w:t>
      </w:r>
    </w:p>
    <w:p w:rsidR="00AA4831" w:rsidRDefault="00AA4831" w:rsidP="00AA4831">
      <w:pPr>
        <w:pStyle w:val="NormalWeb"/>
        <w:spacing w:before="0" w:beforeAutospacing="0" w:after="0" w:afterAutospacing="0"/>
        <w:rPr>
          <w:bCs/>
        </w:rPr>
      </w:pPr>
    </w:p>
    <w:p w:rsidR="00773AE2" w:rsidRPr="00226112" w:rsidRDefault="00773AE2" w:rsidP="00AA4831">
      <w:pPr>
        <w:pStyle w:val="NormalWeb"/>
        <w:spacing w:before="0" w:beforeAutospacing="0" w:after="0" w:afterAutospacing="0"/>
        <w:rPr>
          <w:bCs/>
        </w:rPr>
      </w:pPr>
      <w:r w:rsidRPr="00226112">
        <w:rPr>
          <w:bCs/>
        </w:rPr>
        <w:t>Savoie, D., and Cornez, S. (2014).</w:t>
      </w:r>
      <w:r w:rsidR="00AA5B12">
        <w:t xml:space="preserve"> </w:t>
      </w:r>
      <w:r w:rsidRPr="00226112">
        <w:rPr>
          <w:i/>
        </w:rPr>
        <w:t>Low-Income and Homeless Inuit in Montreal</w:t>
      </w:r>
      <w:r w:rsidRPr="00226112">
        <w:t xml:space="preserve">. </w:t>
      </w:r>
      <w:r w:rsidRPr="00226112">
        <w:rPr>
          <w:bCs/>
        </w:rPr>
        <w:t>Montreal: Makivik Corporation.</w:t>
      </w:r>
    </w:p>
    <w:p w:rsidR="00AA4831" w:rsidRDefault="00AA4831" w:rsidP="00AA4831">
      <w:pPr>
        <w:pStyle w:val="p1"/>
        <w:rPr>
          <w:rFonts w:ascii="Times New Roman" w:hAnsi="Times New Roman"/>
          <w:sz w:val="24"/>
          <w:szCs w:val="24"/>
        </w:rPr>
      </w:pPr>
    </w:p>
    <w:p w:rsidR="001A344D" w:rsidRPr="00226112" w:rsidRDefault="001A344D" w:rsidP="00AA4831">
      <w:pPr>
        <w:pStyle w:val="p1"/>
        <w:rPr>
          <w:rFonts w:ascii="Times New Roman" w:hAnsi="Times New Roman"/>
          <w:sz w:val="24"/>
          <w:szCs w:val="24"/>
        </w:rPr>
      </w:pPr>
      <w:r w:rsidRPr="00226112">
        <w:rPr>
          <w:rFonts w:ascii="Times New Roman" w:hAnsi="Times New Roman"/>
          <w:sz w:val="24"/>
          <w:szCs w:val="24"/>
        </w:rPr>
        <w:t xml:space="preserve">Sommers, J., LaPrairie, C., Berti, M., Laviolette, T., Felix, V., &amp; Millar, S. (2005). </w:t>
      </w:r>
      <w:r w:rsidRPr="00226112">
        <w:rPr>
          <w:rFonts w:ascii="Times New Roman" w:hAnsi="Times New Roman"/>
          <w:i/>
          <w:sz w:val="24"/>
          <w:szCs w:val="24"/>
        </w:rPr>
        <w:t>Policing homelessness: The report on the research project</w:t>
      </w:r>
      <w:r w:rsidR="00086E2B" w:rsidRPr="00226112">
        <w:rPr>
          <w:rFonts w:ascii="Times New Roman" w:hAnsi="Times New Roman"/>
          <w:i/>
          <w:sz w:val="24"/>
          <w:szCs w:val="24"/>
        </w:rPr>
        <w:t xml:space="preserve"> </w:t>
      </w:r>
      <w:r w:rsidRPr="00226112">
        <w:rPr>
          <w:rFonts w:ascii="Times New Roman" w:hAnsi="Times New Roman"/>
          <w:i/>
          <w:sz w:val="24"/>
          <w:szCs w:val="24"/>
        </w:rPr>
        <w:t>on the regulation of public space and the criminalization of homelessness in Vancouver</w:t>
      </w:r>
      <w:r w:rsidRPr="00226112">
        <w:rPr>
          <w:rFonts w:ascii="Times New Roman" w:hAnsi="Times New Roman"/>
          <w:sz w:val="24"/>
          <w:szCs w:val="24"/>
        </w:rPr>
        <w:t>. Vancouver, BC: Strathcona Research</w:t>
      </w:r>
    </w:p>
    <w:p w:rsidR="001A344D" w:rsidRDefault="001A344D" w:rsidP="00AA4831">
      <w:pPr>
        <w:pStyle w:val="p1"/>
        <w:rPr>
          <w:rFonts w:ascii="Times New Roman" w:hAnsi="Times New Roman"/>
          <w:sz w:val="24"/>
          <w:szCs w:val="24"/>
        </w:rPr>
      </w:pPr>
      <w:r w:rsidRPr="00226112">
        <w:rPr>
          <w:rFonts w:ascii="Times New Roman" w:hAnsi="Times New Roman"/>
          <w:sz w:val="24"/>
          <w:szCs w:val="24"/>
        </w:rPr>
        <w:t>Group/PHS Community Services Society.</w:t>
      </w:r>
    </w:p>
    <w:p w:rsidR="0014339D" w:rsidRDefault="0014339D" w:rsidP="00AA4831">
      <w:pPr>
        <w:pStyle w:val="p1"/>
        <w:rPr>
          <w:rFonts w:ascii="Times New Roman" w:hAnsi="Times New Roman"/>
          <w:sz w:val="24"/>
          <w:szCs w:val="24"/>
        </w:rPr>
      </w:pPr>
    </w:p>
    <w:p w:rsidR="00AA4831" w:rsidRPr="00AA4831" w:rsidRDefault="00AA4831" w:rsidP="00AA4831">
      <w:pPr>
        <w:rPr>
          <w:rFonts w:eastAsia="Calibri"/>
          <w:szCs w:val="22"/>
          <w:lang w:val="en-CA"/>
        </w:rPr>
      </w:pPr>
      <w:r w:rsidRPr="00AA4831">
        <w:rPr>
          <w:rFonts w:eastAsia="Calibri"/>
          <w:szCs w:val="22"/>
          <w:lang w:val="en-CA"/>
        </w:rPr>
        <w:lastRenderedPageBreak/>
        <w:t xml:space="preserve">Srivastava, N., Anderson, L., &amp; Atanase, G. (2017). </w:t>
      </w:r>
      <w:r w:rsidRPr="00AA4831">
        <w:rPr>
          <w:rFonts w:eastAsia="Calibri"/>
          <w:i/>
          <w:iCs/>
          <w:szCs w:val="22"/>
          <w:lang w:val="en-CA"/>
        </w:rPr>
        <w:t>The charter implications of bylaw enforcement on people with low incomes in Alberta</w:t>
      </w:r>
      <w:r w:rsidRPr="00AA4831">
        <w:rPr>
          <w:rFonts w:eastAsia="Calibri"/>
          <w:szCs w:val="22"/>
          <w:lang w:val="en-CA"/>
        </w:rPr>
        <w:t>. Alberta Civil Liberties Research Centre. Retrieved from https://static1.squarespace.com/static/511bd4e0e4b0cecdc77b114b/t/589e532f59cc684e6200e735/1486771025606/The+Charter+Implications+of+Bylaw+2017.pdf</w:t>
      </w:r>
    </w:p>
    <w:p w:rsidR="00AA4831" w:rsidRDefault="00AA4831" w:rsidP="00AA4831">
      <w:pPr>
        <w:autoSpaceDE w:val="0"/>
        <w:autoSpaceDN w:val="0"/>
        <w:adjustRightInd w:val="0"/>
        <w:rPr>
          <w:color w:val="000000"/>
          <w:shd w:val="clear" w:color="auto" w:fill="FFFFFF"/>
        </w:rPr>
      </w:pPr>
    </w:p>
    <w:p w:rsidR="0014339D" w:rsidRPr="00E81359" w:rsidRDefault="0014339D" w:rsidP="00AA4831">
      <w:pPr>
        <w:autoSpaceDE w:val="0"/>
        <w:autoSpaceDN w:val="0"/>
        <w:adjustRightInd w:val="0"/>
      </w:pPr>
      <w:r w:rsidRPr="00E81359">
        <w:rPr>
          <w:color w:val="000000"/>
          <w:shd w:val="clear" w:color="auto" w:fill="FFFFFF"/>
        </w:rPr>
        <w:lastRenderedPageBreak/>
        <w:t>Statistics Canada. (2017). Median total income, by family type, by census metropolitan area [Data file]. Retrieved from http://www.statcan.gc.ca/tables-tableaux/sum-som/l01/cst01/famil107a-eng.htm</w:t>
      </w:r>
    </w:p>
    <w:p w:rsidR="000922EB" w:rsidRPr="00226112" w:rsidRDefault="000922EB" w:rsidP="00AA4831">
      <w:pPr>
        <w:pStyle w:val="Heading1"/>
        <w:shd w:val="clear" w:color="auto" w:fill="FFFFFF"/>
        <w:spacing w:before="0" w:beforeAutospacing="0" w:after="0" w:afterAutospacing="0"/>
        <w:rPr>
          <w:kern w:val="0"/>
          <w:sz w:val="24"/>
          <w:szCs w:val="24"/>
        </w:rPr>
      </w:pPr>
    </w:p>
    <w:p w:rsidR="00304A1A" w:rsidRPr="00226112" w:rsidRDefault="00304A1A" w:rsidP="00AA4831">
      <w:pPr>
        <w:pStyle w:val="Heading1"/>
        <w:shd w:val="clear" w:color="auto" w:fill="FFFFFF"/>
        <w:spacing w:before="0" w:beforeAutospacing="0" w:after="0" w:afterAutospacing="0"/>
        <w:rPr>
          <w:rFonts w:eastAsia="Times New Roman"/>
          <w:b w:val="0"/>
          <w:bCs w:val="0"/>
          <w:color w:val="000000" w:themeColor="text1"/>
          <w:sz w:val="24"/>
          <w:szCs w:val="24"/>
        </w:rPr>
      </w:pPr>
      <w:r w:rsidRPr="00226112">
        <w:rPr>
          <w:b w:val="0"/>
          <w:color w:val="000000" w:themeColor="text1"/>
          <w:sz w:val="24"/>
          <w:szCs w:val="24"/>
        </w:rPr>
        <w:t>Sylvetre, M. (2010).</w:t>
      </w:r>
      <w:r w:rsidR="00AA5B12">
        <w:rPr>
          <w:b w:val="0"/>
          <w:color w:val="000000" w:themeColor="text1"/>
          <w:sz w:val="24"/>
          <w:szCs w:val="24"/>
        </w:rPr>
        <w:t xml:space="preserve"> </w:t>
      </w:r>
      <w:r w:rsidRPr="00226112">
        <w:rPr>
          <w:rFonts w:eastAsia="Times New Roman"/>
          <w:b w:val="0"/>
          <w:bCs w:val="0"/>
          <w:color w:val="000000" w:themeColor="text1"/>
          <w:sz w:val="24"/>
          <w:szCs w:val="24"/>
        </w:rPr>
        <w:t xml:space="preserve">Policing the Homeless in Montreal: Is this Really What the Population Wants? </w:t>
      </w:r>
      <w:r w:rsidRPr="00226112">
        <w:rPr>
          <w:b w:val="0"/>
          <w:i/>
          <w:iCs/>
          <w:color w:val="000000" w:themeColor="text1"/>
          <w:sz w:val="24"/>
          <w:szCs w:val="24"/>
        </w:rPr>
        <w:t xml:space="preserve">Policing </w:t>
      </w:r>
      <w:r w:rsidRPr="00226112">
        <w:rPr>
          <w:b w:val="0"/>
          <w:i/>
          <w:iCs/>
          <w:color w:val="000000" w:themeColor="text1"/>
          <w:sz w:val="24"/>
          <w:szCs w:val="24"/>
        </w:rPr>
        <w:lastRenderedPageBreak/>
        <w:t>and Society</w:t>
      </w:r>
      <w:r w:rsidRPr="00226112">
        <w:rPr>
          <w:b w:val="0"/>
          <w:iCs/>
          <w:color w:val="000000" w:themeColor="text1"/>
          <w:sz w:val="24"/>
          <w:szCs w:val="24"/>
        </w:rPr>
        <w:t>, 20 (4), pp. 432-458</w:t>
      </w:r>
      <w:r w:rsidRPr="00226112">
        <w:rPr>
          <w:b w:val="0"/>
          <w:i/>
          <w:iCs/>
          <w:color w:val="000000" w:themeColor="text1"/>
          <w:sz w:val="24"/>
          <w:szCs w:val="24"/>
        </w:rPr>
        <w:t>.</w:t>
      </w:r>
    </w:p>
    <w:p w:rsidR="00DC556F" w:rsidRPr="00226112" w:rsidRDefault="00DC556F" w:rsidP="00AA4831">
      <w:pPr>
        <w:autoSpaceDE w:val="0"/>
        <w:autoSpaceDN w:val="0"/>
        <w:adjustRightInd w:val="0"/>
      </w:pPr>
    </w:p>
    <w:p w:rsidR="00DC556F" w:rsidRPr="00226112" w:rsidRDefault="00620C0F" w:rsidP="00AA4831">
      <w:pPr>
        <w:autoSpaceDE w:val="0"/>
        <w:autoSpaceDN w:val="0"/>
        <w:adjustRightInd w:val="0"/>
      </w:pPr>
      <w:r w:rsidRPr="00226112">
        <w:t>United States Commission on Civil Rights. (2017).</w:t>
      </w:r>
      <w:r w:rsidR="00AA5B12">
        <w:t xml:space="preserve"> </w:t>
      </w:r>
      <w:r w:rsidRPr="00226112">
        <w:rPr>
          <w:i/>
        </w:rPr>
        <w:t>Targeted Fines and Fees Against Communities of Color: Civil Rights and Constitutional Implications</w:t>
      </w:r>
      <w:r w:rsidRPr="00226112">
        <w:t>.</w:t>
      </w:r>
      <w:r w:rsidR="00AA5B12">
        <w:t xml:space="preserve"> </w:t>
      </w:r>
      <w:r w:rsidR="00554866" w:rsidRPr="00226112">
        <w:t>Washington.</w:t>
      </w:r>
    </w:p>
    <w:p w:rsidR="00DC556F" w:rsidRDefault="00DC556F" w:rsidP="00AA4831">
      <w:pPr>
        <w:autoSpaceDE w:val="0"/>
        <w:autoSpaceDN w:val="0"/>
        <w:adjustRightInd w:val="0"/>
        <w:rPr>
          <w:sz w:val="28"/>
          <w:szCs w:val="28"/>
        </w:rPr>
      </w:pPr>
    </w:p>
    <w:p w:rsidR="00AA4831" w:rsidRPr="00AA4831" w:rsidRDefault="00AA4831" w:rsidP="00AA4831">
      <w:pPr>
        <w:rPr>
          <w:rFonts w:eastAsia="Calibri"/>
          <w:szCs w:val="22"/>
          <w:lang w:val="en-CA"/>
        </w:rPr>
      </w:pPr>
      <w:r w:rsidRPr="00AA4831">
        <w:rPr>
          <w:rFonts w:eastAsia="Calibri"/>
          <w:szCs w:val="22"/>
          <w:lang w:val="en-CA"/>
        </w:rPr>
        <w:t xml:space="preserve">Vancouver Police Department. (2013). </w:t>
      </w:r>
      <w:r w:rsidRPr="00AA4831">
        <w:rPr>
          <w:rFonts w:eastAsia="Calibri"/>
          <w:i/>
          <w:iCs/>
          <w:szCs w:val="22"/>
          <w:lang w:val="en-CA"/>
        </w:rPr>
        <w:t>Vancouver police department report to the Vancouver police board</w:t>
      </w:r>
      <w:r w:rsidRPr="00AA4831">
        <w:rPr>
          <w:rFonts w:eastAsia="Calibri"/>
          <w:szCs w:val="22"/>
          <w:lang w:val="en-CA"/>
        </w:rPr>
        <w:t>. Re</w:t>
      </w:r>
      <w:r w:rsidRPr="00AA4831">
        <w:rPr>
          <w:rFonts w:eastAsia="Calibri"/>
          <w:szCs w:val="22"/>
          <w:lang w:val="en-CA"/>
        </w:rPr>
        <w:lastRenderedPageBreak/>
        <w:t>trieved from http://vancouver.ca/police/policeboard/agenda/2013/0917/1309C01.pdf</w:t>
      </w:r>
    </w:p>
    <w:p w:rsidR="00AA4831" w:rsidRDefault="00AA4831" w:rsidP="00AA4831">
      <w:pPr>
        <w:rPr>
          <w:rFonts w:eastAsia="Calibri"/>
          <w:szCs w:val="22"/>
          <w:lang w:val="en-CA"/>
        </w:rPr>
      </w:pPr>
    </w:p>
    <w:p w:rsidR="00AA4831" w:rsidRPr="00AA4831" w:rsidRDefault="00AA4831" w:rsidP="00AA4831">
      <w:pPr>
        <w:rPr>
          <w:rFonts w:eastAsia="Calibri"/>
          <w:szCs w:val="22"/>
          <w:lang w:val="en-CA"/>
        </w:rPr>
      </w:pPr>
      <w:r w:rsidRPr="00AA4831">
        <w:rPr>
          <w:rFonts w:eastAsia="Calibri"/>
          <w:szCs w:val="22"/>
          <w:lang w:val="en-CA"/>
        </w:rPr>
        <w:t xml:space="preserve">Wilson, J. Q., &amp; Kelling, G. L. (1982). Broken windows. </w:t>
      </w:r>
      <w:r w:rsidRPr="00AA4831">
        <w:rPr>
          <w:rFonts w:eastAsia="Calibri"/>
          <w:i/>
          <w:iCs/>
          <w:szCs w:val="22"/>
          <w:lang w:val="en-CA"/>
        </w:rPr>
        <w:t>Atlantic Monthly</w:t>
      </w:r>
      <w:r w:rsidRPr="00AA4831">
        <w:rPr>
          <w:rFonts w:eastAsia="Calibri"/>
          <w:szCs w:val="22"/>
          <w:lang w:val="en-CA"/>
        </w:rPr>
        <w:t xml:space="preserve">, </w:t>
      </w:r>
      <w:r w:rsidRPr="00AA4831">
        <w:rPr>
          <w:rFonts w:eastAsia="Calibri"/>
          <w:i/>
          <w:iCs/>
          <w:szCs w:val="22"/>
          <w:lang w:val="en-CA"/>
        </w:rPr>
        <w:t>249</w:t>
      </w:r>
      <w:r w:rsidRPr="00AA4831">
        <w:rPr>
          <w:rFonts w:eastAsia="Calibri"/>
          <w:szCs w:val="22"/>
          <w:lang w:val="en-CA"/>
        </w:rPr>
        <w:t>(3), 29–38.</w:t>
      </w:r>
    </w:p>
    <w:p w:rsidR="00DC556F" w:rsidRDefault="00DC556F" w:rsidP="00072195">
      <w:pPr>
        <w:autoSpaceDE w:val="0"/>
        <w:autoSpaceDN w:val="0"/>
        <w:adjustRightInd w:val="0"/>
        <w:rPr>
          <w:sz w:val="28"/>
          <w:szCs w:val="28"/>
        </w:rPr>
      </w:pPr>
    </w:p>
    <w:p w:rsidR="00890E75" w:rsidRDefault="00890E75" w:rsidP="00072195">
      <w:pPr>
        <w:autoSpaceDE w:val="0"/>
        <w:autoSpaceDN w:val="0"/>
        <w:adjustRightInd w:val="0"/>
        <w:rPr>
          <w:sz w:val="28"/>
          <w:szCs w:val="28"/>
        </w:rPr>
      </w:pPr>
    </w:p>
    <w:p w:rsidR="00AA4831" w:rsidRDefault="00AA4831">
      <w:pPr>
        <w:spacing w:after="160" w:line="259" w:lineRule="auto"/>
        <w:rPr>
          <w:b/>
          <w:sz w:val="28"/>
          <w:szCs w:val="28"/>
          <w:u w:val="single"/>
        </w:rPr>
      </w:pPr>
      <w:r>
        <w:rPr>
          <w:b/>
          <w:sz w:val="28"/>
          <w:szCs w:val="28"/>
          <w:u w:val="single"/>
        </w:rPr>
        <w:br w:type="page"/>
      </w:r>
    </w:p>
    <w:p w:rsidR="00072195" w:rsidRPr="00890E75" w:rsidRDefault="005E4ECD" w:rsidP="00072195">
      <w:pPr>
        <w:autoSpaceDE w:val="0"/>
        <w:autoSpaceDN w:val="0"/>
        <w:adjustRightInd w:val="0"/>
        <w:rPr>
          <w:b/>
          <w:sz w:val="28"/>
          <w:szCs w:val="28"/>
          <w:u w:val="single"/>
        </w:rPr>
      </w:pPr>
      <w:r w:rsidRPr="00890E75">
        <w:rPr>
          <w:b/>
          <w:sz w:val="28"/>
          <w:szCs w:val="28"/>
          <w:u w:val="single"/>
        </w:rPr>
        <w:lastRenderedPageBreak/>
        <w:t>Appendix</w:t>
      </w:r>
    </w:p>
    <w:p w:rsidR="00DC556F" w:rsidRDefault="00DC556F" w:rsidP="00072195">
      <w:pPr>
        <w:autoSpaceDE w:val="0"/>
        <w:autoSpaceDN w:val="0"/>
        <w:adjustRightInd w:val="0"/>
        <w:rPr>
          <w:sz w:val="28"/>
          <w:szCs w:val="28"/>
        </w:rPr>
      </w:pPr>
    </w:p>
    <w:p w:rsidR="00DC556F" w:rsidRPr="00DC556F" w:rsidRDefault="00DC556F" w:rsidP="00072195">
      <w:pPr>
        <w:autoSpaceDE w:val="0"/>
        <w:autoSpaceDN w:val="0"/>
        <w:adjustRightInd w:val="0"/>
        <w:rPr>
          <w:sz w:val="28"/>
          <w:szCs w:val="28"/>
        </w:rPr>
      </w:pPr>
    </w:p>
    <w:tbl>
      <w:tblPr>
        <w:tblW w:w="8789" w:type="dxa"/>
        <w:tblLook w:val="04A0" w:firstRow="1" w:lastRow="0" w:firstColumn="1" w:lastColumn="0" w:noHBand="0" w:noVBand="1"/>
      </w:tblPr>
      <w:tblGrid>
        <w:gridCol w:w="2296"/>
        <w:gridCol w:w="590"/>
        <w:gridCol w:w="236"/>
        <w:gridCol w:w="899"/>
        <w:gridCol w:w="1224"/>
        <w:gridCol w:w="1166"/>
        <w:gridCol w:w="1102"/>
        <w:gridCol w:w="1276"/>
      </w:tblGrid>
      <w:tr w:rsidR="005E4ECD" w:rsidRPr="00405253" w:rsidTr="00DC556F">
        <w:trPr>
          <w:trHeight w:val="251"/>
        </w:trPr>
        <w:tc>
          <w:tcPr>
            <w:tcW w:w="8789" w:type="dxa"/>
            <w:gridSpan w:val="8"/>
            <w:tcBorders>
              <w:top w:val="nil"/>
              <w:left w:val="nil"/>
              <w:bottom w:val="single" w:sz="4" w:space="0" w:color="auto"/>
              <w:right w:val="nil"/>
            </w:tcBorders>
            <w:shd w:val="clear" w:color="auto" w:fill="auto"/>
            <w:vAlign w:val="center"/>
            <w:hideMark/>
          </w:tcPr>
          <w:p w:rsidR="005E4ECD" w:rsidRPr="00DC556F" w:rsidRDefault="00DC556F" w:rsidP="00D54415">
            <w:pPr>
              <w:rPr>
                <w:rFonts w:eastAsia="Times New Roman"/>
                <w:b/>
                <w:bCs/>
                <w:sz w:val="28"/>
                <w:szCs w:val="28"/>
                <w:lang w:eastAsia="en-CA"/>
              </w:rPr>
            </w:pPr>
            <w:r w:rsidRPr="00DC556F">
              <w:rPr>
                <w:rFonts w:eastAsia="Times New Roman"/>
                <w:b/>
                <w:bCs/>
                <w:sz w:val="28"/>
                <w:szCs w:val="28"/>
                <w:lang w:eastAsia="en-CA"/>
              </w:rPr>
              <w:t>Table A</w:t>
            </w:r>
            <w:r>
              <w:rPr>
                <w:rFonts w:eastAsia="Times New Roman"/>
                <w:b/>
                <w:bCs/>
                <w:sz w:val="28"/>
                <w:szCs w:val="28"/>
                <w:lang w:eastAsia="en-CA"/>
              </w:rPr>
              <w:t>:</w:t>
            </w:r>
            <w:r w:rsidR="005E4ECD" w:rsidRPr="00DC556F">
              <w:rPr>
                <w:rFonts w:eastAsia="Times New Roman"/>
                <w:b/>
                <w:bCs/>
                <w:sz w:val="28"/>
                <w:szCs w:val="28"/>
                <w:lang w:eastAsia="en-CA"/>
              </w:rPr>
              <w:t xml:space="preserve"> Types of Fines by Housing Status </w:t>
            </w:r>
            <w:r w:rsidR="004B7CBE">
              <w:rPr>
                <w:rFonts w:eastAsia="Times New Roman"/>
                <w:b/>
                <w:bCs/>
                <w:sz w:val="28"/>
                <w:szCs w:val="28"/>
                <w:lang w:eastAsia="en-CA"/>
              </w:rPr>
              <w:t>(continues over 2 pages)</w:t>
            </w:r>
          </w:p>
        </w:tc>
      </w:tr>
      <w:tr w:rsidR="005E4ECD" w:rsidRPr="00405253" w:rsidTr="00D54415">
        <w:trPr>
          <w:trHeight w:val="216"/>
        </w:trPr>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4ECD" w:rsidRPr="00DC556F" w:rsidRDefault="005E4ECD" w:rsidP="00D54415">
            <w:pPr>
              <w:jc w:val="center"/>
              <w:rPr>
                <w:rFonts w:eastAsia="Times New Roman"/>
                <w:b/>
                <w:bCs/>
                <w:sz w:val="22"/>
                <w:szCs w:val="22"/>
                <w:lang w:eastAsia="en-CA"/>
              </w:rPr>
            </w:pPr>
          </w:p>
        </w:tc>
        <w:tc>
          <w:tcPr>
            <w:tcW w:w="236" w:type="dxa"/>
            <w:tcBorders>
              <w:top w:val="single" w:sz="4" w:space="0" w:color="auto"/>
              <w:left w:val="single" w:sz="4" w:space="0" w:color="auto"/>
              <w:bottom w:val="single" w:sz="4" w:space="0" w:color="auto"/>
              <w:right w:val="nil"/>
            </w:tcBorders>
            <w:shd w:val="clear" w:color="auto" w:fill="auto"/>
            <w:noWrap/>
            <w:vAlign w:val="bottom"/>
            <w:hideMark/>
          </w:tcPr>
          <w:p w:rsidR="005E4ECD" w:rsidRPr="00DC556F" w:rsidRDefault="005E4ECD" w:rsidP="00D54415">
            <w:pPr>
              <w:rPr>
                <w:rFonts w:eastAsia="Times New Roman"/>
                <w:sz w:val="22"/>
                <w:szCs w:val="22"/>
                <w:lang w:eastAsia="en-CA"/>
              </w:rPr>
            </w:pPr>
          </w:p>
        </w:tc>
        <w:tc>
          <w:tcPr>
            <w:tcW w:w="4391" w:type="dxa"/>
            <w:gridSpan w:val="4"/>
            <w:tcBorders>
              <w:top w:val="single" w:sz="4" w:space="0" w:color="auto"/>
              <w:left w:val="nil"/>
              <w:bottom w:val="nil"/>
              <w:right w:val="single" w:sz="4" w:space="0" w:color="333333"/>
            </w:tcBorders>
            <w:shd w:val="clear" w:color="auto" w:fill="auto"/>
            <w:vAlign w:val="bottom"/>
            <w:hideMark/>
          </w:tcPr>
          <w:p w:rsidR="005E4ECD" w:rsidRPr="00DC556F" w:rsidRDefault="005E4ECD" w:rsidP="00D54415">
            <w:pPr>
              <w:jc w:val="center"/>
              <w:rPr>
                <w:rFonts w:eastAsia="Times New Roman"/>
                <w:b/>
                <w:sz w:val="22"/>
                <w:szCs w:val="22"/>
                <w:lang w:eastAsia="en-CA"/>
              </w:rPr>
            </w:pPr>
            <w:r w:rsidRPr="00DC556F">
              <w:rPr>
                <w:rFonts w:eastAsia="Times New Roman"/>
                <w:b/>
                <w:sz w:val="22"/>
                <w:szCs w:val="22"/>
                <w:lang w:eastAsia="en-CA"/>
              </w:rPr>
              <w:t>Housing Status</w:t>
            </w:r>
          </w:p>
        </w:tc>
        <w:tc>
          <w:tcPr>
            <w:tcW w:w="1276" w:type="dxa"/>
            <w:vMerge w:val="restart"/>
            <w:tcBorders>
              <w:top w:val="single" w:sz="4" w:space="0" w:color="auto"/>
              <w:left w:val="single" w:sz="4" w:space="0" w:color="333333"/>
              <w:bottom w:val="single" w:sz="4" w:space="0" w:color="993366"/>
              <w:right w:val="single" w:sz="4" w:space="0" w:color="auto"/>
            </w:tcBorders>
            <w:shd w:val="clear" w:color="auto" w:fill="auto"/>
            <w:vAlign w:val="bottom"/>
            <w:hideMark/>
          </w:tcPr>
          <w:p w:rsidR="005E4ECD" w:rsidRPr="00DC556F" w:rsidRDefault="005E4ECD" w:rsidP="00D54415">
            <w:pPr>
              <w:jc w:val="center"/>
              <w:rPr>
                <w:rFonts w:eastAsia="Times New Roman"/>
                <w:sz w:val="22"/>
                <w:szCs w:val="22"/>
                <w:lang w:eastAsia="en-CA"/>
              </w:rPr>
            </w:pPr>
            <w:r w:rsidRPr="00DC556F">
              <w:rPr>
                <w:rFonts w:eastAsia="Times New Roman"/>
                <w:sz w:val="22"/>
                <w:szCs w:val="22"/>
                <w:lang w:eastAsia="en-CA"/>
              </w:rPr>
              <w:t>Total</w:t>
            </w:r>
          </w:p>
        </w:tc>
      </w:tr>
      <w:tr w:rsidR="005E4ECD" w:rsidRPr="00405253" w:rsidTr="00D54415">
        <w:trPr>
          <w:trHeight w:val="216"/>
        </w:trPr>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rsidR="005E4ECD" w:rsidRPr="00DC556F" w:rsidRDefault="005E4ECD" w:rsidP="00D54415">
            <w:pPr>
              <w:rPr>
                <w:rFonts w:eastAsia="Times New Roman"/>
                <w:b/>
                <w:bCs/>
                <w:sz w:val="22"/>
                <w:szCs w:val="22"/>
                <w:lang w:eastAsia="en-CA"/>
              </w:rPr>
            </w:pPr>
          </w:p>
        </w:tc>
        <w:tc>
          <w:tcPr>
            <w:tcW w:w="236" w:type="dxa"/>
            <w:tcBorders>
              <w:top w:val="single" w:sz="4" w:space="0" w:color="auto"/>
              <w:left w:val="single" w:sz="4" w:space="0" w:color="auto"/>
              <w:bottom w:val="single" w:sz="4" w:space="0" w:color="auto"/>
            </w:tcBorders>
            <w:shd w:val="clear" w:color="auto" w:fill="auto"/>
            <w:noWrap/>
            <w:vAlign w:val="bottom"/>
            <w:hideMark/>
          </w:tcPr>
          <w:p w:rsidR="005E4ECD" w:rsidRPr="00DC556F" w:rsidRDefault="005E4ECD" w:rsidP="00D54415">
            <w:pPr>
              <w:jc w:val="center"/>
              <w:rPr>
                <w:rFonts w:eastAsia="Times New Roman"/>
                <w:sz w:val="22"/>
                <w:szCs w:val="22"/>
                <w:lang w:eastAsia="en-CA"/>
              </w:rPr>
            </w:pPr>
          </w:p>
        </w:tc>
        <w:tc>
          <w:tcPr>
            <w:tcW w:w="899" w:type="dxa"/>
            <w:tcBorders>
              <w:top w:val="single" w:sz="4" w:space="0" w:color="auto"/>
              <w:left w:val="nil"/>
              <w:bottom w:val="single" w:sz="4" w:space="0" w:color="auto"/>
              <w:right w:val="single" w:sz="4" w:space="0" w:color="auto"/>
            </w:tcBorders>
            <w:shd w:val="clear" w:color="auto" w:fill="auto"/>
            <w:vAlign w:val="bottom"/>
            <w:hideMark/>
          </w:tcPr>
          <w:p w:rsidR="005E4ECD" w:rsidRPr="00DC556F" w:rsidRDefault="005E4ECD" w:rsidP="00D54415">
            <w:pPr>
              <w:jc w:val="center"/>
              <w:rPr>
                <w:rFonts w:eastAsia="Times New Roman"/>
                <w:b/>
                <w:sz w:val="22"/>
                <w:szCs w:val="22"/>
                <w:lang w:eastAsia="en-CA"/>
              </w:rPr>
            </w:pPr>
            <w:r w:rsidRPr="00DC556F">
              <w:rPr>
                <w:rFonts w:eastAsia="Times New Roman"/>
                <w:b/>
                <w:sz w:val="22"/>
                <w:szCs w:val="22"/>
                <w:lang w:eastAsia="en-CA"/>
              </w:rPr>
              <w:t>Rent</w:t>
            </w:r>
          </w:p>
        </w:tc>
        <w:tc>
          <w:tcPr>
            <w:tcW w:w="1224" w:type="dxa"/>
            <w:tcBorders>
              <w:top w:val="single" w:sz="4" w:space="0" w:color="auto"/>
              <w:left w:val="single" w:sz="4" w:space="0" w:color="auto"/>
              <w:bottom w:val="single" w:sz="4" w:space="0" w:color="993366"/>
              <w:right w:val="single" w:sz="4" w:space="0" w:color="333333"/>
            </w:tcBorders>
            <w:shd w:val="clear" w:color="auto" w:fill="auto"/>
            <w:vAlign w:val="bottom"/>
            <w:hideMark/>
          </w:tcPr>
          <w:p w:rsidR="005E4ECD" w:rsidRPr="00DC556F" w:rsidRDefault="005E4ECD" w:rsidP="00D54415">
            <w:pPr>
              <w:jc w:val="center"/>
              <w:rPr>
                <w:rFonts w:eastAsia="Times New Roman"/>
                <w:b/>
                <w:sz w:val="22"/>
                <w:szCs w:val="22"/>
                <w:lang w:eastAsia="en-CA"/>
              </w:rPr>
            </w:pPr>
            <w:r w:rsidRPr="00DC556F">
              <w:rPr>
                <w:rFonts w:eastAsia="Times New Roman"/>
                <w:b/>
                <w:sz w:val="22"/>
                <w:szCs w:val="22"/>
                <w:lang w:eastAsia="en-CA"/>
              </w:rPr>
              <w:t>Own</w:t>
            </w:r>
          </w:p>
        </w:tc>
        <w:tc>
          <w:tcPr>
            <w:tcW w:w="1166" w:type="dxa"/>
            <w:tcBorders>
              <w:top w:val="single" w:sz="4" w:space="0" w:color="auto"/>
              <w:left w:val="nil"/>
              <w:bottom w:val="single" w:sz="4" w:space="0" w:color="993366"/>
              <w:right w:val="single" w:sz="4" w:space="0" w:color="333333"/>
            </w:tcBorders>
            <w:shd w:val="clear" w:color="auto" w:fill="auto"/>
            <w:vAlign w:val="bottom"/>
            <w:hideMark/>
          </w:tcPr>
          <w:p w:rsidR="005E4ECD" w:rsidRPr="00DC556F" w:rsidRDefault="005E4ECD" w:rsidP="00D54415">
            <w:pPr>
              <w:jc w:val="center"/>
              <w:rPr>
                <w:rFonts w:eastAsia="Times New Roman"/>
                <w:b/>
                <w:sz w:val="22"/>
                <w:szCs w:val="22"/>
                <w:lang w:eastAsia="en-CA"/>
              </w:rPr>
            </w:pPr>
            <w:r w:rsidRPr="00DC556F">
              <w:rPr>
                <w:rFonts w:eastAsia="Times New Roman"/>
                <w:b/>
                <w:sz w:val="22"/>
                <w:szCs w:val="22"/>
                <w:lang w:eastAsia="en-CA"/>
              </w:rPr>
              <w:t>Unstably housed</w:t>
            </w:r>
          </w:p>
        </w:tc>
        <w:tc>
          <w:tcPr>
            <w:tcW w:w="1102" w:type="dxa"/>
            <w:tcBorders>
              <w:top w:val="single" w:sz="4" w:space="0" w:color="auto"/>
              <w:left w:val="nil"/>
              <w:bottom w:val="single" w:sz="4" w:space="0" w:color="993366"/>
              <w:right w:val="single" w:sz="4" w:space="0" w:color="333333"/>
            </w:tcBorders>
            <w:shd w:val="clear" w:color="auto" w:fill="auto"/>
            <w:vAlign w:val="bottom"/>
            <w:hideMark/>
          </w:tcPr>
          <w:p w:rsidR="005E4ECD" w:rsidRPr="00DC556F" w:rsidRDefault="005E4ECD" w:rsidP="00D54415">
            <w:pPr>
              <w:jc w:val="center"/>
              <w:rPr>
                <w:rFonts w:eastAsia="Times New Roman"/>
                <w:b/>
                <w:sz w:val="22"/>
                <w:szCs w:val="22"/>
                <w:lang w:eastAsia="en-CA"/>
              </w:rPr>
            </w:pPr>
            <w:r w:rsidRPr="00DC556F">
              <w:rPr>
                <w:rFonts w:eastAsia="Times New Roman"/>
                <w:b/>
                <w:sz w:val="22"/>
                <w:szCs w:val="22"/>
                <w:lang w:eastAsia="en-CA"/>
              </w:rPr>
              <w:t>Other</w:t>
            </w:r>
          </w:p>
        </w:tc>
        <w:tc>
          <w:tcPr>
            <w:tcW w:w="1276" w:type="dxa"/>
            <w:vMerge/>
            <w:tcBorders>
              <w:top w:val="nil"/>
              <w:left w:val="single" w:sz="4" w:space="0" w:color="333333"/>
              <w:bottom w:val="single" w:sz="4" w:space="0" w:color="993366"/>
              <w:right w:val="single" w:sz="4" w:space="0" w:color="auto"/>
            </w:tcBorders>
            <w:vAlign w:val="center"/>
            <w:hideMark/>
          </w:tcPr>
          <w:p w:rsidR="005E4ECD" w:rsidRPr="00DC556F" w:rsidRDefault="005E4ECD" w:rsidP="00D54415">
            <w:pPr>
              <w:rPr>
                <w:rFonts w:eastAsia="Times New Roman"/>
                <w:sz w:val="22"/>
                <w:szCs w:val="22"/>
                <w:lang w:eastAsia="en-CA"/>
              </w:rPr>
            </w:pPr>
          </w:p>
        </w:tc>
      </w:tr>
      <w:tr w:rsidR="005E4ECD" w:rsidRPr="00405253" w:rsidTr="00D54415">
        <w:trPr>
          <w:trHeight w:val="311"/>
        </w:trPr>
        <w:tc>
          <w:tcPr>
            <w:tcW w:w="2296" w:type="dxa"/>
            <w:vMerge w:val="restart"/>
            <w:tcBorders>
              <w:top w:val="single" w:sz="4" w:space="0" w:color="auto"/>
              <w:left w:val="single" w:sz="4" w:space="0" w:color="auto"/>
              <w:bottom w:val="nil"/>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Pet fines</w:t>
            </w:r>
          </w:p>
        </w:tc>
        <w:tc>
          <w:tcPr>
            <w:tcW w:w="590" w:type="dxa"/>
            <w:vMerge w:val="restart"/>
            <w:tcBorders>
              <w:top w:val="single" w:sz="4" w:space="0" w:color="auto"/>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nil"/>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30</w:t>
            </w:r>
          </w:p>
        </w:tc>
        <w:tc>
          <w:tcPr>
            <w:tcW w:w="1224" w:type="dxa"/>
            <w:tcBorders>
              <w:top w:val="nil"/>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19</w:t>
            </w:r>
          </w:p>
        </w:tc>
        <w:tc>
          <w:tcPr>
            <w:tcW w:w="1166" w:type="dxa"/>
            <w:tcBorders>
              <w:top w:val="nil"/>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w:t>
            </w:r>
          </w:p>
        </w:tc>
        <w:tc>
          <w:tcPr>
            <w:tcW w:w="1102" w:type="dxa"/>
            <w:tcBorders>
              <w:top w:val="nil"/>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276" w:type="dxa"/>
            <w:tcBorders>
              <w:top w:val="nil"/>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55</w:t>
            </w:r>
          </w:p>
        </w:tc>
      </w:tr>
      <w:tr w:rsidR="005E4ECD" w:rsidRPr="00405253" w:rsidTr="00D54415">
        <w:trPr>
          <w:trHeight w:val="216"/>
        </w:trPr>
        <w:tc>
          <w:tcPr>
            <w:tcW w:w="2296" w:type="dxa"/>
            <w:vMerge/>
            <w:tcBorders>
              <w:top w:val="nil"/>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nil"/>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20.1%</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28.8%</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5.6%</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17.5%</w:t>
            </w:r>
          </w:p>
        </w:tc>
      </w:tr>
      <w:tr w:rsidR="005E4ECD" w:rsidRPr="00405253" w:rsidTr="00D54415">
        <w:trPr>
          <w:trHeight w:val="216"/>
        </w:trPr>
        <w:tc>
          <w:tcPr>
            <w:tcW w:w="2296" w:type="dxa"/>
            <w:vMerge/>
            <w:tcBorders>
              <w:top w:val="nil"/>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119</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47</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85</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260</w:t>
            </w:r>
          </w:p>
        </w:tc>
      </w:tr>
      <w:tr w:rsidR="005E4ECD" w:rsidRPr="00405253" w:rsidTr="00D54415">
        <w:trPr>
          <w:trHeight w:val="216"/>
        </w:trPr>
        <w:tc>
          <w:tcPr>
            <w:tcW w:w="2296" w:type="dxa"/>
            <w:vMerge/>
            <w:tcBorders>
              <w:top w:val="nil"/>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79.9%</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71.2%</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94.4%</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82.5%</w:t>
            </w:r>
          </w:p>
        </w:tc>
      </w:tr>
      <w:tr w:rsidR="005E4ECD" w:rsidRPr="00405253" w:rsidTr="00D54415">
        <w:trPr>
          <w:trHeight w:val="216"/>
        </w:trPr>
        <w:tc>
          <w:tcPr>
            <w:tcW w:w="2296" w:type="dxa"/>
            <w:vMerge w:val="restart"/>
            <w:tcBorders>
              <w:top w:val="single" w:sz="4" w:space="0" w:color="993366"/>
              <w:left w:val="single" w:sz="4" w:space="0" w:color="auto"/>
              <w:bottom w:val="nil"/>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Graffiti</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w:t>
            </w:r>
          </w:p>
        </w:tc>
      </w:tr>
      <w:tr w:rsidR="005E4ECD" w:rsidRPr="00405253" w:rsidTr="00D54415">
        <w:trPr>
          <w:trHeight w:val="297"/>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0.0%</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3.3%</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1.9%</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146</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66</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87</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309</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100.0%</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96.7%</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98.1%</w:t>
            </w:r>
          </w:p>
        </w:tc>
      </w:tr>
      <w:tr w:rsidR="005E4ECD" w:rsidRPr="00405253" w:rsidTr="00D54415">
        <w:trPr>
          <w:trHeight w:val="216"/>
        </w:trPr>
        <w:tc>
          <w:tcPr>
            <w:tcW w:w="2296" w:type="dxa"/>
            <w:vMerge w:val="restart"/>
            <w:tcBorders>
              <w:top w:val="single" w:sz="4" w:space="0" w:color="993366"/>
              <w:left w:val="single" w:sz="4" w:space="0" w:color="auto"/>
              <w:bottom w:val="nil"/>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Home maintenance</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18</w:t>
            </w:r>
          </w:p>
        </w:tc>
      </w:tr>
      <w:tr w:rsidR="005E4ECD" w:rsidRPr="00405253" w:rsidTr="00D54415">
        <w:trPr>
          <w:trHeight w:val="283"/>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6.1%</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3.3%</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5.7%</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140</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62</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87</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297</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94.0%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93.9%</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96.7%</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94.3%</w:t>
            </w:r>
          </w:p>
        </w:tc>
      </w:tr>
      <w:tr w:rsidR="005E4ECD" w:rsidRPr="00405253" w:rsidTr="00D54415">
        <w:trPr>
          <w:trHeight w:val="216"/>
        </w:trPr>
        <w:tc>
          <w:tcPr>
            <w:tcW w:w="2296" w:type="dxa"/>
            <w:vMerge w:val="restart"/>
            <w:tcBorders>
              <w:top w:val="single" w:sz="4" w:space="0" w:color="993366"/>
              <w:left w:val="single" w:sz="4" w:space="0" w:color="auto"/>
              <w:bottom w:val="nil"/>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Littering</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22</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3.0%</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7.0%</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140</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64</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81</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293</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94.0%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97.0%</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90.0%</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93.0%</w:t>
            </w:r>
          </w:p>
        </w:tc>
      </w:tr>
      <w:tr w:rsidR="005E4ECD" w:rsidRPr="00405253" w:rsidTr="00D54415">
        <w:trPr>
          <w:trHeight w:val="216"/>
        </w:trPr>
        <w:tc>
          <w:tcPr>
            <w:tcW w:w="2296" w:type="dxa"/>
            <w:vMerge w:val="restart"/>
            <w:tcBorders>
              <w:top w:val="single" w:sz="4" w:space="0" w:color="993366"/>
              <w:left w:val="single" w:sz="4" w:space="0" w:color="auto"/>
              <w:bottom w:val="nil"/>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Noise</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16</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7.8%</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5.1%</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143</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63</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83</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299</w:t>
            </w:r>
          </w:p>
        </w:tc>
      </w:tr>
      <w:tr w:rsidR="005E4ECD" w:rsidRPr="00405253" w:rsidTr="00D54415">
        <w:trPr>
          <w:trHeight w:val="255"/>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96.0%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95.5%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92.2%</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94.9%</w:t>
            </w:r>
          </w:p>
        </w:tc>
      </w:tr>
      <w:tr w:rsidR="005E4ECD" w:rsidRPr="00405253" w:rsidTr="00D54415">
        <w:trPr>
          <w:trHeight w:val="216"/>
        </w:trPr>
        <w:tc>
          <w:tcPr>
            <w:tcW w:w="2296" w:type="dxa"/>
            <w:vMerge w:val="restart"/>
            <w:tcBorders>
              <w:top w:val="single" w:sz="4" w:space="0" w:color="993366"/>
              <w:left w:val="single" w:sz="4" w:space="0" w:color="auto"/>
              <w:bottom w:val="nil"/>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Panhandling</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11</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12.2%</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6.3%</w:t>
            </w:r>
          </w:p>
        </w:tc>
      </w:tr>
      <w:tr w:rsidR="005E4ECD" w:rsidRPr="00405253" w:rsidTr="00D54415">
        <w:trPr>
          <w:trHeight w:val="216"/>
        </w:trPr>
        <w:tc>
          <w:tcPr>
            <w:tcW w:w="2296" w:type="dxa"/>
            <w:vMerge/>
            <w:tcBorders>
              <w:top w:val="single" w:sz="4" w:space="0" w:color="993366"/>
              <w:left w:val="single" w:sz="4" w:space="0" w:color="auto"/>
              <w:bottom w:val="nil"/>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143</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65</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79</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295</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96.0%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87.8%</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nil"/>
              <w:left w:val="nil"/>
              <w:bottom w:val="single" w:sz="4" w:space="0" w:color="993366"/>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93.7%</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993366"/>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Fighting</w:t>
            </w:r>
          </w:p>
        </w:tc>
        <w:tc>
          <w:tcPr>
            <w:tcW w:w="590" w:type="dxa"/>
            <w:vMerge w:val="restart"/>
            <w:tcBorders>
              <w:top w:val="single" w:sz="4" w:space="0" w:color="993366"/>
              <w:left w:val="nil"/>
              <w:bottom w:val="single" w:sz="4" w:space="0" w:color="auto"/>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w:t>
            </w:r>
          </w:p>
        </w:tc>
        <w:tc>
          <w:tcPr>
            <w:tcW w:w="1224" w:type="dxa"/>
            <w:tcBorders>
              <w:top w:val="single" w:sz="4" w:space="0" w:color="993366"/>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w:t>
            </w:r>
          </w:p>
        </w:tc>
        <w:tc>
          <w:tcPr>
            <w:tcW w:w="1166" w:type="dxa"/>
            <w:tcBorders>
              <w:top w:val="single" w:sz="4" w:space="0" w:color="993366"/>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w:t>
            </w:r>
          </w:p>
        </w:tc>
        <w:tc>
          <w:tcPr>
            <w:tcW w:w="1102" w:type="dxa"/>
            <w:tcBorders>
              <w:top w:val="single" w:sz="4" w:space="0" w:color="993366"/>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auto"/>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22</w:t>
            </w:r>
          </w:p>
        </w:tc>
      </w:tr>
      <w:tr w:rsidR="005E4ECD" w:rsidRPr="00405253" w:rsidTr="00D54415">
        <w:trPr>
          <w:trHeight w:val="216"/>
        </w:trPr>
        <w:tc>
          <w:tcPr>
            <w:tcW w:w="2296" w:type="dxa"/>
            <w:vMerge/>
            <w:tcBorders>
              <w:top w:val="single" w:sz="4" w:space="0" w:color="auto"/>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auto"/>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single" w:sz="4" w:space="0" w:color="auto"/>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6.7%</w:t>
            </w:r>
          </w:p>
        </w:tc>
        <w:tc>
          <w:tcPr>
            <w:tcW w:w="1224" w:type="dxa"/>
            <w:tcBorders>
              <w:top w:val="single" w:sz="4" w:space="0" w:color="auto"/>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0.0%</w:t>
            </w:r>
          </w:p>
        </w:tc>
        <w:tc>
          <w:tcPr>
            <w:tcW w:w="1166" w:type="dxa"/>
            <w:tcBorders>
              <w:top w:val="single" w:sz="4" w:space="0" w:color="auto"/>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11.1%</w:t>
            </w:r>
          </w:p>
        </w:tc>
        <w:tc>
          <w:tcPr>
            <w:tcW w:w="1102" w:type="dxa"/>
            <w:tcBorders>
              <w:top w:val="single" w:sz="4" w:space="0" w:color="auto"/>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single" w:sz="4" w:space="0" w:color="auto"/>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7.0%</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139</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66</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293</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93.3%</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100.0%</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88.9%</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93.0%</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993366"/>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Public urination/defecation</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17</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23</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2.7%</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18.9%</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7.3%</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145</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65</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73</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292</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97.3%</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81.1%</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92.7%</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993366"/>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Public intoxication</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33</w:t>
            </w:r>
          </w:p>
        </w:tc>
      </w:tr>
      <w:tr w:rsidR="005E4ECD" w:rsidRPr="00405253" w:rsidTr="00D54415">
        <w:trPr>
          <w:trHeight w:val="25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6.7%</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22.2%</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10.5%</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139</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65</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70</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282</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93.3%</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77.8%</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89.5%</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993366"/>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Spitting</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17</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8.9%</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5.4%</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143</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65</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82</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298</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96.0%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91.1%</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94.6%</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993366"/>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Loitering</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19</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32</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21.1%</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10.2%</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143</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65</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71</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283</w:t>
            </w:r>
          </w:p>
        </w:tc>
      </w:tr>
      <w:tr w:rsidR="005E4ECD" w:rsidRPr="00405253" w:rsidTr="00D54415">
        <w:trPr>
          <w:trHeight w:val="241"/>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96.0%</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98.5%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78.9%</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89.8%</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993366"/>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Transit</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92</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32</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72</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205</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993366"/>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61.7%</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48.5%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65.1%</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val="restart"/>
            <w:tcBorders>
              <w:top w:val="single" w:sz="4" w:space="0" w:color="C0C0C0"/>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57</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34</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18</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110</w:t>
            </w:r>
          </w:p>
        </w:tc>
      </w:tr>
      <w:tr w:rsidR="005E4ECD" w:rsidRPr="00405253" w:rsidTr="00D54415">
        <w:trPr>
          <w:trHeight w:val="216"/>
        </w:trPr>
        <w:tc>
          <w:tcPr>
            <w:tcW w:w="2296" w:type="dxa"/>
            <w:vMerge/>
            <w:tcBorders>
              <w:top w:val="single" w:sz="4" w:space="0" w:color="993366"/>
              <w:left w:val="single" w:sz="4" w:space="0" w:color="auto"/>
              <w:bottom w:val="single" w:sz="4" w:space="0" w:color="993366"/>
              <w:right w:val="nil"/>
            </w:tcBorders>
            <w:shd w:val="clear" w:color="auto" w:fill="D9D9D9" w:themeFill="background1" w:themeFillShade="D9"/>
            <w:vAlign w:val="center"/>
            <w:hideMark/>
          </w:tcPr>
          <w:p w:rsidR="005E4ECD" w:rsidRPr="00DC556F" w:rsidRDefault="005E4ECD" w:rsidP="00D54415">
            <w:pPr>
              <w:rPr>
                <w:rFonts w:eastAsia="Times New Roman"/>
                <w:b/>
                <w:sz w:val="22"/>
                <w:szCs w:val="22"/>
                <w:lang w:eastAsia="en-CA"/>
              </w:rPr>
            </w:pPr>
          </w:p>
        </w:tc>
        <w:tc>
          <w:tcPr>
            <w:tcW w:w="590" w:type="dxa"/>
            <w:vMerge/>
            <w:tcBorders>
              <w:top w:val="single" w:sz="4" w:space="0" w:color="C0C0C0"/>
              <w:left w:val="nil"/>
              <w:bottom w:val="nil"/>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38.3%</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51.5%</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34.9%</w:t>
            </w:r>
          </w:p>
        </w:tc>
      </w:tr>
      <w:tr w:rsidR="005E4ECD" w:rsidRPr="00405253" w:rsidTr="00D54415">
        <w:trPr>
          <w:trHeight w:val="216"/>
        </w:trPr>
        <w:tc>
          <w:tcPr>
            <w:tcW w:w="2296" w:type="dxa"/>
            <w:vMerge w:val="restart"/>
            <w:tcBorders>
              <w:top w:val="single" w:sz="4" w:space="0" w:color="993366"/>
              <w:left w:val="single" w:sz="4" w:space="0" w:color="auto"/>
              <w:bottom w:val="single" w:sz="4" w:space="0" w:color="auto"/>
              <w:right w:val="nil"/>
            </w:tcBorders>
            <w:shd w:val="clear" w:color="auto" w:fill="D9D9D9" w:themeFill="background1" w:themeFillShade="D9"/>
            <w:hideMark/>
          </w:tcPr>
          <w:p w:rsidR="005E4ECD" w:rsidRPr="00DC556F" w:rsidRDefault="005E4ECD" w:rsidP="00D54415">
            <w:pPr>
              <w:rPr>
                <w:rFonts w:eastAsia="Times New Roman"/>
                <w:b/>
                <w:sz w:val="22"/>
                <w:szCs w:val="22"/>
                <w:lang w:eastAsia="en-CA"/>
              </w:rPr>
            </w:pPr>
            <w:r w:rsidRPr="00DC556F">
              <w:rPr>
                <w:rFonts w:eastAsia="Times New Roman"/>
                <w:b/>
                <w:sz w:val="22"/>
                <w:szCs w:val="22"/>
                <w:lang w:eastAsia="en-CA"/>
              </w:rPr>
              <w:t>Other bylaw</w:t>
            </w:r>
          </w:p>
        </w:tc>
        <w:tc>
          <w:tcPr>
            <w:tcW w:w="590" w:type="dxa"/>
            <w:vMerge w:val="restart"/>
            <w:tcBorders>
              <w:top w:val="single" w:sz="4" w:space="0" w:color="993366"/>
              <w:left w:val="nil"/>
              <w:bottom w:val="nil"/>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Yes</w:t>
            </w:r>
          </w:p>
        </w:tc>
        <w:tc>
          <w:tcPr>
            <w:tcW w:w="1135" w:type="dxa"/>
            <w:gridSpan w:val="2"/>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13</w:t>
            </w:r>
          </w:p>
        </w:tc>
        <w:tc>
          <w:tcPr>
            <w:tcW w:w="1224"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w:t>
            </w:r>
          </w:p>
        </w:tc>
        <w:tc>
          <w:tcPr>
            <w:tcW w:w="1166"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w:t>
            </w:r>
          </w:p>
        </w:tc>
        <w:tc>
          <w:tcPr>
            <w:tcW w:w="1102" w:type="dxa"/>
            <w:tcBorders>
              <w:top w:val="single" w:sz="4" w:space="0" w:color="993366"/>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w:t>
            </w:r>
          </w:p>
        </w:tc>
        <w:tc>
          <w:tcPr>
            <w:tcW w:w="1276" w:type="dxa"/>
            <w:tcBorders>
              <w:top w:val="single" w:sz="4" w:space="0" w:color="993366"/>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31</w:t>
            </w:r>
          </w:p>
        </w:tc>
      </w:tr>
      <w:tr w:rsidR="005E4ECD" w:rsidRPr="00405253" w:rsidTr="00D54415">
        <w:trPr>
          <w:trHeight w:val="216"/>
        </w:trPr>
        <w:tc>
          <w:tcPr>
            <w:tcW w:w="229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590" w:type="dxa"/>
            <w:vMerge/>
            <w:tcBorders>
              <w:top w:val="single" w:sz="4" w:space="0" w:color="993366"/>
              <w:left w:val="nil"/>
              <w:bottom w:val="single" w:sz="4" w:space="0" w:color="C0C0C0"/>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8.9%</w:t>
            </w:r>
          </w:p>
        </w:tc>
        <w:tc>
          <w:tcPr>
            <w:tcW w:w="1224"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13.6%</w:t>
            </w:r>
          </w:p>
        </w:tc>
        <w:tc>
          <w:tcPr>
            <w:tcW w:w="1166"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7.9%</w:t>
            </w:r>
          </w:p>
        </w:tc>
        <w:tc>
          <w:tcPr>
            <w:tcW w:w="1102" w:type="dxa"/>
            <w:tcBorders>
              <w:top w:val="nil"/>
              <w:left w:val="nil"/>
              <w:bottom w:val="nil"/>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20.0%</w:t>
            </w:r>
          </w:p>
        </w:tc>
        <w:tc>
          <w:tcPr>
            <w:tcW w:w="1276" w:type="dxa"/>
            <w:tcBorders>
              <w:top w:val="nil"/>
              <w:left w:val="nil"/>
              <w:bottom w:val="nil"/>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10.0%</w:t>
            </w:r>
          </w:p>
        </w:tc>
      </w:tr>
      <w:tr w:rsidR="005E4ECD" w:rsidRPr="00405253" w:rsidTr="00D54415">
        <w:trPr>
          <w:trHeight w:val="216"/>
        </w:trPr>
        <w:tc>
          <w:tcPr>
            <w:tcW w:w="229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590" w:type="dxa"/>
            <w:vMerge w:val="restart"/>
            <w:tcBorders>
              <w:top w:val="single" w:sz="4" w:space="0" w:color="C0C0C0"/>
              <w:left w:val="nil"/>
              <w:bottom w:val="single" w:sz="4" w:space="0" w:color="auto"/>
              <w:right w:val="nil"/>
            </w:tcBorders>
            <w:shd w:val="clear" w:color="auto" w:fill="D9D9D9" w:themeFill="background1" w:themeFillShade="D9"/>
            <w:hideMark/>
          </w:tcPr>
          <w:p w:rsidR="005E4ECD" w:rsidRPr="00DC556F" w:rsidRDefault="005E4ECD" w:rsidP="00D54415">
            <w:pPr>
              <w:rPr>
                <w:rFonts w:eastAsia="Times New Roman"/>
                <w:sz w:val="22"/>
                <w:szCs w:val="22"/>
                <w:lang w:eastAsia="en-CA"/>
              </w:rPr>
            </w:pPr>
            <w:r w:rsidRPr="00DC556F">
              <w:rPr>
                <w:rFonts w:eastAsia="Times New Roman"/>
                <w:sz w:val="22"/>
                <w:szCs w:val="22"/>
                <w:lang w:eastAsia="en-CA"/>
              </w:rPr>
              <w:t>No</w:t>
            </w:r>
          </w:p>
        </w:tc>
        <w:tc>
          <w:tcPr>
            <w:tcW w:w="1135" w:type="dxa"/>
            <w:gridSpan w:val="2"/>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133</w:t>
            </w:r>
          </w:p>
        </w:tc>
        <w:tc>
          <w:tcPr>
            <w:tcW w:w="1224"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57</w:t>
            </w:r>
          </w:p>
        </w:tc>
        <w:tc>
          <w:tcPr>
            <w:tcW w:w="1166"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82</w:t>
            </w:r>
          </w:p>
        </w:tc>
        <w:tc>
          <w:tcPr>
            <w:tcW w:w="1102" w:type="dxa"/>
            <w:tcBorders>
              <w:top w:val="single" w:sz="4" w:space="0" w:color="C0C0C0"/>
              <w:left w:val="nil"/>
              <w:bottom w:val="single" w:sz="4" w:space="0" w:color="C0C0C0"/>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w:t>
            </w:r>
          </w:p>
        </w:tc>
        <w:tc>
          <w:tcPr>
            <w:tcW w:w="1276" w:type="dxa"/>
            <w:tcBorders>
              <w:top w:val="single" w:sz="4" w:space="0" w:color="C0C0C0"/>
              <w:left w:val="nil"/>
              <w:bottom w:val="single" w:sz="4" w:space="0" w:color="C0C0C0"/>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280</w:t>
            </w:r>
          </w:p>
        </w:tc>
      </w:tr>
      <w:tr w:rsidR="005E4ECD" w:rsidRPr="00405253" w:rsidTr="00D54415">
        <w:trPr>
          <w:trHeight w:val="241"/>
        </w:trPr>
        <w:tc>
          <w:tcPr>
            <w:tcW w:w="229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590" w:type="dxa"/>
            <w:vMerge/>
            <w:tcBorders>
              <w:top w:val="single" w:sz="4" w:space="0" w:color="C0C0C0"/>
              <w:left w:val="nil"/>
              <w:bottom w:val="single" w:sz="4" w:space="0" w:color="auto"/>
              <w:right w:val="nil"/>
            </w:tcBorders>
            <w:shd w:val="clear" w:color="auto" w:fill="D9D9D9" w:themeFill="background1" w:themeFillShade="D9"/>
            <w:vAlign w:val="center"/>
            <w:hideMark/>
          </w:tcPr>
          <w:p w:rsidR="005E4ECD" w:rsidRPr="00DC556F" w:rsidRDefault="005E4ECD" w:rsidP="00D54415">
            <w:pPr>
              <w:rPr>
                <w:rFonts w:eastAsia="Times New Roman"/>
                <w:sz w:val="22"/>
                <w:szCs w:val="22"/>
                <w:lang w:eastAsia="en-CA"/>
              </w:rPr>
            </w:pPr>
          </w:p>
        </w:tc>
        <w:tc>
          <w:tcPr>
            <w:tcW w:w="1135" w:type="dxa"/>
            <w:gridSpan w:val="2"/>
            <w:tcBorders>
              <w:top w:val="single" w:sz="4" w:space="0" w:color="C0C0C0"/>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91.1%</w:t>
            </w:r>
          </w:p>
        </w:tc>
        <w:tc>
          <w:tcPr>
            <w:tcW w:w="1224" w:type="dxa"/>
            <w:tcBorders>
              <w:top w:val="single" w:sz="4" w:space="0" w:color="C0C0C0"/>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86.4%</w:t>
            </w:r>
          </w:p>
        </w:tc>
        <w:tc>
          <w:tcPr>
            <w:tcW w:w="1166" w:type="dxa"/>
            <w:tcBorders>
              <w:top w:val="single" w:sz="4" w:space="0" w:color="C0C0C0"/>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92.1%</w:t>
            </w:r>
          </w:p>
        </w:tc>
        <w:tc>
          <w:tcPr>
            <w:tcW w:w="1102" w:type="dxa"/>
            <w:tcBorders>
              <w:top w:val="single" w:sz="4" w:space="0" w:color="C0C0C0"/>
              <w:left w:val="nil"/>
              <w:bottom w:val="single" w:sz="4" w:space="0" w:color="auto"/>
              <w:right w:val="single" w:sz="4" w:space="0" w:color="333333"/>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80.0%</w:t>
            </w:r>
          </w:p>
        </w:tc>
        <w:tc>
          <w:tcPr>
            <w:tcW w:w="1276" w:type="dxa"/>
            <w:tcBorders>
              <w:top w:val="single" w:sz="4" w:space="0" w:color="C0C0C0"/>
              <w:left w:val="nil"/>
              <w:bottom w:val="single" w:sz="4" w:space="0" w:color="auto"/>
              <w:right w:val="single" w:sz="4" w:space="0" w:color="auto"/>
            </w:tcBorders>
            <w:shd w:val="clear" w:color="auto" w:fill="auto"/>
            <w:noWrap/>
            <w:hideMark/>
          </w:tcPr>
          <w:p w:rsidR="005E4ECD" w:rsidRPr="00DC556F" w:rsidRDefault="005E4ECD" w:rsidP="00D54415">
            <w:pPr>
              <w:jc w:val="right"/>
              <w:rPr>
                <w:rFonts w:eastAsia="Times New Roman"/>
                <w:sz w:val="22"/>
                <w:szCs w:val="22"/>
                <w:lang w:eastAsia="en-CA"/>
              </w:rPr>
            </w:pPr>
            <w:r w:rsidRPr="00DC556F">
              <w:rPr>
                <w:rFonts w:eastAsia="Times New Roman"/>
                <w:sz w:val="22"/>
                <w:szCs w:val="22"/>
                <w:lang w:eastAsia="en-CA"/>
              </w:rPr>
              <w:t>90.0%</w:t>
            </w:r>
          </w:p>
        </w:tc>
      </w:tr>
    </w:tbl>
    <w:p w:rsidR="005E4ECD" w:rsidRPr="00C32252" w:rsidRDefault="005E4ECD" w:rsidP="005E4ECD"/>
    <w:p w:rsidR="005E4ECD" w:rsidRPr="00072195" w:rsidRDefault="005E4ECD" w:rsidP="00072195">
      <w:pPr>
        <w:autoSpaceDE w:val="0"/>
        <w:autoSpaceDN w:val="0"/>
        <w:adjustRightInd w:val="0"/>
      </w:pPr>
    </w:p>
    <w:sectPr w:rsidR="005E4ECD" w:rsidRPr="00072195" w:rsidSect="00E54483">
      <w:footerReference w:type="even" r:id="rId13"/>
      <w:footerReference w:type="default" r:id="rId14"/>
      <w:pgSz w:w="12240" w:h="15840"/>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8D" w:rsidRDefault="00070E8D" w:rsidP="006B2994">
      <w:r>
        <w:separator/>
      </w:r>
    </w:p>
  </w:endnote>
  <w:endnote w:type="continuationSeparator" w:id="0">
    <w:p w:rsidR="00070E8D" w:rsidRDefault="00070E8D" w:rsidP="006B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EA" w:rsidRDefault="00A808EA" w:rsidP="00B722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8EA" w:rsidRDefault="00A80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EA" w:rsidRDefault="00A808EA" w:rsidP="00B722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A0C">
      <w:rPr>
        <w:rStyle w:val="PageNumber"/>
        <w:noProof/>
      </w:rPr>
      <w:t>- 2 -</w:t>
    </w:r>
    <w:r>
      <w:rPr>
        <w:rStyle w:val="PageNumber"/>
      </w:rPr>
      <w:fldChar w:fldCharType="end"/>
    </w:r>
  </w:p>
  <w:p w:rsidR="00A808EA" w:rsidRDefault="00A80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8D" w:rsidRDefault="00070E8D" w:rsidP="006B2994">
      <w:r>
        <w:separator/>
      </w:r>
    </w:p>
  </w:footnote>
  <w:footnote w:type="continuationSeparator" w:id="0">
    <w:p w:rsidR="00070E8D" w:rsidRDefault="00070E8D" w:rsidP="006B2994">
      <w:r>
        <w:continuationSeparator/>
      </w:r>
    </w:p>
  </w:footnote>
  <w:footnote w:id="1">
    <w:p w:rsidR="00A808EA" w:rsidRDefault="00A808EA" w:rsidP="005C75F6">
      <w:pPr>
        <w:pStyle w:val="FootnoteText"/>
      </w:pPr>
      <w:r>
        <w:rPr>
          <w:rStyle w:val="FootnoteReference"/>
        </w:rPr>
        <w:footnoteRef/>
      </w:r>
      <w:r>
        <w:t xml:space="preserve"> </w:t>
      </w:r>
      <w:r w:rsidRPr="00F62068">
        <w:rPr>
          <w:rFonts w:ascii="Times New Roman" w:hAnsi="Times New Roman" w:cs="Times New Roman"/>
        </w:rPr>
        <w:t xml:space="preserve">This percentage may be an underestimate of the number of respondents who are below the LICO rate. This is because </w:t>
      </w:r>
      <w:r>
        <w:rPr>
          <w:rFonts w:ascii="Times New Roman" w:hAnsi="Times New Roman" w:cs="Times New Roman"/>
        </w:rPr>
        <w:t xml:space="preserve">of how income was measured as </w:t>
      </w:r>
      <w:r w:rsidRPr="00F62068">
        <w:rPr>
          <w:rFonts w:ascii="Times New Roman" w:hAnsi="Times New Roman" w:cs="Times New Roman"/>
        </w:rPr>
        <w:t>we are unable to identify whether or not participants were above or below the LICO rate in the $50,000-$70,000 range as the LICO cut-off for families of five or more fall between this income measure.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928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3E80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D6EA0"/>
    <w:multiLevelType w:val="hybridMultilevel"/>
    <w:tmpl w:val="561CD3FC"/>
    <w:lvl w:ilvl="0" w:tplc="2BA0EA4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785"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C7124"/>
    <w:multiLevelType w:val="hybridMultilevel"/>
    <w:tmpl w:val="614C08A8"/>
    <w:lvl w:ilvl="0" w:tplc="E49E19DC">
      <w:start w:val="1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B574E"/>
    <w:multiLevelType w:val="hybridMultilevel"/>
    <w:tmpl w:val="332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500D7"/>
    <w:multiLevelType w:val="multilevel"/>
    <w:tmpl w:val="DDE6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617CC"/>
    <w:multiLevelType w:val="hybridMultilevel"/>
    <w:tmpl w:val="7ADC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F1DBF"/>
    <w:multiLevelType w:val="multilevel"/>
    <w:tmpl w:val="C064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921C8"/>
    <w:multiLevelType w:val="multilevel"/>
    <w:tmpl w:val="7EE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2188E"/>
    <w:multiLevelType w:val="hybridMultilevel"/>
    <w:tmpl w:val="17DCCFDA"/>
    <w:lvl w:ilvl="0" w:tplc="97343A42">
      <w:numFmt w:val="bullet"/>
      <w:lvlText w:val="-"/>
      <w:lvlJc w:val="left"/>
      <w:pPr>
        <w:ind w:left="720" w:hanging="360"/>
      </w:pPr>
      <w:rPr>
        <w:rFonts w:ascii="Calibri" w:eastAsiaTheme="minorHAnsi" w:hAnsi="Calibri" w:cstheme="minorBidi" w:hint="default"/>
        <w:color w:val="auto"/>
        <w:u w:val="none"/>
      </w:rPr>
    </w:lvl>
    <w:lvl w:ilvl="1" w:tplc="10090003">
      <w:start w:val="1"/>
      <w:numFmt w:val="bullet"/>
      <w:lvlText w:val="o"/>
      <w:lvlJc w:val="left"/>
      <w:pPr>
        <w:ind w:left="1440" w:hanging="360"/>
      </w:pPr>
      <w:rPr>
        <w:rFonts w:ascii="Courier New" w:hAnsi="Courier New" w:cs="Courier New" w:hint="default"/>
      </w:rPr>
    </w:lvl>
    <w:lvl w:ilvl="2" w:tplc="70B2F564">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023A7F"/>
    <w:multiLevelType w:val="hybridMultilevel"/>
    <w:tmpl w:val="95CADA7E"/>
    <w:lvl w:ilvl="0" w:tplc="532AF752">
      <w:start w:val="10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674514"/>
    <w:multiLevelType w:val="hybridMultilevel"/>
    <w:tmpl w:val="D004CD96"/>
    <w:lvl w:ilvl="0" w:tplc="D116E312">
      <w:start w:val="10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3"/>
  </w:num>
  <w:num w:numId="6">
    <w:abstractNumId w:val="6"/>
  </w:num>
  <w:num w:numId="7">
    <w:abstractNumId w:val="1"/>
  </w:num>
  <w:num w:numId="8">
    <w:abstractNumId w:val="4"/>
  </w:num>
  <w:num w:numId="9">
    <w:abstractNumId w:val="8"/>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4E"/>
    <w:rsid w:val="000023F1"/>
    <w:rsid w:val="000050A1"/>
    <w:rsid w:val="000050DE"/>
    <w:rsid w:val="00013595"/>
    <w:rsid w:val="000147F1"/>
    <w:rsid w:val="000160B0"/>
    <w:rsid w:val="00016B11"/>
    <w:rsid w:val="00020F95"/>
    <w:rsid w:val="00021448"/>
    <w:rsid w:val="00021D7C"/>
    <w:rsid w:val="000319A8"/>
    <w:rsid w:val="00031DC2"/>
    <w:rsid w:val="00034962"/>
    <w:rsid w:val="00035337"/>
    <w:rsid w:val="00036C58"/>
    <w:rsid w:val="000416C3"/>
    <w:rsid w:val="000418D7"/>
    <w:rsid w:val="00043203"/>
    <w:rsid w:val="00043875"/>
    <w:rsid w:val="0004486F"/>
    <w:rsid w:val="000643D2"/>
    <w:rsid w:val="00065B96"/>
    <w:rsid w:val="00070E8D"/>
    <w:rsid w:val="00071AE8"/>
    <w:rsid w:val="00072195"/>
    <w:rsid w:val="00074370"/>
    <w:rsid w:val="0008043F"/>
    <w:rsid w:val="000841CC"/>
    <w:rsid w:val="00086E2B"/>
    <w:rsid w:val="000912CA"/>
    <w:rsid w:val="000922EB"/>
    <w:rsid w:val="0009252E"/>
    <w:rsid w:val="00093625"/>
    <w:rsid w:val="000A1DB6"/>
    <w:rsid w:val="000B6148"/>
    <w:rsid w:val="000B6494"/>
    <w:rsid w:val="000B71AC"/>
    <w:rsid w:val="000C07BE"/>
    <w:rsid w:val="000C29ED"/>
    <w:rsid w:val="000C4E34"/>
    <w:rsid w:val="000D08BF"/>
    <w:rsid w:val="000D1E54"/>
    <w:rsid w:val="000D294F"/>
    <w:rsid w:val="000D34B0"/>
    <w:rsid w:val="000D45E6"/>
    <w:rsid w:val="000E36C1"/>
    <w:rsid w:val="000E7CE3"/>
    <w:rsid w:val="000E7EA9"/>
    <w:rsid w:val="000F017C"/>
    <w:rsid w:val="000F16C3"/>
    <w:rsid w:val="000F66F1"/>
    <w:rsid w:val="00101BBC"/>
    <w:rsid w:val="001044DB"/>
    <w:rsid w:val="00104C57"/>
    <w:rsid w:val="001066BF"/>
    <w:rsid w:val="00113CBF"/>
    <w:rsid w:val="00115BB4"/>
    <w:rsid w:val="001222AD"/>
    <w:rsid w:val="00130870"/>
    <w:rsid w:val="00131A81"/>
    <w:rsid w:val="00141FAC"/>
    <w:rsid w:val="001427BB"/>
    <w:rsid w:val="001432D2"/>
    <w:rsid w:val="0014339D"/>
    <w:rsid w:val="00144C6C"/>
    <w:rsid w:val="00150D1E"/>
    <w:rsid w:val="00152929"/>
    <w:rsid w:val="00153D14"/>
    <w:rsid w:val="001567FC"/>
    <w:rsid w:val="00165C56"/>
    <w:rsid w:val="00172A85"/>
    <w:rsid w:val="00180AEE"/>
    <w:rsid w:val="00183303"/>
    <w:rsid w:val="001918C2"/>
    <w:rsid w:val="0019426A"/>
    <w:rsid w:val="001949EF"/>
    <w:rsid w:val="00196AC4"/>
    <w:rsid w:val="001978C2"/>
    <w:rsid w:val="001A0816"/>
    <w:rsid w:val="001A344D"/>
    <w:rsid w:val="001A6FCD"/>
    <w:rsid w:val="001B1F8C"/>
    <w:rsid w:val="001B7CBB"/>
    <w:rsid w:val="001D1FE4"/>
    <w:rsid w:val="001D2C50"/>
    <w:rsid w:val="001D438C"/>
    <w:rsid w:val="001E68DA"/>
    <w:rsid w:val="001F51F5"/>
    <w:rsid w:val="001F521D"/>
    <w:rsid w:val="0020359E"/>
    <w:rsid w:val="00207A6B"/>
    <w:rsid w:val="00207DD1"/>
    <w:rsid w:val="00222C74"/>
    <w:rsid w:val="00223F71"/>
    <w:rsid w:val="002241C5"/>
    <w:rsid w:val="00226112"/>
    <w:rsid w:val="00227E2B"/>
    <w:rsid w:val="0023301B"/>
    <w:rsid w:val="00235055"/>
    <w:rsid w:val="00235C39"/>
    <w:rsid w:val="002376E8"/>
    <w:rsid w:val="00242DC9"/>
    <w:rsid w:val="00242E8E"/>
    <w:rsid w:val="00245DC6"/>
    <w:rsid w:val="0024684B"/>
    <w:rsid w:val="002502B0"/>
    <w:rsid w:val="002503AF"/>
    <w:rsid w:val="00250986"/>
    <w:rsid w:val="00253961"/>
    <w:rsid w:val="00262AFD"/>
    <w:rsid w:val="002631F9"/>
    <w:rsid w:val="00264B80"/>
    <w:rsid w:val="00272AF9"/>
    <w:rsid w:val="002737F0"/>
    <w:rsid w:val="00276838"/>
    <w:rsid w:val="00276B8B"/>
    <w:rsid w:val="00283993"/>
    <w:rsid w:val="002850B2"/>
    <w:rsid w:val="00290C80"/>
    <w:rsid w:val="00293F36"/>
    <w:rsid w:val="00297FBF"/>
    <w:rsid w:val="002A5902"/>
    <w:rsid w:val="002B30EF"/>
    <w:rsid w:val="002B6916"/>
    <w:rsid w:val="002B73DE"/>
    <w:rsid w:val="002B7B11"/>
    <w:rsid w:val="002B7C8C"/>
    <w:rsid w:val="002C1D3D"/>
    <w:rsid w:val="002C5A87"/>
    <w:rsid w:val="002C5F8F"/>
    <w:rsid w:val="002D07EE"/>
    <w:rsid w:val="002D4124"/>
    <w:rsid w:val="002E39C6"/>
    <w:rsid w:val="002E5527"/>
    <w:rsid w:val="002F2789"/>
    <w:rsid w:val="002F5E03"/>
    <w:rsid w:val="00301218"/>
    <w:rsid w:val="00302BDF"/>
    <w:rsid w:val="00304A1A"/>
    <w:rsid w:val="00304DAE"/>
    <w:rsid w:val="003052CB"/>
    <w:rsid w:val="00310939"/>
    <w:rsid w:val="003129BB"/>
    <w:rsid w:val="0031337A"/>
    <w:rsid w:val="00321336"/>
    <w:rsid w:val="00325B39"/>
    <w:rsid w:val="00331483"/>
    <w:rsid w:val="00335451"/>
    <w:rsid w:val="003434D8"/>
    <w:rsid w:val="00347806"/>
    <w:rsid w:val="00354A0C"/>
    <w:rsid w:val="00355607"/>
    <w:rsid w:val="00357A2E"/>
    <w:rsid w:val="0036161E"/>
    <w:rsid w:val="00361991"/>
    <w:rsid w:val="00365F34"/>
    <w:rsid w:val="00370EE3"/>
    <w:rsid w:val="003800EF"/>
    <w:rsid w:val="00382A28"/>
    <w:rsid w:val="00385D02"/>
    <w:rsid w:val="003935CE"/>
    <w:rsid w:val="00393BD9"/>
    <w:rsid w:val="003952B9"/>
    <w:rsid w:val="00396496"/>
    <w:rsid w:val="003968BA"/>
    <w:rsid w:val="0039778B"/>
    <w:rsid w:val="003A4D2C"/>
    <w:rsid w:val="003A518C"/>
    <w:rsid w:val="003A5CD2"/>
    <w:rsid w:val="003C6928"/>
    <w:rsid w:val="003C76E0"/>
    <w:rsid w:val="003D1530"/>
    <w:rsid w:val="003E278A"/>
    <w:rsid w:val="003E3A64"/>
    <w:rsid w:val="003E421E"/>
    <w:rsid w:val="003E453B"/>
    <w:rsid w:val="003E459A"/>
    <w:rsid w:val="003E6CD6"/>
    <w:rsid w:val="003F615E"/>
    <w:rsid w:val="003F663A"/>
    <w:rsid w:val="003F75A4"/>
    <w:rsid w:val="003F7D39"/>
    <w:rsid w:val="00402179"/>
    <w:rsid w:val="004024BD"/>
    <w:rsid w:val="004049F8"/>
    <w:rsid w:val="00405253"/>
    <w:rsid w:val="0040558D"/>
    <w:rsid w:val="00410566"/>
    <w:rsid w:val="00411208"/>
    <w:rsid w:val="004144F2"/>
    <w:rsid w:val="00422DE1"/>
    <w:rsid w:val="00424131"/>
    <w:rsid w:val="00424775"/>
    <w:rsid w:val="004250CE"/>
    <w:rsid w:val="00433757"/>
    <w:rsid w:val="00436375"/>
    <w:rsid w:val="0043708D"/>
    <w:rsid w:val="00440F91"/>
    <w:rsid w:val="0044766C"/>
    <w:rsid w:val="0046058A"/>
    <w:rsid w:val="00460B8B"/>
    <w:rsid w:val="00464752"/>
    <w:rsid w:val="00465FD6"/>
    <w:rsid w:val="00471BC0"/>
    <w:rsid w:val="004728F3"/>
    <w:rsid w:val="00474CA8"/>
    <w:rsid w:val="00483140"/>
    <w:rsid w:val="00483204"/>
    <w:rsid w:val="00483A73"/>
    <w:rsid w:val="00496BF2"/>
    <w:rsid w:val="004B5E8D"/>
    <w:rsid w:val="004B773F"/>
    <w:rsid w:val="004B7CBE"/>
    <w:rsid w:val="004C08AF"/>
    <w:rsid w:val="004E029F"/>
    <w:rsid w:val="004E048A"/>
    <w:rsid w:val="004E0C43"/>
    <w:rsid w:val="004E1FFA"/>
    <w:rsid w:val="004E3AF0"/>
    <w:rsid w:val="004E6539"/>
    <w:rsid w:val="005064AB"/>
    <w:rsid w:val="005072E1"/>
    <w:rsid w:val="00513A35"/>
    <w:rsid w:val="005146BD"/>
    <w:rsid w:val="00516736"/>
    <w:rsid w:val="00524092"/>
    <w:rsid w:val="00526D4F"/>
    <w:rsid w:val="0053516F"/>
    <w:rsid w:val="00544F3B"/>
    <w:rsid w:val="00545877"/>
    <w:rsid w:val="00550B4E"/>
    <w:rsid w:val="005511B5"/>
    <w:rsid w:val="00552DA1"/>
    <w:rsid w:val="00554866"/>
    <w:rsid w:val="005610C4"/>
    <w:rsid w:val="00573856"/>
    <w:rsid w:val="00575E80"/>
    <w:rsid w:val="00576A8F"/>
    <w:rsid w:val="00581BA5"/>
    <w:rsid w:val="0058283F"/>
    <w:rsid w:val="00582A22"/>
    <w:rsid w:val="0058305E"/>
    <w:rsid w:val="005A3768"/>
    <w:rsid w:val="005A44FA"/>
    <w:rsid w:val="005B658D"/>
    <w:rsid w:val="005C01BB"/>
    <w:rsid w:val="005C074A"/>
    <w:rsid w:val="005C75F6"/>
    <w:rsid w:val="005D0018"/>
    <w:rsid w:val="005D4904"/>
    <w:rsid w:val="005E0D5D"/>
    <w:rsid w:val="005E4BF5"/>
    <w:rsid w:val="005E4ECD"/>
    <w:rsid w:val="005E5C56"/>
    <w:rsid w:val="005F5C0E"/>
    <w:rsid w:val="005F6CF9"/>
    <w:rsid w:val="00612B3E"/>
    <w:rsid w:val="00613B89"/>
    <w:rsid w:val="00614E8E"/>
    <w:rsid w:val="00620C0F"/>
    <w:rsid w:val="00632BCF"/>
    <w:rsid w:val="00642562"/>
    <w:rsid w:val="00644E15"/>
    <w:rsid w:val="0064541E"/>
    <w:rsid w:val="0064701B"/>
    <w:rsid w:val="00650CD7"/>
    <w:rsid w:val="00656D53"/>
    <w:rsid w:val="006606E5"/>
    <w:rsid w:val="00660E46"/>
    <w:rsid w:val="0067193A"/>
    <w:rsid w:val="00672AB8"/>
    <w:rsid w:val="00673618"/>
    <w:rsid w:val="00682CE1"/>
    <w:rsid w:val="0068355B"/>
    <w:rsid w:val="00683E8E"/>
    <w:rsid w:val="00684C9A"/>
    <w:rsid w:val="00685AEB"/>
    <w:rsid w:val="00692964"/>
    <w:rsid w:val="00695515"/>
    <w:rsid w:val="00695A05"/>
    <w:rsid w:val="00696943"/>
    <w:rsid w:val="006A2429"/>
    <w:rsid w:val="006A2974"/>
    <w:rsid w:val="006A59C5"/>
    <w:rsid w:val="006A7929"/>
    <w:rsid w:val="006B0179"/>
    <w:rsid w:val="006B09DC"/>
    <w:rsid w:val="006B1A1F"/>
    <w:rsid w:val="006B1B81"/>
    <w:rsid w:val="006B2994"/>
    <w:rsid w:val="006B2CF3"/>
    <w:rsid w:val="006B3905"/>
    <w:rsid w:val="006B7DE3"/>
    <w:rsid w:val="006C546D"/>
    <w:rsid w:val="006C69C1"/>
    <w:rsid w:val="006D15BD"/>
    <w:rsid w:val="006D5952"/>
    <w:rsid w:val="006D7C3C"/>
    <w:rsid w:val="006E1B3A"/>
    <w:rsid w:val="006E5A35"/>
    <w:rsid w:val="006F4008"/>
    <w:rsid w:val="007018B0"/>
    <w:rsid w:val="00704BBD"/>
    <w:rsid w:val="00705998"/>
    <w:rsid w:val="00707908"/>
    <w:rsid w:val="00707CDD"/>
    <w:rsid w:val="00710880"/>
    <w:rsid w:val="00720AC7"/>
    <w:rsid w:val="00723CFB"/>
    <w:rsid w:val="00725E7E"/>
    <w:rsid w:val="00732073"/>
    <w:rsid w:val="007359A9"/>
    <w:rsid w:val="0073781F"/>
    <w:rsid w:val="0074244F"/>
    <w:rsid w:val="00752E82"/>
    <w:rsid w:val="00753621"/>
    <w:rsid w:val="00760694"/>
    <w:rsid w:val="00761F07"/>
    <w:rsid w:val="00762A71"/>
    <w:rsid w:val="00766149"/>
    <w:rsid w:val="00773AE2"/>
    <w:rsid w:val="00777AE3"/>
    <w:rsid w:val="007851C3"/>
    <w:rsid w:val="00786C8E"/>
    <w:rsid w:val="00786C9D"/>
    <w:rsid w:val="00791295"/>
    <w:rsid w:val="00793689"/>
    <w:rsid w:val="007A4B50"/>
    <w:rsid w:val="007A7F32"/>
    <w:rsid w:val="007C32F2"/>
    <w:rsid w:val="007C3BD3"/>
    <w:rsid w:val="007C409A"/>
    <w:rsid w:val="007C7ECA"/>
    <w:rsid w:val="007D39BF"/>
    <w:rsid w:val="007D56DC"/>
    <w:rsid w:val="007E1B53"/>
    <w:rsid w:val="007E2479"/>
    <w:rsid w:val="007E2A43"/>
    <w:rsid w:val="007E346B"/>
    <w:rsid w:val="007F14EB"/>
    <w:rsid w:val="008051F8"/>
    <w:rsid w:val="0081407D"/>
    <w:rsid w:val="00816EBC"/>
    <w:rsid w:val="00820C27"/>
    <w:rsid w:val="00827825"/>
    <w:rsid w:val="00830A27"/>
    <w:rsid w:val="00831124"/>
    <w:rsid w:val="00835EEC"/>
    <w:rsid w:val="008363A1"/>
    <w:rsid w:val="008419BE"/>
    <w:rsid w:val="00845442"/>
    <w:rsid w:val="008511CA"/>
    <w:rsid w:val="00854BF4"/>
    <w:rsid w:val="00855A29"/>
    <w:rsid w:val="00855BC3"/>
    <w:rsid w:val="00857B94"/>
    <w:rsid w:val="00860EC7"/>
    <w:rsid w:val="00864653"/>
    <w:rsid w:val="00872ECF"/>
    <w:rsid w:val="00880337"/>
    <w:rsid w:val="00881952"/>
    <w:rsid w:val="00884628"/>
    <w:rsid w:val="00890E75"/>
    <w:rsid w:val="008935DC"/>
    <w:rsid w:val="00894059"/>
    <w:rsid w:val="008942E1"/>
    <w:rsid w:val="008A0589"/>
    <w:rsid w:val="008B2D50"/>
    <w:rsid w:val="008B7633"/>
    <w:rsid w:val="008B7798"/>
    <w:rsid w:val="008C35BE"/>
    <w:rsid w:val="008C423D"/>
    <w:rsid w:val="008C7B48"/>
    <w:rsid w:val="008D1C14"/>
    <w:rsid w:val="008D58F4"/>
    <w:rsid w:val="008D601F"/>
    <w:rsid w:val="008D6242"/>
    <w:rsid w:val="008E4513"/>
    <w:rsid w:val="008E6F9D"/>
    <w:rsid w:val="008F06B2"/>
    <w:rsid w:val="008F4144"/>
    <w:rsid w:val="009007BE"/>
    <w:rsid w:val="009022BA"/>
    <w:rsid w:val="0090232E"/>
    <w:rsid w:val="00903C4F"/>
    <w:rsid w:val="00903C75"/>
    <w:rsid w:val="00912302"/>
    <w:rsid w:val="00912396"/>
    <w:rsid w:val="00912DCF"/>
    <w:rsid w:val="0092141D"/>
    <w:rsid w:val="00924A5F"/>
    <w:rsid w:val="00924D87"/>
    <w:rsid w:val="00927A81"/>
    <w:rsid w:val="00932D97"/>
    <w:rsid w:val="00940512"/>
    <w:rsid w:val="009461BA"/>
    <w:rsid w:val="009467AE"/>
    <w:rsid w:val="009627B6"/>
    <w:rsid w:val="00974F69"/>
    <w:rsid w:val="0098107D"/>
    <w:rsid w:val="00981679"/>
    <w:rsid w:val="00982A6D"/>
    <w:rsid w:val="0098448B"/>
    <w:rsid w:val="009869B8"/>
    <w:rsid w:val="00994BDC"/>
    <w:rsid w:val="009958DA"/>
    <w:rsid w:val="00996D80"/>
    <w:rsid w:val="009A3899"/>
    <w:rsid w:val="009B0C12"/>
    <w:rsid w:val="009B1612"/>
    <w:rsid w:val="009B1A74"/>
    <w:rsid w:val="009B3C89"/>
    <w:rsid w:val="009C06BF"/>
    <w:rsid w:val="009C0A15"/>
    <w:rsid w:val="009E3AC1"/>
    <w:rsid w:val="009E4A60"/>
    <w:rsid w:val="009E501F"/>
    <w:rsid w:val="009E6AA1"/>
    <w:rsid w:val="009F68BF"/>
    <w:rsid w:val="00A05AB1"/>
    <w:rsid w:val="00A05BC5"/>
    <w:rsid w:val="00A07D1A"/>
    <w:rsid w:val="00A07EF3"/>
    <w:rsid w:val="00A10464"/>
    <w:rsid w:val="00A152C4"/>
    <w:rsid w:val="00A23F79"/>
    <w:rsid w:val="00A24A11"/>
    <w:rsid w:val="00A3231A"/>
    <w:rsid w:val="00A368AF"/>
    <w:rsid w:val="00A4352A"/>
    <w:rsid w:val="00A43547"/>
    <w:rsid w:val="00A46D67"/>
    <w:rsid w:val="00A53A47"/>
    <w:rsid w:val="00A678E6"/>
    <w:rsid w:val="00A74DB5"/>
    <w:rsid w:val="00A75457"/>
    <w:rsid w:val="00A769E2"/>
    <w:rsid w:val="00A77EBD"/>
    <w:rsid w:val="00A808EA"/>
    <w:rsid w:val="00A819D8"/>
    <w:rsid w:val="00A851F9"/>
    <w:rsid w:val="00A87AB9"/>
    <w:rsid w:val="00A958F7"/>
    <w:rsid w:val="00A964BB"/>
    <w:rsid w:val="00AA3120"/>
    <w:rsid w:val="00AA4831"/>
    <w:rsid w:val="00AA5B12"/>
    <w:rsid w:val="00AB367F"/>
    <w:rsid w:val="00AB3FF6"/>
    <w:rsid w:val="00AC2933"/>
    <w:rsid w:val="00AC4630"/>
    <w:rsid w:val="00AC71BB"/>
    <w:rsid w:val="00AE292C"/>
    <w:rsid w:val="00AE456D"/>
    <w:rsid w:val="00AF049F"/>
    <w:rsid w:val="00AF244E"/>
    <w:rsid w:val="00AF490C"/>
    <w:rsid w:val="00AF54F6"/>
    <w:rsid w:val="00AF732C"/>
    <w:rsid w:val="00B01F06"/>
    <w:rsid w:val="00B03265"/>
    <w:rsid w:val="00B073CD"/>
    <w:rsid w:val="00B10E86"/>
    <w:rsid w:val="00B1133E"/>
    <w:rsid w:val="00B13562"/>
    <w:rsid w:val="00B15773"/>
    <w:rsid w:val="00B15ECB"/>
    <w:rsid w:val="00B217F8"/>
    <w:rsid w:val="00B2390F"/>
    <w:rsid w:val="00B25996"/>
    <w:rsid w:val="00B45E96"/>
    <w:rsid w:val="00B5043E"/>
    <w:rsid w:val="00B51729"/>
    <w:rsid w:val="00B51D2A"/>
    <w:rsid w:val="00B53386"/>
    <w:rsid w:val="00B53C6E"/>
    <w:rsid w:val="00B57029"/>
    <w:rsid w:val="00B61CA6"/>
    <w:rsid w:val="00B722CB"/>
    <w:rsid w:val="00B7256D"/>
    <w:rsid w:val="00B73B90"/>
    <w:rsid w:val="00B84186"/>
    <w:rsid w:val="00B852B5"/>
    <w:rsid w:val="00B86B88"/>
    <w:rsid w:val="00B902A3"/>
    <w:rsid w:val="00B903B5"/>
    <w:rsid w:val="00B97478"/>
    <w:rsid w:val="00BB24B7"/>
    <w:rsid w:val="00BB2881"/>
    <w:rsid w:val="00BB3B56"/>
    <w:rsid w:val="00BB5F5F"/>
    <w:rsid w:val="00BD467D"/>
    <w:rsid w:val="00BE68AE"/>
    <w:rsid w:val="00BF0871"/>
    <w:rsid w:val="00BF2529"/>
    <w:rsid w:val="00BF715F"/>
    <w:rsid w:val="00C0687D"/>
    <w:rsid w:val="00C14470"/>
    <w:rsid w:val="00C1466C"/>
    <w:rsid w:val="00C20165"/>
    <w:rsid w:val="00C213AA"/>
    <w:rsid w:val="00C221F3"/>
    <w:rsid w:val="00C269AC"/>
    <w:rsid w:val="00C30CBF"/>
    <w:rsid w:val="00C32252"/>
    <w:rsid w:val="00C34469"/>
    <w:rsid w:val="00C3548C"/>
    <w:rsid w:val="00C41760"/>
    <w:rsid w:val="00C553B7"/>
    <w:rsid w:val="00C665D6"/>
    <w:rsid w:val="00C72C81"/>
    <w:rsid w:val="00C7674A"/>
    <w:rsid w:val="00C82A5D"/>
    <w:rsid w:val="00C82E56"/>
    <w:rsid w:val="00C85AE9"/>
    <w:rsid w:val="00C917E5"/>
    <w:rsid w:val="00C95F75"/>
    <w:rsid w:val="00C96865"/>
    <w:rsid w:val="00CA010F"/>
    <w:rsid w:val="00CA1513"/>
    <w:rsid w:val="00CA2847"/>
    <w:rsid w:val="00CA76A0"/>
    <w:rsid w:val="00CB19E7"/>
    <w:rsid w:val="00CC02E1"/>
    <w:rsid w:val="00CD3614"/>
    <w:rsid w:val="00CD4935"/>
    <w:rsid w:val="00CD59C5"/>
    <w:rsid w:val="00CE450D"/>
    <w:rsid w:val="00CF4804"/>
    <w:rsid w:val="00CF4EF4"/>
    <w:rsid w:val="00CF53DA"/>
    <w:rsid w:val="00CF5E7F"/>
    <w:rsid w:val="00CF782B"/>
    <w:rsid w:val="00D036EB"/>
    <w:rsid w:val="00D077C7"/>
    <w:rsid w:val="00D1222A"/>
    <w:rsid w:val="00D13500"/>
    <w:rsid w:val="00D15214"/>
    <w:rsid w:val="00D25E17"/>
    <w:rsid w:val="00D3196A"/>
    <w:rsid w:val="00D35187"/>
    <w:rsid w:val="00D40955"/>
    <w:rsid w:val="00D414EF"/>
    <w:rsid w:val="00D44B90"/>
    <w:rsid w:val="00D513E9"/>
    <w:rsid w:val="00D5232F"/>
    <w:rsid w:val="00D52F62"/>
    <w:rsid w:val="00D54415"/>
    <w:rsid w:val="00D56634"/>
    <w:rsid w:val="00D56685"/>
    <w:rsid w:val="00D6038A"/>
    <w:rsid w:val="00D62A05"/>
    <w:rsid w:val="00D64A2A"/>
    <w:rsid w:val="00D666B3"/>
    <w:rsid w:val="00D72515"/>
    <w:rsid w:val="00D73263"/>
    <w:rsid w:val="00D8070F"/>
    <w:rsid w:val="00D90B8D"/>
    <w:rsid w:val="00D91A2E"/>
    <w:rsid w:val="00D956FE"/>
    <w:rsid w:val="00DA0D4F"/>
    <w:rsid w:val="00DA2A91"/>
    <w:rsid w:val="00DA33AE"/>
    <w:rsid w:val="00DA3CAF"/>
    <w:rsid w:val="00DB36FA"/>
    <w:rsid w:val="00DB4557"/>
    <w:rsid w:val="00DB707E"/>
    <w:rsid w:val="00DC0BF5"/>
    <w:rsid w:val="00DC1D36"/>
    <w:rsid w:val="00DC36C4"/>
    <w:rsid w:val="00DC556F"/>
    <w:rsid w:val="00DC7863"/>
    <w:rsid w:val="00DD0F9D"/>
    <w:rsid w:val="00DD4D55"/>
    <w:rsid w:val="00DE2A38"/>
    <w:rsid w:val="00DF4A5E"/>
    <w:rsid w:val="00DF66E6"/>
    <w:rsid w:val="00E00D7F"/>
    <w:rsid w:val="00E03850"/>
    <w:rsid w:val="00E07784"/>
    <w:rsid w:val="00E111F5"/>
    <w:rsid w:val="00E151CB"/>
    <w:rsid w:val="00E152A8"/>
    <w:rsid w:val="00E1604D"/>
    <w:rsid w:val="00E16B4E"/>
    <w:rsid w:val="00E20C67"/>
    <w:rsid w:val="00E24EA5"/>
    <w:rsid w:val="00E32EC1"/>
    <w:rsid w:val="00E32F92"/>
    <w:rsid w:val="00E33B4F"/>
    <w:rsid w:val="00E37142"/>
    <w:rsid w:val="00E37589"/>
    <w:rsid w:val="00E506BB"/>
    <w:rsid w:val="00E51E42"/>
    <w:rsid w:val="00E53DAA"/>
    <w:rsid w:val="00E54483"/>
    <w:rsid w:val="00E56693"/>
    <w:rsid w:val="00E605D2"/>
    <w:rsid w:val="00E60B74"/>
    <w:rsid w:val="00E64FEE"/>
    <w:rsid w:val="00E66EC0"/>
    <w:rsid w:val="00E769CB"/>
    <w:rsid w:val="00E83878"/>
    <w:rsid w:val="00E8546D"/>
    <w:rsid w:val="00E857B5"/>
    <w:rsid w:val="00E8628E"/>
    <w:rsid w:val="00E87012"/>
    <w:rsid w:val="00E87F25"/>
    <w:rsid w:val="00E90856"/>
    <w:rsid w:val="00E93BE7"/>
    <w:rsid w:val="00EA7752"/>
    <w:rsid w:val="00EB1A91"/>
    <w:rsid w:val="00EB2E14"/>
    <w:rsid w:val="00EB43C4"/>
    <w:rsid w:val="00EB4CE3"/>
    <w:rsid w:val="00EB590F"/>
    <w:rsid w:val="00EB6A0A"/>
    <w:rsid w:val="00EB6C8F"/>
    <w:rsid w:val="00ED0DE1"/>
    <w:rsid w:val="00ED1F32"/>
    <w:rsid w:val="00ED3F97"/>
    <w:rsid w:val="00ED4EEC"/>
    <w:rsid w:val="00EE4AF5"/>
    <w:rsid w:val="00EE4DD1"/>
    <w:rsid w:val="00EE5B70"/>
    <w:rsid w:val="00EE6770"/>
    <w:rsid w:val="00EE71B0"/>
    <w:rsid w:val="00EF0654"/>
    <w:rsid w:val="00EF1638"/>
    <w:rsid w:val="00EF2560"/>
    <w:rsid w:val="00F02DED"/>
    <w:rsid w:val="00F05640"/>
    <w:rsid w:val="00F06548"/>
    <w:rsid w:val="00F10DA6"/>
    <w:rsid w:val="00F11F48"/>
    <w:rsid w:val="00F1371C"/>
    <w:rsid w:val="00F14C48"/>
    <w:rsid w:val="00F17434"/>
    <w:rsid w:val="00F20E43"/>
    <w:rsid w:val="00F24D95"/>
    <w:rsid w:val="00F30AE2"/>
    <w:rsid w:val="00F349E0"/>
    <w:rsid w:val="00F46432"/>
    <w:rsid w:val="00F50DE0"/>
    <w:rsid w:val="00F54EF3"/>
    <w:rsid w:val="00F60C24"/>
    <w:rsid w:val="00F611EE"/>
    <w:rsid w:val="00F62068"/>
    <w:rsid w:val="00F65A1C"/>
    <w:rsid w:val="00F67262"/>
    <w:rsid w:val="00F70096"/>
    <w:rsid w:val="00F71AF6"/>
    <w:rsid w:val="00F80FEA"/>
    <w:rsid w:val="00F85647"/>
    <w:rsid w:val="00F9551C"/>
    <w:rsid w:val="00F957D8"/>
    <w:rsid w:val="00F958F1"/>
    <w:rsid w:val="00F96D80"/>
    <w:rsid w:val="00F97F20"/>
    <w:rsid w:val="00FA4F46"/>
    <w:rsid w:val="00FB1226"/>
    <w:rsid w:val="00FB375F"/>
    <w:rsid w:val="00FB37E4"/>
    <w:rsid w:val="00FB44C5"/>
    <w:rsid w:val="00FB6FDD"/>
    <w:rsid w:val="00FC1A42"/>
    <w:rsid w:val="00FC2983"/>
    <w:rsid w:val="00FC2D50"/>
    <w:rsid w:val="00FC74B7"/>
    <w:rsid w:val="00FD2614"/>
    <w:rsid w:val="00FD4C49"/>
    <w:rsid w:val="00FF44C3"/>
    <w:rsid w:val="00FF4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98"/>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FB375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B779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44E"/>
    <w:pPr>
      <w:spacing w:after="160" w:line="259" w:lineRule="auto"/>
      <w:ind w:left="720"/>
      <w:contextualSpacing/>
    </w:pPr>
    <w:rPr>
      <w:rFonts w:asciiTheme="minorHAnsi" w:hAnsiTheme="minorHAnsi" w:cstheme="minorBidi"/>
      <w:sz w:val="22"/>
      <w:szCs w:val="22"/>
      <w:lang w:val="en-CA"/>
    </w:rPr>
  </w:style>
  <w:style w:type="paragraph" w:styleId="BalloonText">
    <w:name w:val="Balloon Text"/>
    <w:basedOn w:val="Normal"/>
    <w:link w:val="BalloonTextChar"/>
    <w:uiPriority w:val="99"/>
    <w:semiHidden/>
    <w:unhideWhenUsed/>
    <w:rsid w:val="005B658D"/>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5B658D"/>
    <w:rPr>
      <w:rFonts w:ascii="Segoe UI" w:hAnsi="Segoe UI" w:cs="Segoe UI"/>
      <w:sz w:val="18"/>
      <w:szCs w:val="18"/>
    </w:rPr>
  </w:style>
  <w:style w:type="paragraph" w:styleId="Title">
    <w:name w:val="Title"/>
    <w:basedOn w:val="Normal"/>
    <w:next w:val="Normal"/>
    <w:link w:val="TitleChar"/>
    <w:uiPriority w:val="10"/>
    <w:qFormat/>
    <w:rsid w:val="000319A8"/>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0319A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6CF9"/>
    <w:rPr>
      <w:color w:val="0563C1" w:themeColor="hyperlink"/>
      <w:u w:val="single"/>
    </w:rPr>
  </w:style>
  <w:style w:type="paragraph" w:styleId="Footer">
    <w:name w:val="footer"/>
    <w:basedOn w:val="Normal"/>
    <w:link w:val="FooterChar"/>
    <w:uiPriority w:val="99"/>
    <w:unhideWhenUsed/>
    <w:rsid w:val="006B2994"/>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6B2994"/>
  </w:style>
  <w:style w:type="character" w:styleId="PageNumber">
    <w:name w:val="page number"/>
    <w:basedOn w:val="DefaultParagraphFont"/>
    <w:uiPriority w:val="99"/>
    <w:semiHidden/>
    <w:unhideWhenUsed/>
    <w:rsid w:val="006B2994"/>
  </w:style>
  <w:style w:type="paragraph" w:styleId="Header">
    <w:name w:val="header"/>
    <w:basedOn w:val="Normal"/>
    <w:link w:val="HeaderChar"/>
    <w:uiPriority w:val="99"/>
    <w:unhideWhenUsed/>
    <w:rsid w:val="00A958F7"/>
    <w:pPr>
      <w:tabs>
        <w:tab w:val="center" w:pos="4680"/>
        <w:tab w:val="right" w:pos="9360"/>
      </w:tabs>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A958F7"/>
  </w:style>
  <w:style w:type="paragraph" w:styleId="Bibliography">
    <w:name w:val="Bibliography"/>
    <w:basedOn w:val="Normal"/>
    <w:next w:val="Normal"/>
    <w:uiPriority w:val="37"/>
    <w:semiHidden/>
    <w:unhideWhenUsed/>
    <w:rsid w:val="00F67262"/>
  </w:style>
  <w:style w:type="paragraph" w:styleId="ListBullet">
    <w:name w:val="List Bullet"/>
    <w:basedOn w:val="Normal"/>
    <w:uiPriority w:val="99"/>
    <w:unhideWhenUsed/>
    <w:rsid w:val="0067193A"/>
    <w:pPr>
      <w:numPr>
        <w:numId w:val="7"/>
      </w:numPr>
      <w:spacing w:after="160" w:line="259" w:lineRule="auto"/>
      <w:contextualSpacing/>
    </w:pPr>
    <w:rPr>
      <w:rFonts w:asciiTheme="minorHAnsi" w:hAnsiTheme="minorHAnsi" w:cstheme="minorBidi"/>
      <w:sz w:val="22"/>
      <w:szCs w:val="22"/>
      <w:lang w:val="en-CA"/>
    </w:rPr>
  </w:style>
  <w:style w:type="character" w:styleId="Emphasis">
    <w:name w:val="Emphasis"/>
    <w:basedOn w:val="DefaultParagraphFont"/>
    <w:uiPriority w:val="20"/>
    <w:qFormat/>
    <w:rsid w:val="00235055"/>
    <w:rPr>
      <w:i/>
      <w:iCs/>
    </w:rPr>
  </w:style>
  <w:style w:type="paragraph" w:styleId="FootnoteText">
    <w:name w:val="footnote text"/>
    <w:basedOn w:val="Normal"/>
    <w:link w:val="FootnoteTextChar"/>
    <w:uiPriority w:val="99"/>
    <w:semiHidden/>
    <w:unhideWhenUsed/>
    <w:rsid w:val="00D25E17"/>
    <w:rPr>
      <w:rFonts w:ascii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D25E17"/>
    <w:rPr>
      <w:sz w:val="20"/>
      <w:szCs w:val="20"/>
    </w:rPr>
  </w:style>
  <w:style w:type="character" w:styleId="FootnoteReference">
    <w:name w:val="footnote reference"/>
    <w:basedOn w:val="DefaultParagraphFont"/>
    <w:uiPriority w:val="99"/>
    <w:semiHidden/>
    <w:unhideWhenUsed/>
    <w:rsid w:val="00D25E17"/>
    <w:rPr>
      <w:vertAlign w:val="superscript"/>
    </w:rPr>
  </w:style>
  <w:style w:type="paragraph" w:styleId="NormalWeb">
    <w:name w:val="Normal (Web)"/>
    <w:basedOn w:val="Normal"/>
    <w:uiPriority w:val="99"/>
    <w:unhideWhenUsed/>
    <w:rsid w:val="00A07D1A"/>
    <w:pPr>
      <w:spacing w:before="100" w:beforeAutospacing="1" w:after="100" w:afterAutospacing="1"/>
    </w:pPr>
  </w:style>
  <w:style w:type="character" w:customStyle="1" w:styleId="apple-converted-space">
    <w:name w:val="apple-converted-space"/>
    <w:basedOn w:val="DefaultParagraphFont"/>
    <w:rsid w:val="00A07D1A"/>
  </w:style>
  <w:style w:type="character" w:customStyle="1" w:styleId="Heading1Char">
    <w:name w:val="Heading 1 Char"/>
    <w:basedOn w:val="DefaultParagraphFont"/>
    <w:link w:val="Heading1"/>
    <w:uiPriority w:val="9"/>
    <w:rsid w:val="00FB375F"/>
    <w:rPr>
      <w:rFonts w:ascii="Times New Roman" w:hAnsi="Times New Roman" w:cs="Times New Roman"/>
      <w:b/>
      <w:bCs/>
      <w:kern w:val="36"/>
      <w:sz w:val="48"/>
      <w:szCs w:val="48"/>
      <w:lang w:val="en-US"/>
    </w:rPr>
  </w:style>
  <w:style w:type="paragraph" w:customStyle="1" w:styleId="article-headersub-title">
    <w:name w:val="article-header__sub-title"/>
    <w:basedOn w:val="Normal"/>
    <w:rsid w:val="00FB375F"/>
    <w:pPr>
      <w:spacing w:before="100" w:beforeAutospacing="1" w:after="100" w:afterAutospacing="1"/>
    </w:pPr>
  </w:style>
  <w:style w:type="paragraph" w:customStyle="1" w:styleId="author">
    <w:name w:val="author"/>
    <w:basedOn w:val="Normal"/>
    <w:rsid w:val="00172A85"/>
    <w:pPr>
      <w:spacing w:before="100" w:beforeAutospacing="1" w:after="100" w:afterAutospacing="1"/>
    </w:pPr>
  </w:style>
  <w:style w:type="character" w:styleId="Strong">
    <w:name w:val="Strong"/>
    <w:basedOn w:val="DefaultParagraphFont"/>
    <w:uiPriority w:val="22"/>
    <w:qFormat/>
    <w:rsid w:val="00172A85"/>
    <w:rPr>
      <w:b/>
      <w:bCs/>
    </w:rPr>
  </w:style>
  <w:style w:type="character" w:customStyle="1" w:styleId="Heading2Char">
    <w:name w:val="Heading 2 Char"/>
    <w:basedOn w:val="DefaultParagraphFont"/>
    <w:link w:val="Heading2"/>
    <w:uiPriority w:val="9"/>
    <w:rsid w:val="008B7798"/>
    <w:rPr>
      <w:rFonts w:ascii="Times New Roman" w:hAnsi="Times New Roman" w:cs="Times New Roman"/>
      <w:b/>
      <w:bCs/>
      <w:sz w:val="36"/>
      <w:szCs w:val="36"/>
      <w:lang w:val="en-US"/>
    </w:rPr>
  </w:style>
  <w:style w:type="paragraph" w:customStyle="1" w:styleId="p1">
    <w:name w:val="p1"/>
    <w:basedOn w:val="Normal"/>
    <w:rsid w:val="008B7798"/>
    <w:rPr>
      <w:rFonts w:ascii="Helvetica" w:hAnsi="Helvetica"/>
      <w:sz w:val="14"/>
      <w:szCs w:val="14"/>
    </w:rPr>
  </w:style>
  <w:style w:type="character" w:styleId="FollowedHyperlink">
    <w:name w:val="FollowedHyperlink"/>
    <w:basedOn w:val="DefaultParagraphFont"/>
    <w:uiPriority w:val="99"/>
    <w:semiHidden/>
    <w:unhideWhenUsed/>
    <w:rsid w:val="00222C74"/>
    <w:rPr>
      <w:color w:val="954F72" w:themeColor="followedHyperlink"/>
      <w:u w:val="single"/>
    </w:rPr>
  </w:style>
  <w:style w:type="paragraph" w:styleId="NoSpacing">
    <w:name w:val="No Spacing"/>
    <w:link w:val="NoSpacingChar"/>
    <w:uiPriority w:val="1"/>
    <w:qFormat/>
    <w:rsid w:val="00E54483"/>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54483"/>
    <w:rPr>
      <w:rFonts w:eastAsiaTheme="minorEastAsia"/>
      <w:lang w:val="en-US" w:eastAsia="zh-CN"/>
    </w:rPr>
  </w:style>
  <w:style w:type="character" w:styleId="CommentReference">
    <w:name w:val="annotation reference"/>
    <w:basedOn w:val="DefaultParagraphFont"/>
    <w:uiPriority w:val="99"/>
    <w:semiHidden/>
    <w:unhideWhenUsed/>
    <w:rsid w:val="005072E1"/>
    <w:rPr>
      <w:sz w:val="16"/>
      <w:szCs w:val="16"/>
    </w:rPr>
  </w:style>
  <w:style w:type="paragraph" w:styleId="CommentText">
    <w:name w:val="annotation text"/>
    <w:basedOn w:val="Normal"/>
    <w:link w:val="CommentTextChar"/>
    <w:uiPriority w:val="99"/>
    <w:semiHidden/>
    <w:unhideWhenUsed/>
    <w:rsid w:val="005072E1"/>
    <w:rPr>
      <w:sz w:val="20"/>
      <w:szCs w:val="20"/>
    </w:rPr>
  </w:style>
  <w:style w:type="character" w:customStyle="1" w:styleId="CommentTextChar">
    <w:name w:val="Comment Text Char"/>
    <w:basedOn w:val="DefaultParagraphFont"/>
    <w:link w:val="CommentText"/>
    <w:uiPriority w:val="99"/>
    <w:semiHidden/>
    <w:rsid w:val="005072E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72E1"/>
    <w:rPr>
      <w:b/>
      <w:bCs/>
    </w:rPr>
  </w:style>
  <w:style w:type="character" w:customStyle="1" w:styleId="CommentSubjectChar">
    <w:name w:val="Comment Subject Char"/>
    <w:basedOn w:val="CommentTextChar"/>
    <w:link w:val="CommentSubject"/>
    <w:uiPriority w:val="99"/>
    <w:semiHidden/>
    <w:rsid w:val="005072E1"/>
    <w:rPr>
      <w:rFonts w:ascii="Times New Roman" w:hAnsi="Times New Roman" w:cs="Times New Roman"/>
      <w:b/>
      <w:bCs/>
      <w:sz w:val="20"/>
      <w:szCs w:val="20"/>
      <w:lang w:val="en-US"/>
    </w:rPr>
  </w:style>
  <w:style w:type="paragraph" w:styleId="Revision">
    <w:name w:val="Revision"/>
    <w:hidden/>
    <w:uiPriority w:val="99"/>
    <w:semiHidden/>
    <w:rsid w:val="005072E1"/>
    <w:pPr>
      <w:spacing w:after="0" w:line="240" w:lineRule="auto"/>
    </w:pPr>
    <w:rPr>
      <w:rFonts w:ascii="Times New Roman" w:hAnsi="Times New Roman" w:cs="Times New Roman"/>
      <w:sz w:val="24"/>
      <w:szCs w:val="24"/>
      <w:lang w:val="en-US"/>
    </w:rPr>
  </w:style>
  <w:style w:type="character" w:customStyle="1" w:styleId="contribdegrees">
    <w:name w:val="contribdegrees"/>
    <w:basedOn w:val="DefaultParagraphFont"/>
    <w:rsid w:val="00B9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31">
      <w:bodyDiv w:val="1"/>
      <w:marLeft w:val="0"/>
      <w:marRight w:val="0"/>
      <w:marTop w:val="0"/>
      <w:marBottom w:val="0"/>
      <w:divBdr>
        <w:top w:val="none" w:sz="0" w:space="0" w:color="auto"/>
        <w:left w:val="none" w:sz="0" w:space="0" w:color="auto"/>
        <w:bottom w:val="none" w:sz="0" w:space="0" w:color="auto"/>
        <w:right w:val="none" w:sz="0" w:space="0" w:color="auto"/>
      </w:divBdr>
    </w:div>
    <w:div w:id="48502814">
      <w:bodyDiv w:val="1"/>
      <w:marLeft w:val="0"/>
      <w:marRight w:val="0"/>
      <w:marTop w:val="0"/>
      <w:marBottom w:val="0"/>
      <w:divBdr>
        <w:top w:val="none" w:sz="0" w:space="0" w:color="auto"/>
        <w:left w:val="none" w:sz="0" w:space="0" w:color="auto"/>
        <w:bottom w:val="none" w:sz="0" w:space="0" w:color="auto"/>
        <w:right w:val="none" w:sz="0" w:space="0" w:color="auto"/>
      </w:divBdr>
    </w:div>
    <w:div w:id="68620415">
      <w:bodyDiv w:val="1"/>
      <w:marLeft w:val="0"/>
      <w:marRight w:val="0"/>
      <w:marTop w:val="0"/>
      <w:marBottom w:val="0"/>
      <w:divBdr>
        <w:top w:val="none" w:sz="0" w:space="0" w:color="auto"/>
        <w:left w:val="none" w:sz="0" w:space="0" w:color="auto"/>
        <w:bottom w:val="none" w:sz="0" w:space="0" w:color="auto"/>
        <w:right w:val="none" w:sz="0" w:space="0" w:color="auto"/>
      </w:divBdr>
    </w:div>
    <w:div w:id="82922220">
      <w:bodyDiv w:val="1"/>
      <w:marLeft w:val="0"/>
      <w:marRight w:val="0"/>
      <w:marTop w:val="0"/>
      <w:marBottom w:val="0"/>
      <w:divBdr>
        <w:top w:val="none" w:sz="0" w:space="0" w:color="auto"/>
        <w:left w:val="none" w:sz="0" w:space="0" w:color="auto"/>
        <w:bottom w:val="none" w:sz="0" w:space="0" w:color="auto"/>
        <w:right w:val="none" w:sz="0" w:space="0" w:color="auto"/>
      </w:divBdr>
      <w:divsChild>
        <w:div w:id="72902186">
          <w:marLeft w:val="0"/>
          <w:marRight w:val="0"/>
          <w:marTop w:val="0"/>
          <w:marBottom w:val="195"/>
          <w:divBdr>
            <w:top w:val="none" w:sz="0" w:space="0" w:color="auto"/>
            <w:left w:val="none" w:sz="0" w:space="0" w:color="auto"/>
            <w:bottom w:val="none" w:sz="0" w:space="0" w:color="auto"/>
            <w:right w:val="none" w:sz="0" w:space="0" w:color="auto"/>
          </w:divBdr>
        </w:div>
      </w:divsChild>
    </w:div>
    <w:div w:id="85156808">
      <w:bodyDiv w:val="1"/>
      <w:marLeft w:val="0"/>
      <w:marRight w:val="0"/>
      <w:marTop w:val="0"/>
      <w:marBottom w:val="0"/>
      <w:divBdr>
        <w:top w:val="none" w:sz="0" w:space="0" w:color="auto"/>
        <w:left w:val="none" w:sz="0" w:space="0" w:color="auto"/>
        <w:bottom w:val="none" w:sz="0" w:space="0" w:color="auto"/>
        <w:right w:val="none" w:sz="0" w:space="0" w:color="auto"/>
      </w:divBdr>
    </w:div>
    <w:div w:id="316224938">
      <w:bodyDiv w:val="1"/>
      <w:marLeft w:val="0"/>
      <w:marRight w:val="0"/>
      <w:marTop w:val="0"/>
      <w:marBottom w:val="0"/>
      <w:divBdr>
        <w:top w:val="none" w:sz="0" w:space="0" w:color="auto"/>
        <w:left w:val="none" w:sz="0" w:space="0" w:color="auto"/>
        <w:bottom w:val="none" w:sz="0" w:space="0" w:color="auto"/>
        <w:right w:val="none" w:sz="0" w:space="0" w:color="auto"/>
      </w:divBdr>
    </w:div>
    <w:div w:id="371617812">
      <w:bodyDiv w:val="1"/>
      <w:marLeft w:val="0"/>
      <w:marRight w:val="0"/>
      <w:marTop w:val="0"/>
      <w:marBottom w:val="0"/>
      <w:divBdr>
        <w:top w:val="none" w:sz="0" w:space="0" w:color="auto"/>
        <w:left w:val="none" w:sz="0" w:space="0" w:color="auto"/>
        <w:bottom w:val="none" w:sz="0" w:space="0" w:color="auto"/>
        <w:right w:val="none" w:sz="0" w:space="0" w:color="auto"/>
      </w:divBdr>
    </w:div>
    <w:div w:id="546257696">
      <w:bodyDiv w:val="1"/>
      <w:marLeft w:val="0"/>
      <w:marRight w:val="0"/>
      <w:marTop w:val="0"/>
      <w:marBottom w:val="0"/>
      <w:divBdr>
        <w:top w:val="none" w:sz="0" w:space="0" w:color="auto"/>
        <w:left w:val="none" w:sz="0" w:space="0" w:color="auto"/>
        <w:bottom w:val="none" w:sz="0" w:space="0" w:color="auto"/>
        <w:right w:val="none" w:sz="0" w:space="0" w:color="auto"/>
      </w:divBdr>
    </w:div>
    <w:div w:id="563952070">
      <w:bodyDiv w:val="1"/>
      <w:marLeft w:val="0"/>
      <w:marRight w:val="0"/>
      <w:marTop w:val="0"/>
      <w:marBottom w:val="0"/>
      <w:divBdr>
        <w:top w:val="none" w:sz="0" w:space="0" w:color="auto"/>
        <w:left w:val="none" w:sz="0" w:space="0" w:color="auto"/>
        <w:bottom w:val="none" w:sz="0" w:space="0" w:color="auto"/>
        <w:right w:val="none" w:sz="0" w:space="0" w:color="auto"/>
      </w:divBdr>
    </w:div>
    <w:div w:id="599610815">
      <w:bodyDiv w:val="1"/>
      <w:marLeft w:val="0"/>
      <w:marRight w:val="0"/>
      <w:marTop w:val="0"/>
      <w:marBottom w:val="0"/>
      <w:divBdr>
        <w:top w:val="none" w:sz="0" w:space="0" w:color="auto"/>
        <w:left w:val="none" w:sz="0" w:space="0" w:color="auto"/>
        <w:bottom w:val="none" w:sz="0" w:space="0" w:color="auto"/>
        <w:right w:val="none" w:sz="0" w:space="0" w:color="auto"/>
      </w:divBdr>
    </w:div>
    <w:div w:id="613563953">
      <w:bodyDiv w:val="1"/>
      <w:marLeft w:val="0"/>
      <w:marRight w:val="0"/>
      <w:marTop w:val="0"/>
      <w:marBottom w:val="0"/>
      <w:divBdr>
        <w:top w:val="none" w:sz="0" w:space="0" w:color="auto"/>
        <w:left w:val="none" w:sz="0" w:space="0" w:color="auto"/>
        <w:bottom w:val="none" w:sz="0" w:space="0" w:color="auto"/>
        <w:right w:val="none" w:sz="0" w:space="0" w:color="auto"/>
      </w:divBdr>
    </w:div>
    <w:div w:id="712969104">
      <w:bodyDiv w:val="1"/>
      <w:marLeft w:val="0"/>
      <w:marRight w:val="0"/>
      <w:marTop w:val="0"/>
      <w:marBottom w:val="0"/>
      <w:divBdr>
        <w:top w:val="none" w:sz="0" w:space="0" w:color="auto"/>
        <w:left w:val="none" w:sz="0" w:space="0" w:color="auto"/>
        <w:bottom w:val="none" w:sz="0" w:space="0" w:color="auto"/>
        <w:right w:val="none" w:sz="0" w:space="0" w:color="auto"/>
      </w:divBdr>
      <w:divsChild>
        <w:div w:id="108476574">
          <w:marLeft w:val="0"/>
          <w:marRight w:val="0"/>
          <w:marTop w:val="0"/>
          <w:marBottom w:val="0"/>
          <w:divBdr>
            <w:top w:val="none" w:sz="0" w:space="0" w:color="auto"/>
            <w:left w:val="none" w:sz="0" w:space="0" w:color="auto"/>
            <w:bottom w:val="none" w:sz="0" w:space="0" w:color="auto"/>
            <w:right w:val="none" w:sz="0" w:space="0" w:color="auto"/>
          </w:divBdr>
          <w:divsChild>
            <w:div w:id="353271620">
              <w:marLeft w:val="0"/>
              <w:marRight w:val="0"/>
              <w:marTop w:val="0"/>
              <w:marBottom w:val="0"/>
              <w:divBdr>
                <w:top w:val="none" w:sz="0" w:space="0" w:color="auto"/>
                <w:left w:val="none" w:sz="0" w:space="0" w:color="auto"/>
                <w:bottom w:val="none" w:sz="0" w:space="0" w:color="auto"/>
                <w:right w:val="none" w:sz="0" w:space="0" w:color="auto"/>
              </w:divBdr>
              <w:divsChild>
                <w:div w:id="10221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8494">
      <w:bodyDiv w:val="1"/>
      <w:marLeft w:val="0"/>
      <w:marRight w:val="0"/>
      <w:marTop w:val="0"/>
      <w:marBottom w:val="0"/>
      <w:divBdr>
        <w:top w:val="none" w:sz="0" w:space="0" w:color="auto"/>
        <w:left w:val="none" w:sz="0" w:space="0" w:color="auto"/>
        <w:bottom w:val="none" w:sz="0" w:space="0" w:color="auto"/>
        <w:right w:val="none" w:sz="0" w:space="0" w:color="auto"/>
      </w:divBdr>
      <w:divsChild>
        <w:div w:id="1265259440">
          <w:marLeft w:val="0"/>
          <w:marRight w:val="0"/>
          <w:marTop w:val="0"/>
          <w:marBottom w:val="0"/>
          <w:divBdr>
            <w:top w:val="none" w:sz="0" w:space="0" w:color="auto"/>
            <w:left w:val="none" w:sz="0" w:space="0" w:color="auto"/>
            <w:bottom w:val="none" w:sz="0" w:space="0" w:color="auto"/>
            <w:right w:val="none" w:sz="0" w:space="0" w:color="auto"/>
          </w:divBdr>
          <w:divsChild>
            <w:div w:id="1111172527">
              <w:marLeft w:val="0"/>
              <w:marRight w:val="0"/>
              <w:marTop w:val="0"/>
              <w:marBottom w:val="0"/>
              <w:divBdr>
                <w:top w:val="none" w:sz="0" w:space="0" w:color="auto"/>
                <w:left w:val="none" w:sz="0" w:space="0" w:color="auto"/>
                <w:bottom w:val="none" w:sz="0" w:space="0" w:color="auto"/>
                <w:right w:val="none" w:sz="0" w:space="0" w:color="auto"/>
              </w:divBdr>
              <w:divsChild>
                <w:div w:id="6199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5743">
      <w:bodyDiv w:val="1"/>
      <w:marLeft w:val="0"/>
      <w:marRight w:val="0"/>
      <w:marTop w:val="0"/>
      <w:marBottom w:val="0"/>
      <w:divBdr>
        <w:top w:val="none" w:sz="0" w:space="0" w:color="auto"/>
        <w:left w:val="none" w:sz="0" w:space="0" w:color="auto"/>
        <w:bottom w:val="none" w:sz="0" w:space="0" w:color="auto"/>
        <w:right w:val="none" w:sz="0" w:space="0" w:color="auto"/>
      </w:divBdr>
    </w:div>
    <w:div w:id="778715523">
      <w:bodyDiv w:val="1"/>
      <w:marLeft w:val="0"/>
      <w:marRight w:val="0"/>
      <w:marTop w:val="0"/>
      <w:marBottom w:val="0"/>
      <w:divBdr>
        <w:top w:val="none" w:sz="0" w:space="0" w:color="auto"/>
        <w:left w:val="none" w:sz="0" w:space="0" w:color="auto"/>
        <w:bottom w:val="none" w:sz="0" w:space="0" w:color="auto"/>
        <w:right w:val="none" w:sz="0" w:space="0" w:color="auto"/>
      </w:divBdr>
    </w:div>
    <w:div w:id="868492045">
      <w:bodyDiv w:val="1"/>
      <w:marLeft w:val="0"/>
      <w:marRight w:val="0"/>
      <w:marTop w:val="0"/>
      <w:marBottom w:val="0"/>
      <w:divBdr>
        <w:top w:val="none" w:sz="0" w:space="0" w:color="auto"/>
        <w:left w:val="none" w:sz="0" w:space="0" w:color="auto"/>
        <w:bottom w:val="none" w:sz="0" w:space="0" w:color="auto"/>
        <w:right w:val="none" w:sz="0" w:space="0" w:color="auto"/>
      </w:divBdr>
    </w:div>
    <w:div w:id="1011761213">
      <w:bodyDiv w:val="1"/>
      <w:marLeft w:val="0"/>
      <w:marRight w:val="0"/>
      <w:marTop w:val="0"/>
      <w:marBottom w:val="0"/>
      <w:divBdr>
        <w:top w:val="none" w:sz="0" w:space="0" w:color="auto"/>
        <w:left w:val="none" w:sz="0" w:space="0" w:color="auto"/>
        <w:bottom w:val="none" w:sz="0" w:space="0" w:color="auto"/>
        <w:right w:val="none" w:sz="0" w:space="0" w:color="auto"/>
      </w:divBdr>
      <w:divsChild>
        <w:div w:id="1976645404">
          <w:marLeft w:val="0"/>
          <w:marRight w:val="0"/>
          <w:marTop w:val="0"/>
          <w:marBottom w:val="0"/>
          <w:divBdr>
            <w:top w:val="none" w:sz="0" w:space="0" w:color="auto"/>
            <w:left w:val="none" w:sz="0" w:space="0" w:color="auto"/>
            <w:bottom w:val="none" w:sz="0" w:space="0" w:color="auto"/>
            <w:right w:val="none" w:sz="0" w:space="0" w:color="auto"/>
          </w:divBdr>
          <w:divsChild>
            <w:div w:id="1697388442">
              <w:marLeft w:val="0"/>
              <w:marRight w:val="0"/>
              <w:marTop w:val="0"/>
              <w:marBottom w:val="0"/>
              <w:divBdr>
                <w:top w:val="none" w:sz="0" w:space="0" w:color="auto"/>
                <w:left w:val="none" w:sz="0" w:space="0" w:color="auto"/>
                <w:bottom w:val="none" w:sz="0" w:space="0" w:color="auto"/>
                <w:right w:val="none" w:sz="0" w:space="0" w:color="auto"/>
              </w:divBdr>
              <w:divsChild>
                <w:div w:id="17660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59267">
      <w:bodyDiv w:val="1"/>
      <w:marLeft w:val="0"/>
      <w:marRight w:val="0"/>
      <w:marTop w:val="0"/>
      <w:marBottom w:val="0"/>
      <w:divBdr>
        <w:top w:val="none" w:sz="0" w:space="0" w:color="auto"/>
        <w:left w:val="none" w:sz="0" w:space="0" w:color="auto"/>
        <w:bottom w:val="none" w:sz="0" w:space="0" w:color="auto"/>
        <w:right w:val="none" w:sz="0" w:space="0" w:color="auto"/>
      </w:divBdr>
      <w:divsChild>
        <w:div w:id="1007906368">
          <w:marLeft w:val="0"/>
          <w:marRight w:val="0"/>
          <w:marTop w:val="0"/>
          <w:marBottom w:val="0"/>
          <w:divBdr>
            <w:top w:val="none" w:sz="0" w:space="0" w:color="auto"/>
            <w:left w:val="none" w:sz="0" w:space="0" w:color="auto"/>
            <w:bottom w:val="none" w:sz="0" w:space="0" w:color="auto"/>
            <w:right w:val="none" w:sz="0" w:space="0" w:color="auto"/>
          </w:divBdr>
          <w:divsChild>
            <w:div w:id="1707099476">
              <w:marLeft w:val="0"/>
              <w:marRight w:val="0"/>
              <w:marTop w:val="0"/>
              <w:marBottom w:val="0"/>
              <w:divBdr>
                <w:top w:val="none" w:sz="0" w:space="0" w:color="auto"/>
                <w:left w:val="none" w:sz="0" w:space="0" w:color="auto"/>
                <w:bottom w:val="none" w:sz="0" w:space="0" w:color="auto"/>
                <w:right w:val="none" w:sz="0" w:space="0" w:color="auto"/>
              </w:divBdr>
              <w:divsChild>
                <w:div w:id="36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2301">
      <w:bodyDiv w:val="1"/>
      <w:marLeft w:val="0"/>
      <w:marRight w:val="0"/>
      <w:marTop w:val="0"/>
      <w:marBottom w:val="0"/>
      <w:divBdr>
        <w:top w:val="none" w:sz="0" w:space="0" w:color="auto"/>
        <w:left w:val="none" w:sz="0" w:space="0" w:color="auto"/>
        <w:bottom w:val="none" w:sz="0" w:space="0" w:color="auto"/>
        <w:right w:val="none" w:sz="0" w:space="0" w:color="auto"/>
      </w:divBdr>
    </w:div>
    <w:div w:id="1223903460">
      <w:bodyDiv w:val="1"/>
      <w:marLeft w:val="0"/>
      <w:marRight w:val="0"/>
      <w:marTop w:val="0"/>
      <w:marBottom w:val="0"/>
      <w:divBdr>
        <w:top w:val="none" w:sz="0" w:space="0" w:color="auto"/>
        <w:left w:val="none" w:sz="0" w:space="0" w:color="auto"/>
        <w:bottom w:val="none" w:sz="0" w:space="0" w:color="auto"/>
        <w:right w:val="none" w:sz="0" w:space="0" w:color="auto"/>
      </w:divBdr>
    </w:div>
    <w:div w:id="1361512002">
      <w:bodyDiv w:val="1"/>
      <w:marLeft w:val="0"/>
      <w:marRight w:val="0"/>
      <w:marTop w:val="0"/>
      <w:marBottom w:val="0"/>
      <w:divBdr>
        <w:top w:val="none" w:sz="0" w:space="0" w:color="auto"/>
        <w:left w:val="none" w:sz="0" w:space="0" w:color="auto"/>
        <w:bottom w:val="none" w:sz="0" w:space="0" w:color="auto"/>
        <w:right w:val="none" w:sz="0" w:space="0" w:color="auto"/>
      </w:divBdr>
      <w:divsChild>
        <w:div w:id="1104423531">
          <w:marLeft w:val="0"/>
          <w:marRight w:val="0"/>
          <w:marTop w:val="0"/>
          <w:marBottom w:val="0"/>
          <w:divBdr>
            <w:top w:val="none" w:sz="0" w:space="0" w:color="auto"/>
            <w:left w:val="none" w:sz="0" w:space="0" w:color="auto"/>
            <w:bottom w:val="none" w:sz="0" w:space="0" w:color="auto"/>
            <w:right w:val="none" w:sz="0" w:space="0" w:color="auto"/>
          </w:divBdr>
          <w:divsChild>
            <w:div w:id="1614704993">
              <w:marLeft w:val="0"/>
              <w:marRight w:val="0"/>
              <w:marTop w:val="0"/>
              <w:marBottom w:val="0"/>
              <w:divBdr>
                <w:top w:val="none" w:sz="0" w:space="0" w:color="auto"/>
                <w:left w:val="none" w:sz="0" w:space="0" w:color="auto"/>
                <w:bottom w:val="none" w:sz="0" w:space="0" w:color="auto"/>
                <w:right w:val="none" w:sz="0" w:space="0" w:color="auto"/>
              </w:divBdr>
              <w:divsChild>
                <w:div w:id="19621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981">
      <w:bodyDiv w:val="1"/>
      <w:marLeft w:val="0"/>
      <w:marRight w:val="0"/>
      <w:marTop w:val="0"/>
      <w:marBottom w:val="0"/>
      <w:divBdr>
        <w:top w:val="none" w:sz="0" w:space="0" w:color="auto"/>
        <w:left w:val="none" w:sz="0" w:space="0" w:color="auto"/>
        <w:bottom w:val="none" w:sz="0" w:space="0" w:color="auto"/>
        <w:right w:val="none" w:sz="0" w:space="0" w:color="auto"/>
      </w:divBdr>
    </w:div>
    <w:div w:id="1404569172">
      <w:bodyDiv w:val="1"/>
      <w:marLeft w:val="0"/>
      <w:marRight w:val="0"/>
      <w:marTop w:val="0"/>
      <w:marBottom w:val="0"/>
      <w:divBdr>
        <w:top w:val="none" w:sz="0" w:space="0" w:color="auto"/>
        <w:left w:val="none" w:sz="0" w:space="0" w:color="auto"/>
        <w:bottom w:val="none" w:sz="0" w:space="0" w:color="auto"/>
        <w:right w:val="none" w:sz="0" w:space="0" w:color="auto"/>
      </w:divBdr>
    </w:div>
    <w:div w:id="1510486472">
      <w:bodyDiv w:val="1"/>
      <w:marLeft w:val="0"/>
      <w:marRight w:val="0"/>
      <w:marTop w:val="0"/>
      <w:marBottom w:val="0"/>
      <w:divBdr>
        <w:top w:val="none" w:sz="0" w:space="0" w:color="auto"/>
        <w:left w:val="none" w:sz="0" w:space="0" w:color="auto"/>
        <w:bottom w:val="none" w:sz="0" w:space="0" w:color="auto"/>
        <w:right w:val="none" w:sz="0" w:space="0" w:color="auto"/>
      </w:divBdr>
    </w:div>
    <w:div w:id="1583028989">
      <w:bodyDiv w:val="1"/>
      <w:marLeft w:val="0"/>
      <w:marRight w:val="0"/>
      <w:marTop w:val="0"/>
      <w:marBottom w:val="0"/>
      <w:divBdr>
        <w:top w:val="none" w:sz="0" w:space="0" w:color="auto"/>
        <w:left w:val="none" w:sz="0" w:space="0" w:color="auto"/>
        <w:bottom w:val="none" w:sz="0" w:space="0" w:color="auto"/>
        <w:right w:val="none" w:sz="0" w:space="0" w:color="auto"/>
      </w:divBdr>
    </w:div>
    <w:div w:id="1603412497">
      <w:bodyDiv w:val="1"/>
      <w:marLeft w:val="0"/>
      <w:marRight w:val="0"/>
      <w:marTop w:val="0"/>
      <w:marBottom w:val="0"/>
      <w:divBdr>
        <w:top w:val="none" w:sz="0" w:space="0" w:color="auto"/>
        <w:left w:val="none" w:sz="0" w:space="0" w:color="auto"/>
        <w:bottom w:val="none" w:sz="0" w:space="0" w:color="auto"/>
        <w:right w:val="none" w:sz="0" w:space="0" w:color="auto"/>
      </w:divBdr>
      <w:divsChild>
        <w:div w:id="46147810">
          <w:marLeft w:val="0"/>
          <w:marRight w:val="0"/>
          <w:marTop w:val="0"/>
          <w:marBottom w:val="0"/>
          <w:divBdr>
            <w:top w:val="none" w:sz="0" w:space="0" w:color="auto"/>
            <w:left w:val="none" w:sz="0" w:space="0" w:color="auto"/>
            <w:bottom w:val="none" w:sz="0" w:space="0" w:color="auto"/>
            <w:right w:val="none" w:sz="0" w:space="0" w:color="auto"/>
          </w:divBdr>
          <w:divsChild>
            <w:div w:id="507840232">
              <w:marLeft w:val="0"/>
              <w:marRight w:val="0"/>
              <w:marTop w:val="0"/>
              <w:marBottom w:val="0"/>
              <w:divBdr>
                <w:top w:val="none" w:sz="0" w:space="0" w:color="auto"/>
                <w:left w:val="none" w:sz="0" w:space="0" w:color="auto"/>
                <w:bottom w:val="none" w:sz="0" w:space="0" w:color="auto"/>
                <w:right w:val="none" w:sz="0" w:space="0" w:color="auto"/>
              </w:divBdr>
            </w:div>
          </w:divsChild>
        </w:div>
        <w:div w:id="260988170">
          <w:marLeft w:val="0"/>
          <w:marRight w:val="0"/>
          <w:marTop w:val="0"/>
          <w:marBottom w:val="0"/>
          <w:divBdr>
            <w:top w:val="none" w:sz="0" w:space="0" w:color="auto"/>
            <w:left w:val="none" w:sz="0" w:space="0" w:color="auto"/>
            <w:bottom w:val="none" w:sz="0" w:space="0" w:color="auto"/>
            <w:right w:val="none" w:sz="0" w:space="0" w:color="auto"/>
          </w:divBdr>
          <w:divsChild>
            <w:div w:id="764687661">
              <w:marLeft w:val="0"/>
              <w:marRight w:val="0"/>
              <w:marTop w:val="0"/>
              <w:marBottom w:val="0"/>
              <w:divBdr>
                <w:top w:val="none" w:sz="0" w:space="0" w:color="auto"/>
                <w:left w:val="none" w:sz="0" w:space="0" w:color="auto"/>
                <w:bottom w:val="none" w:sz="0" w:space="0" w:color="auto"/>
                <w:right w:val="none" w:sz="0" w:space="0" w:color="auto"/>
              </w:divBdr>
              <w:divsChild>
                <w:div w:id="1593318156">
                  <w:marLeft w:val="0"/>
                  <w:marRight w:val="0"/>
                  <w:marTop w:val="0"/>
                  <w:marBottom w:val="0"/>
                  <w:divBdr>
                    <w:top w:val="none" w:sz="0" w:space="0" w:color="auto"/>
                    <w:left w:val="none" w:sz="0" w:space="0" w:color="auto"/>
                    <w:bottom w:val="none" w:sz="0" w:space="0" w:color="auto"/>
                    <w:right w:val="none" w:sz="0" w:space="0" w:color="auto"/>
                  </w:divBdr>
                  <w:divsChild>
                    <w:div w:id="1154374718">
                      <w:marLeft w:val="0"/>
                      <w:marRight w:val="0"/>
                      <w:marTop w:val="0"/>
                      <w:marBottom w:val="0"/>
                      <w:divBdr>
                        <w:top w:val="none" w:sz="0" w:space="0" w:color="auto"/>
                        <w:left w:val="none" w:sz="0" w:space="0" w:color="auto"/>
                        <w:bottom w:val="none" w:sz="0" w:space="0" w:color="auto"/>
                        <w:right w:val="none" w:sz="0" w:space="0" w:color="auto"/>
                      </w:divBdr>
                      <w:divsChild>
                        <w:div w:id="1142112559">
                          <w:marLeft w:val="0"/>
                          <w:marRight w:val="0"/>
                          <w:marTop w:val="0"/>
                          <w:marBottom w:val="0"/>
                          <w:divBdr>
                            <w:top w:val="none" w:sz="0" w:space="0" w:color="auto"/>
                            <w:left w:val="none" w:sz="0" w:space="0" w:color="auto"/>
                            <w:bottom w:val="none" w:sz="0" w:space="0" w:color="auto"/>
                            <w:right w:val="none" w:sz="0" w:space="0" w:color="auto"/>
                          </w:divBdr>
                          <w:divsChild>
                            <w:div w:id="1177498476">
                              <w:marLeft w:val="0"/>
                              <w:marRight w:val="0"/>
                              <w:marTop w:val="0"/>
                              <w:marBottom w:val="0"/>
                              <w:divBdr>
                                <w:top w:val="none" w:sz="0" w:space="0" w:color="auto"/>
                                <w:left w:val="none" w:sz="0" w:space="0" w:color="auto"/>
                                <w:bottom w:val="none" w:sz="0" w:space="0" w:color="auto"/>
                                <w:right w:val="none" w:sz="0" w:space="0" w:color="auto"/>
                              </w:divBdr>
                              <w:divsChild>
                                <w:div w:id="1893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2567">
      <w:bodyDiv w:val="1"/>
      <w:marLeft w:val="0"/>
      <w:marRight w:val="0"/>
      <w:marTop w:val="0"/>
      <w:marBottom w:val="0"/>
      <w:divBdr>
        <w:top w:val="none" w:sz="0" w:space="0" w:color="auto"/>
        <w:left w:val="none" w:sz="0" w:space="0" w:color="auto"/>
        <w:bottom w:val="none" w:sz="0" w:space="0" w:color="auto"/>
        <w:right w:val="none" w:sz="0" w:space="0" w:color="auto"/>
      </w:divBdr>
    </w:div>
    <w:div w:id="1702783677">
      <w:bodyDiv w:val="1"/>
      <w:marLeft w:val="0"/>
      <w:marRight w:val="0"/>
      <w:marTop w:val="0"/>
      <w:marBottom w:val="0"/>
      <w:divBdr>
        <w:top w:val="none" w:sz="0" w:space="0" w:color="auto"/>
        <w:left w:val="none" w:sz="0" w:space="0" w:color="auto"/>
        <w:bottom w:val="none" w:sz="0" w:space="0" w:color="auto"/>
        <w:right w:val="none" w:sz="0" w:space="0" w:color="auto"/>
      </w:divBdr>
    </w:div>
    <w:div w:id="1745444911">
      <w:bodyDiv w:val="1"/>
      <w:marLeft w:val="0"/>
      <w:marRight w:val="0"/>
      <w:marTop w:val="0"/>
      <w:marBottom w:val="0"/>
      <w:divBdr>
        <w:top w:val="none" w:sz="0" w:space="0" w:color="auto"/>
        <w:left w:val="none" w:sz="0" w:space="0" w:color="auto"/>
        <w:bottom w:val="none" w:sz="0" w:space="0" w:color="auto"/>
        <w:right w:val="none" w:sz="0" w:space="0" w:color="auto"/>
      </w:divBdr>
    </w:div>
    <w:div w:id="1791625001">
      <w:bodyDiv w:val="1"/>
      <w:marLeft w:val="0"/>
      <w:marRight w:val="0"/>
      <w:marTop w:val="0"/>
      <w:marBottom w:val="0"/>
      <w:divBdr>
        <w:top w:val="none" w:sz="0" w:space="0" w:color="auto"/>
        <w:left w:val="none" w:sz="0" w:space="0" w:color="auto"/>
        <w:bottom w:val="none" w:sz="0" w:space="0" w:color="auto"/>
        <w:right w:val="none" w:sz="0" w:space="0" w:color="auto"/>
      </w:divBdr>
    </w:div>
    <w:div w:id="1792623409">
      <w:bodyDiv w:val="1"/>
      <w:marLeft w:val="0"/>
      <w:marRight w:val="0"/>
      <w:marTop w:val="0"/>
      <w:marBottom w:val="0"/>
      <w:divBdr>
        <w:top w:val="none" w:sz="0" w:space="0" w:color="auto"/>
        <w:left w:val="none" w:sz="0" w:space="0" w:color="auto"/>
        <w:bottom w:val="none" w:sz="0" w:space="0" w:color="auto"/>
        <w:right w:val="none" w:sz="0" w:space="0" w:color="auto"/>
      </w:divBdr>
      <w:divsChild>
        <w:div w:id="1407261147">
          <w:marLeft w:val="0"/>
          <w:marRight w:val="0"/>
          <w:marTop w:val="0"/>
          <w:marBottom w:val="0"/>
          <w:divBdr>
            <w:top w:val="none" w:sz="0" w:space="0" w:color="auto"/>
            <w:left w:val="none" w:sz="0" w:space="0" w:color="auto"/>
            <w:bottom w:val="none" w:sz="0" w:space="0" w:color="auto"/>
            <w:right w:val="none" w:sz="0" w:space="0" w:color="auto"/>
          </w:divBdr>
        </w:div>
        <w:div w:id="1608149893">
          <w:marLeft w:val="0"/>
          <w:marRight w:val="0"/>
          <w:marTop w:val="0"/>
          <w:marBottom w:val="300"/>
          <w:divBdr>
            <w:top w:val="none" w:sz="0" w:space="0" w:color="auto"/>
            <w:left w:val="none" w:sz="0" w:space="0" w:color="auto"/>
            <w:bottom w:val="none" w:sz="0" w:space="0" w:color="auto"/>
            <w:right w:val="none" w:sz="0" w:space="0" w:color="auto"/>
          </w:divBdr>
          <w:divsChild>
            <w:div w:id="760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9086">
      <w:bodyDiv w:val="1"/>
      <w:marLeft w:val="0"/>
      <w:marRight w:val="0"/>
      <w:marTop w:val="0"/>
      <w:marBottom w:val="0"/>
      <w:divBdr>
        <w:top w:val="none" w:sz="0" w:space="0" w:color="auto"/>
        <w:left w:val="none" w:sz="0" w:space="0" w:color="auto"/>
        <w:bottom w:val="none" w:sz="0" w:space="0" w:color="auto"/>
        <w:right w:val="none" w:sz="0" w:space="0" w:color="auto"/>
      </w:divBdr>
    </w:div>
    <w:div w:id="1914507100">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9">
          <w:marLeft w:val="0"/>
          <w:marRight w:val="0"/>
          <w:marTop w:val="0"/>
          <w:marBottom w:val="0"/>
          <w:divBdr>
            <w:top w:val="none" w:sz="0" w:space="0" w:color="auto"/>
            <w:left w:val="none" w:sz="0" w:space="0" w:color="auto"/>
            <w:bottom w:val="none" w:sz="0" w:space="0" w:color="auto"/>
            <w:right w:val="none" w:sz="0" w:space="0" w:color="auto"/>
          </w:divBdr>
          <w:divsChild>
            <w:div w:id="1436514197">
              <w:marLeft w:val="0"/>
              <w:marRight w:val="0"/>
              <w:marTop w:val="0"/>
              <w:marBottom w:val="0"/>
              <w:divBdr>
                <w:top w:val="none" w:sz="0" w:space="0" w:color="auto"/>
                <w:left w:val="none" w:sz="0" w:space="0" w:color="auto"/>
                <w:bottom w:val="none" w:sz="0" w:space="0" w:color="auto"/>
                <w:right w:val="none" w:sz="0" w:space="0" w:color="auto"/>
              </w:divBdr>
              <w:divsChild>
                <w:div w:id="12837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4776">
      <w:bodyDiv w:val="1"/>
      <w:marLeft w:val="0"/>
      <w:marRight w:val="0"/>
      <w:marTop w:val="0"/>
      <w:marBottom w:val="0"/>
      <w:divBdr>
        <w:top w:val="none" w:sz="0" w:space="0" w:color="auto"/>
        <w:left w:val="none" w:sz="0" w:space="0" w:color="auto"/>
        <w:bottom w:val="none" w:sz="0" w:space="0" w:color="auto"/>
        <w:right w:val="none" w:sz="0" w:space="0" w:color="auto"/>
      </w:divBdr>
    </w:div>
    <w:div w:id="2016151568">
      <w:bodyDiv w:val="1"/>
      <w:marLeft w:val="0"/>
      <w:marRight w:val="0"/>
      <w:marTop w:val="0"/>
      <w:marBottom w:val="0"/>
      <w:divBdr>
        <w:top w:val="none" w:sz="0" w:space="0" w:color="auto"/>
        <w:left w:val="none" w:sz="0" w:space="0" w:color="auto"/>
        <w:bottom w:val="none" w:sz="0" w:space="0" w:color="auto"/>
        <w:right w:val="none" w:sz="0" w:space="0" w:color="auto"/>
      </w:divBdr>
      <w:divsChild>
        <w:div w:id="195780747">
          <w:marLeft w:val="0"/>
          <w:marRight w:val="0"/>
          <w:marTop w:val="0"/>
          <w:marBottom w:val="0"/>
          <w:divBdr>
            <w:top w:val="none" w:sz="0" w:space="0" w:color="auto"/>
            <w:left w:val="none" w:sz="0" w:space="0" w:color="auto"/>
            <w:bottom w:val="none" w:sz="0" w:space="0" w:color="auto"/>
            <w:right w:val="none" w:sz="0" w:space="0" w:color="auto"/>
          </w:divBdr>
        </w:div>
        <w:div w:id="293606241">
          <w:marLeft w:val="0"/>
          <w:marRight w:val="0"/>
          <w:marTop w:val="0"/>
          <w:marBottom w:val="0"/>
          <w:divBdr>
            <w:top w:val="none" w:sz="0" w:space="0" w:color="auto"/>
            <w:left w:val="none" w:sz="0" w:space="0" w:color="auto"/>
            <w:bottom w:val="none" w:sz="0" w:space="0" w:color="auto"/>
            <w:right w:val="none" w:sz="0" w:space="0" w:color="auto"/>
          </w:divBdr>
        </w:div>
        <w:div w:id="1380351237">
          <w:marLeft w:val="0"/>
          <w:marRight w:val="0"/>
          <w:marTop w:val="0"/>
          <w:marBottom w:val="0"/>
          <w:divBdr>
            <w:top w:val="none" w:sz="0" w:space="0" w:color="auto"/>
            <w:left w:val="none" w:sz="0" w:space="0" w:color="auto"/>
            <w:bottom w:val="none" w:sz="0" w:space="0" w:color="auto"/>
            <w:right w:val="none" w:sz="0" w:space="0" w:color="auto"/>
          </w:divBdr>
        </w:div>
        <w:div w:id="1553274770">
          <w:marLeft w:val="0"/>
          <w:marRight w:val="0"/>
          <w:marTop w:val="0"/>
          <w:marBottom w:val="0"/>
          <w:divBdr>
            <w:top w:val="none" w:sz="0" w:space="0" w:color="auto"/>
            <w:left w:val="none" w:sz="0" w:space="0" w:color="auto"/>
            <w:bottom w:val="none" w:sz="0" w:space="0" w:color="auto"/>
            <w:right w:val="none" w:sz="0" w:space="0" w:color="auto"/>
          </w:divBdr>
        </w:div>
        <w:div w:id="1635329020">
          <w:marLeft w:val="0"/>
          <w:marRight w:val="0"/>
          <w:marTop w:val="0"/>
          <w:marBottom w:val="0"/>
          <w:divBdr>
            <w:top w:val="none" w:sz="0" w:space="0" w:color="auto"/>
            <w:left w:val="none" w:sz="0" w:space="0" w:color="auto"/>
            <w:bottom w:val="none" w:sz="0" w:space="0" w:color="auto"/>
            <w:right w:val="none" w:sz="0" w:space="0" w:color="auto"/>
          </w:divBdr>
        </w:div>
        <w:div w:id="1747412017">
          <w:marLeft w:val="0"/>
          <w:marRight w:val="0"/>
          <w:marTop w:val="0"/>
          <w:marBottom w:val="0"/>
          <w:divBdr>
            <w:top w:val="none" w:sz="0" w:space="0" w:color="auto"/>
            <w:left w:val="none" w:sz="0" w:space="0" w:color="auto"/>
            <w:bottom w:val="none" w:sz="0" w:space="0" w:color="auto"/>
            <w:right w:val="none" w:sz="0" w:space="0" w:color="auto"/>
          </w:divBdr>
        </w:div>
      </w:divsChild>
    </w:div>
    <w:div w:id="2077513473">
      <w:bodyDiv w:val="1"/>
      <w:marLeft w:val="0"/>
      <w:marRight w:val="0"/>
      <w:marTop w:val="0"/>
      <w:marBottom w:val="0"/>
      <w:divBdr>
        <w:top w:val="none" w:sz="0" w:space="0" w:color="auto"/>
        <w:left w:val="none" w:sz="0" w:space="0" w:color="auto"/>
        <w:bottom w:val="none" w:sz="0" w:space="0" w:color="auto"/>
        <w:right w:val="none" w:sz="0" w:space="0" w:color="auto"/>
      </w:divBdr>
    </w:div>
    <w:div w:id="2113668801">
      <w:bodyDiv w:val="1"/>
      <w:marLeft w:val="0"/>
      <w:marRight w:val="0"/>
      <w:marTop w:val="0"/>
      <w:marBottom w:val="0"/>
      <w:divBdr>
        <w:top w:val="none" w:sz="0" w:space="0" w:color="auto"/>
        <w:left w:val="none" w:sz="0" w:space="0" w:color="auto"/>
        <w:bottom w:val="none" w:sz="0" w:space="0" w:color="auto"/>
        <w:right w:val="none" w:sz="0" w:space="0" w:color="auto"/>
      </w:divBdr>
      <w:divsChild>
        <w:div w:id="828322913">
          <w:marLeft w:val="0"/>
          <w:marRight w:val="0"/>
          <w:marTop w:val="0"/>
          <w:marBottom w:val="0"/>
          <w:divBdr>
            <w:top w:val="none" w:sz="0" w:space="0" w:color="auto"/>
            <w:left w:val="none" w:sz="0" w:space="0" w:color="auto"/>
            <w:bottom w:val="none" w:sz="0" w:space="0" w:color="auto"/>
            <w:right w:val="none" w:sz="0" w:space="0" w:color="auto"/>
          </w:divBdr>
          <w:divsChild>
            <w:div w:id="1306471819">
              <w:marLeft w:val="0"/>
              <w:marRight w:val="0"/>
              <w:marTop w:val="0"/>
              <w:marBottom w:val="0"/>
              <w:divBdr>
                <w:top w:val="none" w:sz="0" w:space="0" w:color="auto"/>
                <w:left w:val="none" w:sz="0" w:space="0" w:color="auto"/>
                <w:bottom w:val="none" w:sz="0" w:space="0" w:color="auto"/>
                <w:right w:val="none" w:sz="0" w:space="0" w:color="auto"/>
              </w:divBdr>
              <w:divsChild>
                <w:div w:id="12562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lesshub.ca/resource/disorder-and-public-spaces-montreal-repression-and-resistance-through-law-politics-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lesshub.ca/resource/policing-homelessness-report-research-project-regulation-public-space-and-criminaliz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melesshub.ca/resource/disorderly-people-law-and-politics-exclusion-ontario" TargetMode="External"/><Relationship Id="rId4" Type="http://schemas.openxmlformats.org/officeDocument/2006/relationships/settings" Target="settings.xml"/><Relationship Id="rId9" Type="http://schemas.openxmlformats.org/officeDocument/2006/relationships/hyperlink" Target="http://homelesshub.ca/resource/young-and-homeless-hollywood-mapping-social-ident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A9DB-67BC-4BAA-A479-015917EE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262</Pages>
  <Words>11333</Words>
  <Characters>64602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Everything Comes at a Price:                             An Exploration of the Impact of Bylaw Enforcement Practices in the City of Calgary</vt:lpstr>
    </vt:vector>
  </TitlesOfParts>
  <Company/>
  <LinksUpToDate>false</LinksUpToDate>
  <CharactersWithSpaces>75784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Comes at a Price:                             An Exploration of the Impact of Bylaw Enforcement Practices in the City of Calgary</dc:title>
  <dc:subject>A Report prepared for the Alberta Human Rights Commission</dc:subject>
  <dc:creator>Nicole Williams (Elizabeth Fry Society of Calgary) on behalf of the Justice Sector Constellation.   November 2017</dc:creator>
  <cp:keywords/>
  <dc:description/>
  <cp:lastModifiedBy>Nicole Williams</cp:lastModifiedBy>
  <cp:revision>2</cp:revision>
  <dcterms:created xsi:type="dcterms:W3CDTF">2018-10-29T18:43:00Z</dcterms:created>
  <dcterms:modified xsi:type="dcterms:W3CDTF">2018-10-29T18:43:00Z</dcterms:modified>
</cp:coreProperties>
</file>