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3477580" w:displacedByCustomXml="next"/>
    <w:bookmarkEnd w:id="0" w:displacedByCustomXml="next"/>
    <w:sdt>
      <w:sdtPr>
        <w:id w:val="-2092847406"/>
        <w:docPartObj>
          <w:docPartGallery w:val="Cover Pages"/>
          <w:docPartUnique/>
        </w:docPartObj>
      </w:sdtPr>
      <w:sdtEndPr>
        <w:rPr>
          <w:noProof/>
        </w:rPr>
      </w:sdtEndPr>
      <w:sdtContent>
        <w:p w14:paraId="5666B025" w14:textId="2B52AAF4" w:rsidR="006D63C2" w:rsidRDefault="00122301">
          <w:r>
            <w:rPr>
              <w:noProof/>
              <w:lang w:val="en-US"/>
            </w:rPr>
            <mc:AlternateContent>
              <mc:Choice Requires="wps">
                <w:drawing>
                  <wp:anchor distT="0" distB="0" distL="114300" distR="114300" simplePos="0" relativeHeight="251628032" behindDoc="0" locked="0" layoutInCell="1" allowOverlap="1" wp14:anchorId="1D752524" wp14:editId="19561C06">
                    <wp:simplePos x="0" y="0"/>
                    <wp:positionH relativeFrom="column">
                      <wp:posOffset>-445478</wp:posOffset>
                    </wp:positionH>
                    <wp:positionV relativeFrom="paragraph">
                      <wp:posOffset>-457200</wp:posOffset>
                    </wp:positionV>
                    <wp:extent cx="222739" cy="9940778"/>
                    <wp:effectExtent l="0" t="0" r="25400" b="22860"/>
                    <wp:wrapNone/>
                    <wp:docPr id="33" name="Rectangle 33"/>
                    <wp:cNvGraphicFramePr/>
                    <a:graphic xmlns:a="http://schemas.openxmlformats.org/drawingml/2006/main">
                      <a:graphicData uri="http://schemas.microsoft.com/office/word/2010/wordprocessingShape">
                        <wps:wsp>
                          <wps:cNvSpPr/>
                          <wps:spPr>
                            <a:xfrm>
                              <a:off x="0" y="0"/>
                              <a:ext cx="222739" cy="99407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22A98" id="Rectangle 33" o:spid="_x0000_s1026" style="position:absolute;margin-left:-35.1pt;margin-top:-36pt;width:17.55pt;height:782.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" fillcolor="white [3212]" strokecolor="white [3212]" strokeweight="1.5pt">
                    <v:stroke endcap="round"/>
                  </v:rect>
                </w:pict>
              </mc:Fallback>
            </mc:AlternateContent>
          </w:r>
          <w:r w:rsidR="006D63C2">
            <w:rPr>
              <w:noProof/>
              <w:lang w:val="en-US"/>
            </w:rPr>
            <mc:AlternateContent>
              <mc:Choice Requires="wps">
                <w:drawing>
                  <wp:anchor distT="0" distB="0" distL="114300" distR="114300" simplePos="0" relativeHeight="251621888" behindDoc="0" locked="0" layoutInCell="1" allowOverlap="1" wp14:anchorId="25C6F521" wp14:editId="177DCE33">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01200"/>
                    <wp:effectExtent l="0" t="0" r="8890" b="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01200"/>
                            </a:xfrm>
                            <a:prstGeom prst="rect">
                              <a:avLst/>
                            </a:prstGeom>
                            <a:solidFill>
                              <a:schemeClr val="accent1"/>
                            </a:solidFill>
                            <a:ln>
                              <a:noFill/>
                            </a:ln>
                          </wps:spPr>
                          <wps:txbx>
                            <w:txbxContent>
                              <w:p w14:paraId="4BCCA712" w14:textId="43DE1877" w:rsidR="00A56EB4" w:rsidRDefault="00A56EB4">
                                <w:pPr>
                                  <w:pStyle w:val="Title"/>
                                  <w:jc w:val="right"/>
                                  <w:rPr>
                                    <w:caps/>
                                    <w:color w:val="FFFFFF" w:themeColor="background1"/>
                                    <w:sz w:val="80"/>
                                    <w:szCs w:val="80"/>
                                  </w:rPr>
                                </w:pPr>
                              </w:p>
                              <w:p w14:paraId="05323A28" w14:textId="77777777" w:rsidR="00A56EB4" w:rsidRDefault="00A56EB4">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p w14:paraId="72EDB11F" w14:textId="3A5D55FD" w:rsidR="00A56EB4" w:rsidRDefault="00A56EB4">
                                    <w:pPr>
                                      <w:spacing w:before="240"/>
                                      <w:ind w:left="1008"/>
                                      <w:jc w:val="right"/>
                                      <w:rPr>
                                        <w:color w:val="FFFFFF" w:themeColor="background1"/>
                                      </w:rPr>
                                    </w:pPr>
                                    <w:r>
                                      <w:rPr>
                                        <w:color w:val="FFFFFF" w:themeColor="background1"/>
                                        <w:sz w:val="21"/>
                                        <w:szCs w:val="21"/>
                                      </w:rPr>
                                      <w:t>Take home messges here</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0</wp14:pctHeight>
                    </wp14:sizeRelV>
                  </wp:anchor>
                </w:drawing>
              </mc:Choice>
              <mc:Fallback>
                <w:pict>
                  <v:rect w14:anchorId="25C6F521" id="Rectangle 16" o:spid="_x0000_s1026" style="position:absolute;margin-left:0;margin-top:0;width:422.3pt;height:756pt;z-index:251621888;visibility:visible;mso-wrap-style:square;mso-width-percent:690;mso-height-percent:0;mso-left-percent:20;mso-top-percent:20;mso-wrap-distance-left:9pt;mso-wrap-distance-top:0;mso-wrap-distance-right:9pt;mso-wrap-distance-bottom:0;mso-position-horizontal-relative:page;mso-position-vertical-relative:page;mso-width-percent:69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" fillcolor="#369 [3204]" stroked="f">
                    <v:textbox inset="21.6pt,1in,21.6pt">
                      <w:txbxContent>
                        <w:p w14:paraId="4BCCA712" w14:textId="43DE1877" w:rsidR="00A56EB4" w:rsidRDefault="00A56EB4">
                          <w:pPr>
                            <w:pStyle w:val="Title"/>
                            <w:jc w:val="right"/>
                            <w:rPr>
                              <w:caps/>
                              <w:color w:val="FFFFFF" w:themeColor="background1"/>
                              <w:sz w:val="80"/>
                              <w:szCs w:val="80"/>
                            </w:rPr>
                          </w:pPr>
                        </w:p>
                        <w:p w14:paraId="05323A28" w14:textId="77777777" w:rsidR="00A56EB4" w:rsidRDefault="00A56EB4">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p w14:paraId="72EDB11F" w14:textId="3A5D55FD" w:rsidR="00A56EB4" w:rsidRDefault="00A56EB4">
                              <w:pPr>
                                <w:spacing w:before="240"/>
                                <w:ind w:left="1008"/>
                                <w:jc w:val="right"/>
                                <w:rPr>
                                  <w:color w:val="FFFFFF" w:themeColor="background1"/>
                                </w:rPr>
                              </w:pPr>
                              <w:r>
                                <w:rPr>
                                  <w:color w:val="FFFFFF" w:themeColor="background1"/>
                                  <w:sz w:val="21"/>
                                  <w:szCs w:val="21"/>
                                </w:rPr>
                                <w:t>Take home messges here</w:t>
                              </w:r>
                            </w:p>
                          </w:sdtContent>
                        </w:sdt>
                      </w:txbxContent>
                    </v:textbox>
                    <w10:wrap anchorx="page" anchory="page"/>
                  </v:rect>
                </w:pict>
              </mc:Fallback>
            </mc:AlternateContent>
          </w:r>
          <w:r w:rsidR="006D63C2">
            <w:rPr>
              <w:noProof/>
              <w:lang w:val="en-US"/>
            </w:rPr>
            <mc:AlternateContent>
              <mc:Choice Requires="wps">
                <w:drawing>
                  <wp:anchor distT="0" distB="0" distL="114300" distR="114300" simplePos="0" relativeHeight="251622912" behindDoc="0" locked="0" layoutInCell="1" allowOverlap="1" wp14:anchorId="662B5441" wp14:editId="505C40F6">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23B0F2FE" w14:textId="286E99F8" w:rsidR="00A56EB4" w:rsidRDefault="00A56EB4">
                                    <w:pPr>
                                      <w:pStyle w:val="Subtitle"/>
                                      <w:rPr>
                                        <w:color w:val="FFFFFF" w:themeColor="background1"/>
                                      </w:rPr>
                                    </w:pPr>
                                    <w:r>
                                      <w:rPr>
                                        <w:color w:val="FFFFFF" w:themeColor="background1"/>
                                      </w:rPr>
                                      <w:t>The Elizabeth Fry Society of Calgary</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62B5441" id="Rectangle 472" o:spid="_x0000_s1027" style="position:absolute;margin-left:0;margin-top:0;width:148.1pt;height:760.3pt;z-index:25162291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" fillcolor="#595959 [3215]" stroked="f" strokeweight="1.5pt">
                    <v:stroke endcap="round"/>
                    <v:textbox inset="14.4pt,,14.4pt">
                      <w:txbxContent>
                        <w:sdt>
                          <w:sdtPr>
                            <w:rPr>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23B0F2FE" w14:textId="286E99F8" w:rsidR="00A56EB4" w:rsidRDefault="00A56EB4">
                              <w:pPr>
                                <w:pStyle w:val="Subtitle"/>
                                <w:rPr>
                                  <w:color w:val="FFFFFF" w:themeColor="background1"/>
                                </w:rPr>
                              </w:pPr>
                              <w:r>
                                <w:rPr>
                                  <w:color w:val="FFFFFF" w:themeColor="background1"/>
                                </w:rPr>
                                <w:t>The Elizabeth Fry Society of Calgary</w:t>
                              </w:r>
                            </w:p>
                          </w:sdtContent>
                        </w:sdt>
                      </w:txbxContent>
                    </v:textbox>
                    <w10:wrap anchorx="page" anchory="page"/>
                  </v:rect>
                </w:pict>
              </mc:Fallback>
            </mc:AlternateContent>
          </w:r>
        </w:p>
        <w:p w14:paraId="3C806C49" w14:textId="17EC7AD6" w:rsidR="006D63C2" w:rsidRDefault="00122301">
          <w:r>
            <w:rPr>
              <w:noProof/>
              <w:lang w:val="en-US"/>
            </w:rPr>
            <w:drawing>
              <wp:anchor distT="0" distB="0" distL="114300" distR="114300" simplePos="0" relativeHeight="251624960" behindDoc="0" locked="0" layoutInCell="1" allowOverlap="1" wp14:anchorId="69985185" wp14:editId="7E34ED50">
                <wp:simplePos x="0" y="0"/>
                <wp:positionH relativeFrom="margin">
                  <wp:posOffset>-3602576</wp:posOffset>
                </wp:positionH>
                <wp:positionV relativeFrom="page">
                  <wp:posOffset>1260499</wp:posOffset>
                </wp:positionV>
                <wp:extent cx="9731327" cy="7628255"/>
                <wp:effectExtent l="0" t="0" r="7303" b="0"/>
                <wp:wrapNone/>
                <wp:docPr id="171" name="Picture 171" descr="Worms Eyeview of Gree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ms Eyeview of Green Trees"/>
                        <pic:cNvPicPr>
                          <a:picLocks noChangeAspect="1" noChangeArrowheads="1"/>
                        </pic:cNvPicPr>
                      </pic:nvPicPr>
                      <pic:blipFill rotWithShape="1">
                        <a:blip r:embed="rId9">
                          <a:extLst>
                            <a:ext uri="{28A0092B-C50C-407E-A947-70E740481C1C}">
                              <a14:useLocalDpi xmlns:a14="http://schemas.microsoft.com/office/drawing/2010/main" val="0"/>
                            </a:ext>
                          </a:extLst>
                        </a:blip>
                        <a:srcRect l="1176" t="16365" r="-1176" b="-16365"/>
                        <a:stretch/>
                      </pic:blipFill>
                      <pic:spPr bwMode="auto">
                        <a:xfrm rot="5400000">
                          <a:off x="0" y="0"/>
                          <a:ext cx="9732801" cy="7629411"/>
                        </a:xfrm>
                        <a:prstGeom prst="rect">
                          <a:avLst/>
                        </a:prstGeom>
                      </pic:spPr>
                    </pic:pic>
                  </a:graphicData>
                </a:graphic>
                <wp14:sizeRelH relativeFrom="page">
                  <wp14:pctWidth>0</wp14:pctWidth>
                </wp14:sizeRelH>
                <wp14:sizeRelV relativeFrom="page">
                  <wp14:pctHeight>0</wp14:pctHeight>
                </wp14:sizeRelV>
              </wp:anchor>
            </w:drawing>
          </w:r>
        </w:p>
        <w:p w14:paraId="4B81C0C2" w14:textId="33A339C8" w:rsidR="006D63C2" w:rsidRDefault="00CF5FD1">
          <w:pPr>
            <w:rPr>
              <w:noProof/>
            </w:rPr>
          </w:pPr>
          <w:r>
            <w:rPr>
              <w:noProof/>
              <w:lang w:val="en-US"/>
            </w:rPr>
            <mc:AlternateContent>
              <mc:Choice Requires="wps">
                <w:drawing>
                  <wp:anchor distT="45720" distB="45720" distL="114300" distR="114300" simplePos="0" relativeHeight="251627008" behindDoc="0" locked="0" layoutInCell="1" allowOverlap="1" wp14:anchorId="6BA91CE5" wp14:editId="4F810EFF">
                    <wp:simplePos x="0" y="0"/>
                    <wp:positionH relativeFrom="column">
                      <wp:posOffset>69850</wp:posOffset>
                    </wp:positionH>
                    <wp:positionV relativeFrom="paragraph">
                      <wp:posOffset>2764155</wp:posOffset>
                    </wp:positionV>
                    <wp:extent cx="4923155" cy="1664335"/>
                    <wp:effectExtent l="0" t="0" r="0" b="0"/>
                    <wp:wrapSquare wrapText="bothSides"/>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1664335"/>
                            </a:xfrm>
                            <a:prstGeom prst="rect">
                              <a:avLst/>
                            </a:prstGeom>
                            <a:noFill/>
                            <a:ln w="9525">
                              <a:noFill/>
                              <a:miter lim="800000"/>
                              <a:headEnd/>
                              <a:tailEnd/>
                            </a:ln>
                          </wps:spPr>
                          <wps:txbx>
                            <w:txbxContent>
                              <w:p w14:paraId="7CB8209D" w14:textId="262FE64D" w:rsidR="00A56EB4" w:rsidRPr="002C6635" w:rsidRDefault="00A56EB4" w:rsidP="002C6635">
                                <w:pPr>
                                  <w:pStyle w:val="Title"/>
                                  <w:rPr>
                                    <w:color w:val="FFFFFF" w:themeColor="background1"/>
                                    <w:sz w:val="80"/>
                                    <w:szCs w:val="80"/>
                                  </w:rPr>
                                </w:pPr>
                                <w:r w:rsidRPr="002C6635">
                                  <w:rPr>
                                    <w:color w:val="FFFFFF" w:themeColor="background1"/>
                                    <w:sz w:val="80"/>
                                    <w:szCs w:val="80"/>
                                  </w:rPr>
                                  <w:t>Court Service Provision Report</w:t>
                                </w:r>
                              </w:p>
                              <w:p w14:paraId="0E43A869" w14:textId="363DD243" w:rsidR="00A56EB4" w:rsidRPr="002C6635" w:rsidRDefault="00A56EB4" w:rsidP="002C6635">
                                <w:pPr>
                                  <w:pStyle w:val="Title"/>
                                  <w:rPr>
                                    <w:color w:val="FFFFFF" w:themeColor="background1"/>
                                  </w:rPr>
                                </w:pPr>
                                <w:r w:rsidRPr="002C6635">
                                  <w:rPr>
                                    <w:color w:val="FFFFFF" w:themeColor="background1"/>
                                  </w:rPr>
                                  <w:t>January 2017-December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91CE5" id="_x0000_t202" coordsize="21600,21600" o:spt="202" path="m,l,21600r21600,l21600,xe">
                    <v:stroke joinstyle="miter"/>
                    <v:path gradientshapeok="t" o:connecttype="rect"/>
                  </v:shapetype>
                  <v:shape id="Text Box 2" o:spid="_x0000_s1028" type="#_x0000_t202" style="position:absolute;margin-left:5.5pt;margin-top:217.65pt;width:387.65pt;height:131.05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" filled="f" stroked="f">
                    <v:textbox>
                      <w:txbxContent>
                        <w:p w14:paraId="7CB8209D" w14:textId="262FE64D" w:rsidR="00A56EB4" w:rsidRPr="002C6635" w:rsidRDefault="00A56EB4" w:rsidP="002C6635">
                          <w:pPr>
                            <w:pStyle w:val="Title"/>
                            <w:rPr>
                              <w:color w:val="FFFFFF" w:themeColor="background1"/>
                              <w:sz w:val="80"/>
                              <w:szCs w:val="80"/>
                            </w:rPr>
                          </w:pPr>
                          <w:r w:rsidRPr="002C6635">
                            <w:rPr>
                              <w:color w:val="FFFFFF" w:themeColor="background1"/>
                              <w:sz w:val="80"/>
                              <w:szCs w:val="80"/>
                            </w:rPr>
                            <w:t>Court Service Provision Report</w:t>
                          </w:r>
                        </w:p>
                        <w:p w14:paraId="0E43A869" w14:textId="363DD243" w:rsidR="00A56EB4" w:rsidRPr="002C6635" w:rsidRDefault="00A56EB4" w:rsidP="002C6635">
                          <w:pPr>
                            <w:pStyle w:val="Title"/>
                            <w:rPr>
                              <w:color w:val="FFFFFF" w:themeColor="background1"/>
                            </w:rPr>
                          </w:pPr>
                          <w:r w:rsidRPr="002C6635">
                            <w:rPr>
                              <w:color w:val="FFFFFF" w:themeColor="background1"/>
                            </w:rPr>
                            <w:t>January 2017-December 2018</w:t>
                          </w:r>
                        </w:p>
                      </w:txbxContent>
                    </v:textbox>
                    <w10:wrap type="square"/>
                  </v:shape>
                </w:pict>
              </mc:Fallback>
            </mc:AlternateContent>
          </w:r>
          <w:r w:rsidR="002C6635">
            <w:rPr>
              <w:noProof/>
              <w:lang w:val="en-US"/>
            </w:rPr>
            <mc:AlternateContent>
              <mc:Choice Requires="wps">
                <w:drawing>
                  <wp:anchor distT="0" distB="0" distL="114300" distR="114300" simplePos="0" relativeHeight="251625984" behindDoc="0" locked="0" layoutInCell="1" allowOverlap="1" wp14:anchorId="65E50B56" wp14:editId="25292D12">
                    <wp:simplePos x="0" y="0"/>
                    <wp:positionH relativeFrom="margin">
                      <wp:align>left</wp:align>
                    </wp:positionH>
                    <wp:positionV relativeFrom="paragraph">
                      <wp:posOffset>2752823</wp:posOffset>
                    </wp:positionV>
                    <wp:extent cx="7080738" cy="1735015"/>
                    <wp:effectExtent l="0" t="0" r="6350" b="0"/>
                    <wp:wrapNone/>
                    <wp:docPr id="172" name="Rectangle 172"/>
                    <wp:cNvGraphicFramePr/>
                    <a:graphic xmlns:a="http://schemas.openxmlformats.org/drawingml/2006/main">
                      <a:graphicData uri="http://schemas.microsoft.com/office/word/2010/wordprocessingShape">
                        <wps:wsp>
                          <wps:cNvSpPr/>
                          <wps:spPr>
                            <a:xfrm>
                              <a:off x="0" y="0"/>
                              <a:ext cx="7080738" cy="173501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71B54" id="Rectangle 172" o:spid="_x0000_s1026" style="position:absolute;margin-left:0;margin-top:216.75pt;width:557.55pt;height:136.6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" fillcolor="black [3200]" stroked="f">
                    <v:fill opacity="32896f"/>
                    <w10:wrap anchorx="margin"/>
                  </v:rect>
                </w:pict>
              </mc:Fallback>
            </mc:AlternateContent>
          </w:r>
          <w:r w:rsidR="005A614B">
            <w:rPr>
              <w:noProof/>
              <w:lang w:val="en-US"/>
            </w:rPr>
            <w:drawing>
              <wp:anchor distT="0" distB="0" distL="114300" distR="114300" simplePos="0" relativeHeight="251623936" behindDoc="1" locked="0" layoutInCell="1" allowOverlap="1" wp14:anchorId="05239FF4" wp14:editId="37B2DC9D">
                <wp:simplePos x="0" y="0"/>
                <wp:positionH relativeFrom="column">
                  <wp:posOffset>5400675</wp:posOffset>
                </wp:positionH>
                <wp:positionV relativeFrom="paragraph">
                  <wp:posOffset>7104380</wp:posOffset>
                </wp:positionV>
                <wp:extent cx="1496291" cy="1496291"/>
                <wp:effectExtent l="0" t="0" r="8890" b="8890"/>
                <wp:wrapThrough wrapText="bothSides">
                  <wp:wrapPolygon edited="0">
                    <wp:start x="0" y="0"/>
                    <wp:lineTo x="0" y="21453"/>
                    <wp:lineTo x="21453" y="21453"/>
                    <wp:lineTo x="21453" y="0"/>
                    <wp:lineTo x="0" y="0"/>
                  </wp:wrapPolygon>
                </wp:wrapThrough>
                <wp:docPr id="170" name="Picture 170" descr="Image result for elizabeth fry cal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fry calg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6291" cy="1496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3C2">
            <w:rPr>
              <w:noProof/>
            </w:rPr>
            <w:br w:type="page"/>
          </w:r>
        </w:p>
      </w:sdtContent>
    </w:sdt>
    <w:bookmarkStart w:id="1" w:name="_Toc16262313" w:displacedByCustomXml="next"/>
    <w:sdt>
      <w:sdtPr>
        <w:rPr>
          <w:rFonts w:asciiTheme="minorHAnsi" w:eastAsiaTheme="minorEastAsia" w:hAnsiTheme="minorHAnsi" w:cstheme="minorBidi"/>
          <w:b w:val="0"/>
          <w:bCs w:val="0"/>
          <w:smallCaps w:val="0"/>
          <w:color w:val="auto"/>
          <w:sz w:val="22"/>
          <w:szCs w:val="22"/>
        </w:rPr>
        <w:id w:val="-397056415"/>
        <w:docPartObj>
          <w:docPartGallery w:val="Table of Contents"/>
          <w:docPartUnique/>
        </w:docPartObj>
      </w:sdtPr>
      <w:sdtEndPr>
        <w:rPr>
          <w:noProof/>
        </w:rPr>
      </w:sdtEndPr>
      <w:sdtContent>
        <w:p w14:paraId="4CE2B13E" w14:textId="6E19F078" w:rsidR="00BD028D" w:rsidRDefault="00BD028D">
          <w:pPr>
            <w:pStyle w:val="TOCHeading"/>
          </w:pPr>
          <w:r>
            <w:t>Contents</w:t>
          </w:r>
          <w:bookmarkEnd w:id="1"/>
        </w:p>
        <w:p w14:paraId="6AE44863" w14:textId="47CAF8B7" w:rsidR="00911BA0" w:rsidRDefault="00BD028D">
          <w:pPr>
            <w:pStyle w:val="TOC1"/>
            <w:tabs>
              <w:tab w:val="left" w:pos="660"/>
              <w:tab w:val="right" w:leader="dot" w:pos="10790"/>
            </w:tabs>
            <w:rPr>
              <w:rFonts w:cstheme="minorBidi"/>
              <w:noProof/>
              <w:lang w:val="en-CA" w:eastAsia="en-CA"/>
            </w:rPr>
          </w:pPr>
          <w:r>
            <w:fldChar w:fldCharType="begin"/>
          </w:r>
          <w:r>
            <w:instrText xml:space="preserve"> TOC \o "1-3" \h \z \u </w:instrText>
          </w:r>
          <w:r>
            <w:fldChar w:fldCharType="separate"/>
          </w:r>
          <w:hyperlink w:anchor="_Toc16262313" w:history="1">
            <w:r w:rsidR="00911BA0" w:rsidRPr="00650CCB">
              <w:rPr>
                <w:rStyle w:val="Hyperlink"/>
                <w:noProof/>
              </w:rPr>
              <w:t>1</w:t>
            </w:r>
            <w:r w:rsidR="00911BA0">
              <w:rPr>
                <w:rFonts w:cstheme="minorBidi"/>
                <w:noProof/>
                <w:lang w:val="en-CA" w:eastAsia="en-CA"/>
              </w:rPr>
              <w:tab/>
            </w:r>
            <w:r w:rsidR="00911BA0" w:rsidRPr="00650CCB">
              <w:rPr>
                <w:rStyle w:val="Hyperlink"/>
                <w:noProof/>
              </w:rPr>
              <w:t>Contents</w:t>
            </w:r>
            <w:r w:rsidR="00911BA0">
              <w:rPr>
                <w:noProof/>
                <w:webHidden/>
              </w:rPr>
              <w:tab/>
            </w:r>
            <w:r w:rsidR="00911BA0">
              <w:rPr>
                <w:noProof/>
                <w:webHidden/>
              </w:rPr>
              <w:fldChar w:fldCharType="begin"/>
            </w:r>
            <w:r w:rsidR="00911BA0">
              <w:rPr>
                <w:noProof/>
                <w:webHidden/>
              </w:rPr>
              <w:instrText xml:space="preserve"> PAGEREF _Toc16262313 \h </w:instrText>
            </w:r>
            <w:r w:rsidR="00911BA0">
              <w:rPr>
                <w:noProof/>
                <w:webHidden/>
              </w:rPr>
            </w:r>
            <w:r w:rsidR="00911BA0">
              <w:rPr>
                <w:noProof/>
                <w:webHidden/>
              </w:rPr>
              <w:fldChar w:fldCharType="separate"/>
            </w:r>
            <w:r w:rsidR="00911BA0">
              <w:rPr>
                <w:noProof/>
                <w:webHidden/>
              </w:rPr>
              <w:t>1</w:t>
            </w:r>
            <w:r w:rsidR="00911BA0">
              <w:rPr>
                <w:noProof/>
                <w:webHidden/>
              </w:rPr>
              <w:fldChar w:fldCharType="end"/>
            </w:r>
          </w:hyperlink>
        </w:p>
        <w:p w14:paraId="52B9E13E" w14:textId="1675AB9E" w:rsidR="00911BA0" w:rsidRDefault="00911BA0">
          <w:pPr>
            <w:pStyle w:val="TOC1"/>
            <w:tabs>
              <w:tab w:val="left" w:pos="660"/>
              <w:tab w:val="right" w:leader="dot" w:pos="10790"/>
            </w:tabs>
            <w:rPr>
              <w:rFonts w:cstheme="minorBidi"/>
              <w:noProof/>
              <w:lang w:val="en-CA" w:eastAsia="en-CA"/>
            </w:rPr>
          </w:pPr>
          <w:hyperlink w:anchor="_Toc16262314" w:history="1">
            <w:r w:rsidRPr="00650CCB">
              <w:rPr>
                <w:rStyle w:val="Hyperlink"/>
                <w:noProof/>
              </w:rPr>
              <w:t>2</w:t>
            </w:r>
            <w:r>
              <w:rPr>
                <w:rFonts w:cstheme="minorBidi"/>
                <w:noProof/>
                <w:lang w:val="en-CA" w:eastAsia="en-CA"/>
              </w:rPr>
              <w:tab/>
            </w:r>
            <w:r w:rsidRPr="00650CCB">
              <w:rPr>
                <w:rStyle w:val="Hyperlink"/>
                <w:noProof/>
              </w:rPr>
              <w:t>Executive Summary</w:t>
            </w:r>
            <w:r>
              <w:rPr>
                <w:noProof/>
                <w:webHidden/>
              </w:rPr>
              <w:tab/>
            </w:r>
            <w:r>
              <w:rPr>
                <w:noProof/>
                <w:webHidden/>
              </w:rPr>
              <w:fldChar w:fldCharType="begin"/>
            </w:r>
            <w:r>
              <w:rPr>
                <w:noProof/>
                <w:webHidden/>
              </w:rPr>
              <w:instrText xml:space="preserve"> PAGEREF _Toc16262314 \h </w:instrText>
            </w:r>
            <w:r>
              <w:rPr>
                <w:noProof/>
                <w:webHidden/>
              </w:rPr>
            </w:r>
            <w:r>
              <w:rPr>
                <w:noProof/>
                <w:webHidden/>
              </w:rPr>
              <w:fldChar w:fldCharType="separate"/>
            </w:r>
            <w:r>
              <w:rPr>
                <w:noProof/>
                <w:webHidden/>
              </w:rPr>
              <w:t>4</w:t>
            </w:r>
            <w:r>
              <w:rPr>
                <w:noProof/>
                <w:webHidden/>
              </w:rPr>
              <w:fldChar w:fldCharType="end"/>
            </w:r>
          </w:hyperlink>
        </w:p>
        <w:p w14:paraId="4002FB4A" w14:textId="70DAA842" w:rsidR="00911BA0" w:rsidRDefault="00911BA0">
          <w:pPr>
            <w:pStyle w:val="TOC2"/>
            <w:tabs>
              <w:tab w:val="left" w:pos="880"/>
              <w:tab w:val="right" w:leader="dot" w:pos="10790"/>
            </w:tabs>
            <w:rPr>
              <w:rFonts w:cstheme="minorBidi"/>
              <w:noProof/>
              <w:lang w:val="en-CA" w:eastAsia="en-CA"/>
            </w:rPr>
          </w:pPr>
          <w:hyperlink w:anchor="_Toc16262315" w:history="1">
            <w:r w:rsidRPr="00650CCB">
              <w:rPr>
                <w:rStyle w:val="Hyperlink"/>
                <w:noProof/>
              </w:rPr>
              <w:t>2.1</w:t>
            </w:r>
            <w:r>
              <w:rPr>
                <w:rFonts w:cstheme="minorBidi"/>
                <w:noProof/>
                <w:lang w:val="en-CA" w:eastAsia="en-CA"/>
              </w:rPr>
              <w:tab/>
            </w:r>
            <w:r w:rsidRPr="00650CCB">
              <w:rPr>
                <w:rStyle w:val="Hyperlink"/>
                <w:noProof/>
              </w:rPr>
              <w:t>Background</w:t>
            </w:r>
            <w:r>
              <w:rPr>
                <w:noProof/>
                <w:webHidden/>
              </w:rPr>
              <w:tab/>
            </w:r>
            <w:r>
              <w:rPr>
                <w:noProof/>
                <w:webHidden/>
              </w:rPr>
              <w:fldChar w:fldCharType="begin"/>
            </w:r>
            <w:r>
              <w:rPr>
                <w:noProof/>
                <w:webHidden/>
              </w:rPr>
              <w:instrText xml:space="preserve"> PAGEREF _Toc16262315 \h </w:instrText>
            </w:r>
            <w:r>
              <w:rPr>
                <w:noProof/>
                <w:webHidden/>
              </w:rPr>
            </w:r>
            <w:r>
              <w:rPr>
                <w:noProof/>
                <w:webHidden/>
              </w:rPr>
              <w:fldChar w:fldCharType="separate"/>
            </w:r>
            <w:r>
              <w:rPr>
                <w:noProof/>
                <w:webHidden/>
              </w:rPr>
              <w:t>4</w:t>
            </w:r>
            <w:r>
              <w:rPr>
                <w:noProof/>
                <w:webHidden/>
              </w:rPr>
              <w:fldChar w:fldCharType="end"/>
            </w:r>
          </w:hyperlink>
        </w:p>
        <w:p w14:paraId="4D6F11B6" w14:textId="61C16322" w:rsidR="00911BA0" w:rsidRDefault="00911BA0">
          <w:pPr>
            <w:pStyle w:val="TOC3"/>
            <w:tabs>
              <w:tab w:val="left" w:pos="1100"/>
              <w:tab w:val="right" w:leader="dot" w:pos="10790"/>
            </w:tabs>
            <w:rPr>
              <w:rFonts w:cstheme="minorBidi"/>
              <w:noProof/>
              <w:lang w:val="en-CA" w:eastAsia="en-CA"/>
            </w:rPr>
          </w:pPr>
          <w:hyperlink w:anchor="_Toc16262316" w:history="1">
            <w:r w:rsidRPr="00650CCB">
              <w:rPr>
                <w:rStyle w:val="Hyperlink"/>
                <w:noProof/>
              </w:rPr>
              <w:t>2.1.1</w:t>
            </w:r>
            <w:r>
              <w:rPr>
                <w:rFonts w:cstheme="minorBidi"/>
                <w:noProof/>
                <w:lang w:val="en-CA" w:eastAsia="en-CA"/>
              </w:rPr>
              <w:tab/>
            </w:r>
            <w:r w:rsidRPr="00650CCB">
              <w:rPr>
                <w:rStyle w:val="Hyperlink"/>
                <w:noProof/>
              </w:rPr>
              <w:t>Objective</w:t>
            </w:r>
            <w:r>
              <w:rPr>
                <w:noProof/>
                <w:webHidden/>
              </w:rPr>
              <w:tab/>
            </w:r>
            <w:r>
              <w:rPr>
                <w:noProof/>
                <w:webHidden/>
              </w:rPr>
              <w:fldChar w:fldCharType="begin"/>
            </w:r>
            <w:r>
              <w:rPr>
                <w:noProof/>
                <w:webHidden/>
              </w:rPr>
              <w:instrText xml:space="preserve"> PAGEREF _Toc16262316 \h </w:instrText>
            </w:r>
            <w:r>
              <w:rPr>
                <w:noProof/>
                <w:webHidden/>
              </w:rPr>
            </w:r>
            <w:r>
              <w:rPr>
                <w:noProof/>
                <w:webHidden/>
              </w:rPr>
              <w:fldChar w:fldCharType="separate"/>
            </w:r>
            <w:r>
              <w:rPr>
                <w:noProof/>
                <w:webHidden/>
              </w:rPr>
              <w:t>4</w:t>
            </w:r>
            <w:r>
              <w:rPr>
                <w:noProof/>
                <w:webHidden/>
              </w:rPr>
              <w:fldChar w:fldCharType="end"/>
            </w:r>
          </w:hyperlink>
        </w:p>
        <w:p w14:paraId="39074610" w14:textId="255D37D2" w:rsidR="00911BA0" w:rsidRDefault="00911BA0">
          <w:pPr>
            <w:pStyle w:val="TOC2"/>
            <w:tabs>
              <w:tab w:val="left" w:pos="880"/>
              <w:tab w:val="right" w:leader="dot" w:pos="10790"/>
            </w:tabs>
            <w:rPr>
              <w:rFonts w:cstheme="minorBidi"/>
              <w:noProof/>
              <w:lang w:val="en-CA" w:eastAsia="en-CA"/>
            </w:rPr>
          </w:pPr>
          <w:hyperlink w:anchor="_Toc16262317" w:history="1">
            <w:r w:rsidRPr="00650CCB">
              <w:rPr>
                <w:rStyle w:val="Hyperlink"/>
                <w:noProof/>
              </w:rPr>
              <w:t>2.2</w:t>
            </w:r>
            <w:r>
              <w:rPr>
                <w:rFonts w:cstheme="minorBidi"/>
                <w:noProof/>
                <w:lang w:val="en-CA" w:eastAsia="en-CA"/>
              </w:rPr>
              <w:tab/>
            </w:r>
            <w:r w:rsidRPr="00650CCB">
              <w:rPr>
                <w:rStyle w:val="Hyperlink"/>
                <w:noProof/>
              </w:rPr>
              <w:t>Methodology</w:t>
            </w:r>
            <w:r>
              <w:rPr>
                <w:noProof/>
                <w:webHidden/>
              </w:rPr>
              <w:tab/>
            </w:r>
            <w:r>
              <w:rPr>
                <w:noProof/>
                <w:webHidden/>
              </w:rPr>
              <w:fldChar w:fldCharType="begin"/>
            </w:r>
            <w:r>
              <w:rPr>
                <w:noProof/>
                <w:webHidden/>
              </w:rPr>
              <w:instrText xml:space="preserve"> PAGEREF _Toc16262317 \h </w:instrText>
            </w:r>
            <w:r>
              <w:rPr>
                <w:noProof/>
                <w:webHidden/>
              </w:rPr>
            </w:r>
            <w:r>
              <w:rPr>
                <w:noProof/>
                <w:webHidden/>
              </w:rPr>
              <w:fldChar w:fldCharType="separate"/>
            </w:r>
            <w:r>
              <w:rPr>
                <w:noProof/>
                <w:webHidden/>
              </w:rPr>
              <w:t>4</w:t>
            </w:r>
            <w:r>
              <w:rPr>
                <w:noProof/>
                <w:webHidden/>
              </w:rPr>
              <w:fldChar w:fldCharType="end"/>
            </w:r>
          </w:hyperlink>
        </w:p>
        <w:p w14:paraId="6717B092" w14:textId="3794852B" w:rsidR="00911BA0" w:rsidRDefault="00911BA0">
          <w:pPr>
            <w:pStyle w:val="TOC2"/>
            <w:tabs>
              <w:tab w:val="left" w:pos="880"/>
              <w:tab w:val="right" w:leader="dot" w:pos="10790"/>
            </w:tabs>
            <w:rPr>
              <w:rFonts w:cstheme="minorBidi"/>
              <w:noProof/>
              <w:lang w:val="en-CA" w:eastAsia="en-CA"/>
            </w:rPr>
          </w:pPr>
          <w:hyperlink w:anchor="_Toc16262318" w:history="1">
            <w:r w:rsidRPr="00650CCB">
              <w:rPr>
                <w:rStyle w:val="Hyperlink"/>
                <w:noProof/>
              </w:rPr>
              <w:t>2.3</w:t>
            </w:r>
            <w:r>
              <w:rPr>
                <w:rFonts w:cstheme="minorBidi"/>
                <w:noProof/>
                <w:lang w:val="en-CA" w:eastAsia="en-CA"/>
              </w:rPr>
              <w:tab/>
            </w:r>
            <w:r w:rsidRPr="00650CCB">
              <w:rPr>
                <w:rStyle w:val="Hyperlink"/>
                <w:noProof/>
              </w:rPr>
              <w:t>Results</w:t>
            </w:r>
            <w:r>
              <w:rPr>
                <w:noProof/>
                <w:webHidden/>
              </w:rPr>
              <w:tab/>
            </w:r>
            <w:r>
              <w:rPr>
                <w:noProof/>
                <w:webHidden/>
              </w:rPr>
              <w:fldChar w:fldCharType="begin"/>
            </w:r>
            <w:r>
              <w:rPr>
                <w:noProof/>
                <w:webHidden/>
              </w:rPr>
              <w:instrText xml:space="preserve"> PAGEREF _Toc16262318 \h </w:instrText>
            </w:r>
            <w:r>
              <w:rPr>
                <w:noProof/>
                <w:webHidden/>
              </w:rPr>
            </w:r>
            <w:r>
              <w:rPr>
                <w:noProof/>
                <w:webHidden/>
              </w:rPr>
              <w:fldChar w:fldCharType="separate"/>
            </w:r>
            <w:r>
              <w:rPr>
                <w:noProof/>
                <w:webHidden/>
              </w:rPr>
              <w:t>4</w:t>
            </w:r>
            <w:r>
              <w:rPr>
                <w:noProof/>
                <w:webHidden/>
              </w:rPr>
              <w:fldChar w:fldCharType="end"/>
            </w:r>
          </w:hyperlink>
        </w:p>
        <w:p w14:paraId="12DDCC4D" w14:textId="66342352" w:rsidR="00911BA0" w:rsidRDefault="00911BA0">
          <w:pPr>
            <w:pStyle w:val="TOC3"/>
            <w:tabs>
              <w:tab w:val="left" w:pos="1100"/>
              <w:tab w:val="right" w:leader="dot" w:pos="10790"/>
            </w:tabs>
            <w:rPr>
              <w:rFonts w:cstheme="minorBidi"/>
              <w:noProof/>
              <w:lang w:val="en-CA" w:eastAsia="en-CA"/>
            </w:rPr>
          </w:pPr>
          <w:hyperlink w:anchor="_Toc16262319" w:history="1">
            <w:r w:rsidRPr="00650CCB">
              <w:rPr>
                <w:rStyle w:val="Hyperlink"/>
                <w:noProof/>
              </w:rPr>
              <w:t>2.3.1</w:t>
            </w:r>
            <w:r>
              <w:rPr>
                <w:rFonts w:cstheme="minorBidi"/>
                <w:noProof/>
                <w:lang w:val="en-CA" w:eastAsia="en-CA"/>
              </w:rPr>
              <w:tab/>
            </w:r>
            <w:r w:rsidRPr="00650CCB">
              <w:rPr>
                <w:rStyle w:val="Hyperlink"/>
                <w:noProof/>
              </w:rPr>
              <w:t>Gender Distribution</w:t>
            </w:r>
            <w:r>
              <w:rPr>
                <w:noProof/>
                <w:webHidden/>
              </w:rPr>
              <w:tab/>
            </w:r>
            <w:r>
              <w:rPr>
                <w:noProof/>
                <w:webHidden/>
              </w:rPr>
              <w:fldChar w:fldCharType="begin"/>
            </w:r>
            <w:r>
              <w:rPr>
                <w:noProof/>
                <w:webHidden/>
              </w:rPr>
              <w:instrText xml:space="preserve"> PAGEREF _Toc16262319 \h </w:instrText>
            </w:r>
            <w:r>
              <w:rPr>
                <w:noProof/>
                <w:webHidden/>
              </w:rPr>
            </w:r>
            <w:r>
              <w:rPr>
                <w:noProof/>
                <w:webHidden/>
              </w:rPr>
              <w:fldChar w:fldCharType="separate"/>
            </w:r>
            <w:r>
              <w:rPr>
                <w:noProof/>
                <w:webHidden/>
              </w:rPr>
              <w:t>4</w:t>
            </w:r>
            <w:r>
              <w:rPr>
                <w:noProof/>
                <w:webHidden/>
              </w:rPr>
              <w:fldChar w:fldCharType="end"/>
            </w:r>
          </w:hyperlink>
        </w:p>
        <w:p w14:paraId="61F351BB" w14:textId="4F8AFEDC" w:rsidR="00911BA0" w:rsidRDefault="00911BA0">
          <w:pPr>
            <w:pStyle w:val="TOC3"/>
            <w:tabs>
              <w:tab w:val="left" w:pos="1100"/>
              <w:tab w:val="right" w:leader="dot" w:pos="10790"/>
            </w:tabs>
            <w:rPr>
              <w:rFonts w:cstheme="minorBidi"/>
              <w:noProof/>
              <w:lang w:val="en-CA" w:eastAsia="en-CA"/>
            </w:rPr>
          </w:pPr>
          <w:hyperlink w:anchor="_Toc16262320" w:history="1">
            <w:r w:rsidRPr="00650CCB">
              <w:rPr>
                <w:rStyle w:val="Hyperlink"/>
                <w:noProof/>
              </w:rPr>
              <w:t>2.3.2</w:t>
            </w:r>
            <w:r>
              <w:rPr>
                <w:rFonts w:cstheme="minorBidi"/>
                <w:noProof/>
                <w:lang w:val="en-CA" w:eastAsia="en-CA"/>
              </w:rPr>
              <w:tab/>
            </w:r>
            <w:r w:rsidRPr="00650CCB">
              <w:rPr>
                <w:rStyle w:val="Hyperlink"/>
                <w:noProof/>
              </w:rPr>
              <w:t>Age Distribution</w:t>
            </w:r>
            <w:r>
              <w:rPr>
                <w:noProof/>
                <w:webHidden/>
              </w:rPr>
              <w:tab/>
            </w:r>
            <w:r>
              <w:rPr>
                <w:noProof/>
                <w:webHidden/>
              </w:rPr>
              <w:fldChar w:fldCharType="begin"/>
            </w:r>
            <w:r>
              <w:rPr>
                <w:noProof/>
                <w:webHidden/>
              </w:rPr>
              <w:instrText xml:space="preserve"> PAGEREF _Toc16262320 \h </w:instrText>
            </w:r>
            <w:r>
              <w:rPr>
                <w:noProof/>
                <w:webHidden/>
              </w:rPr>
            </w:r>
            <w:r>
              <w:rPr>
                <w:noProof/>
                <w:webHidden/>
              </w:rPr>
              <w:fldChar w:fldCharType="separate"/>
            </w:r>
            <w:r>
              <w:rPr>
                <w:noProof/>
                <w:webHidden/>
              </w:rPr>
              <w:t>4</w:t>
            </w:r>
            <w:r>
              <w:rPr>
                <w:noProof/>
                <w:webHidden/>
              </w:rPr>
              <w:fldChar w:fldCharType="end"/>
            </w:r>
          </w:hyperlink>
        </w:p>
        <w:p w14:paraId="4E934FC5" w14:textId="5A555344" w:rsidR="00911BA0" w:rsidRDefault="00911BA0">
          <w:pPr>
            <w:pStyle w:val="TOC3"/>
            <w:tabs>
              <w:tab w:val="left" w:pos="1100"/>
              <w:tab w:val="right" w:leader="dot" w:pos="10790"/>
            </w:tabs>
            <w:rPr>
              <w:rFonts w:cstheme="minorBidi"/>
              <w:noProof/>
              <w:lang w:val="en-CA" w:eastAsia="en-CA"/>
            </w:rPr>
          </w:pPr>
          <w:hyperlink w:anchor="_Toc16262321" w:history="1">
            <w:r w:rsidRPr="00650CCB">
              <w:rPr>
                <w:rStyle w:val="Hyperlink"/>
                <w:noProof/>
              </w:rPr>
              <w:t>2.3.3</w:t>
            </w:r>
            <w:r>
              <w:rPr>
                <w:rFonts w:cstheme="minorBidi"/>
                <w:noProof/>
                <w:lang w:val="en-CA" w:eastAsia="en-CA"/>
              </w:rPr>
              <w:tab/>
            </w:r>
            <w:r w:rsidRPr="00650CCB">
              <w:rPr>
                <w:rStyle w:val="Hyperlink"/>
                <w:noProof/>
              </w:rPr>
              <w:t>Minority Status</w:t>
            </w:r>
            <w:r>
              <w:rPr>
                <w:noProof/>
                <w:webHidden/>
              </w:rPr>
              <w:tab/>
            </w:r>
            <w:r>
              <w:rPr>
                <w:noProof/>
                <w:webHidden/>
              </w:rPr>
              <w:fldChar w:fldCharType="begin"/>
            </w:r>
            <w:r>
              <w:rPr>
                <w:noProof/>
                <w:webHidden/>
              </w:rPr>
              <w:instrText xml:space="preserve"> PAGEREF _Toc16262321 \h </w:instrText>
            </w:r>
            <w:r>
              <w:rPr>
                <w:noProof/>
                <w:webHidden/>
              </w:rPr>
            </w:r>
            <w:r>
              <w:rPr>
                <w:noProof/>
                <w:webHidden/>
              </w:rPr>
              <w:fldChar w:fldCharType="separate"/>
            </w:r>
            <w:r>
              <w:rPr>
                <w:noProof/>
                <w:webHidden/>
              </w:rPr>
              <w:t>4</w:t>
            </w:r>
            <w:r>
              <w:rPr>
                <w:noProof/>
                <w:webHidden/>
              </w:rPr>
              <w:fldChar w:fldCharType="end"/>
            </w:r>
          </w:hyperlink>
        </w:p>
        <w:p w14:paraId="0468146F" w14:textId="1D30E045" w:rsidR="00911BA0" w:rsidRDefault="00911BA0">
          <w:pPr>
            <w:pStyle w:val="TOC3"/>
            <w:tabs>
              <w:tab w:val="left" w:pos="1100"/>
              <w:tab w:val="right" w:leader="dot" w:pos="10790"/>
            </w:tabs>
            <w:rPr>
              <w:rFonts w:cstheme="minorBidi"/>
              <w:noProof/>
              <w:lang w:val="en-CA" w:eastAsia="en-CA"/>
            </w:rPr>
          </w:pPr>
          <w:hyperlink w:anchor="_Toc16262322" w:history="1">
            <w:r w:rsidRPr="00650CCB">
              <w:rPr>
                <w:rStyle w:val="Hyperlink"/>
                <w:noProof/>
              </w:rPr>
              <w:t>2.3.4</w:t>
            </w:r>
            <w:r>
              <w:rPr>
                <w:rFonts w:cstheme="minorBidi"/>
                <w:noProof/>
                <w:lang w:val="en-CA" w:eastAsia="en-CA"/>
              </w:rPr>
              <w:tab/>
            </w:r>
            <w:r w:rsidRPr="00650CCB">
              <w:rPr>
                <w:rStyle w:val="Hyperlink"/>
                <w:noProof/>
              </w:rPr>
              <w:t>Family Size</w:t>
            </w:r>
            <w:r>
              <w:rPr>
                <w:noProof/>
                <w:webHidden/>
              </w:rPr>
              <w:tab/>
            </w:r>
            <w:r>
              <w:rPr>
                <w:noProof/>
                <w:webHidden/>
              </w:rPr>
              <w:fldChar w:fldCharType="begin"/>
            </w:r>
            <w:r>
              <w:rPr>
                <w:noProof/>
                <w:webHidden/>
              </w:rPr>
              <w:instrText xml:space="preserve"> PAGEREF _Toc16262322 \h </w:instrText>
            </w:r>
            <w:r>
              <w:rPr>
                <w:noProof/>
                <w:webHidden/>
              </w:rPr>
            </w:r>
            <w:r>
              <w:rPr>
                <w:noProof/>
                <w:webHidden/>
              </w:rPr>
              <w:fldChar w:fldCharType="separate"/>
            </w:r>
            <w:r>
              <w:rPr>
                <w:noProof/>
                <w:webHidden/>
              </w:rPr>
              <w:t>4</w:t>
            </w:r>
            <w:r>
              <w:rPr>
                <w:noProof/>
                <w:webHidden/>
              </w:rPr>
              <w:fldChar w:fldCharType="end"/>
            </w:r>
          </w:hyperlink>
        </w:p>
        <w:p w14:paraId="27E48DF7" w14:textId="34B1E9B7" w:rsidR="00911BA0" w:rsidRDefault="00911BA0">
          <w:pPr>
            <w:pStyle w:val="TOC3"/>
            <w:tabs>
              <w:tab w:val="left" w:pos="1100"/>
              <w:tab w:val="right" w:leader="dot" w:pos="10790"/>
            </w:tabs>
            <w:rPr>
              <w:rFonts w:cstheme="minorBidi"/>
              <w:noProof/>
              <w:lang w:val="en-CA" w:eastAsia="en-CA"/>
            </w:rPr>
          </w:pPr>
          <w:hyperlink w:anchor="_Toc16262323" w:history="1">
            <w:r w:rsidRPr="00650CCB">
              <w:rPr>
                <w:rStyle w:val="Hyperlink"/>
                <w:noProof/>
              </w:rPr>
              <w:t>2.3.5</w:t>
            </w:r>
            <w:r>
              <w:rPr>
                <w:rFonts w:cstheme="minorBidi"/>
                <w:noProof/>
                <w:lang w:val="en-CA" w:eastAsia="en-CA"/>
              </w:rPr>
              <w:tab/>
            </w:r>
            <w:r w:rsidRPr="00650CCB">
              <w:rPr>
                <w:rStyle w:val="Hyperlink"/>
                <w:noProof/>
              </w:rPr>
              <w:t>Annual Household Income</w:t>
            </w:r>
            <w:r>
              <w:rPr>
                <w:noProof/>
                <w:webHidden/>
              </w:rPr>
              <w:tab/>
            </w:r>
            <w:r>
              <w:rPr>
                <w:noProof/>
                <w:webHidden/>
              </w:rPr>
              <w:fldChar w:fldCharType="begin"/>
            </w:r>
            <w:r>
              <w:rPr>
                <w:noProof/>
                <w:webHidden/>
              </w:rPr>
              <w:instrText xml:space="preserve"> PAGEREF _Toc16262323 \h </w:instrText>
            </w:r>
            <w:r>
              <w:rPr>
                <w:noProof/>
                <w:webHidden/>
              </w:rPr>
            </w:r>
            <w:r>
              <w:rPr>
                <w:noProof/>
                <w:webHidden/>
              </w:rPr>
              <w:fldChar w:fldCharType="separate"/>
            </w:r>
            <w:r>
              <w:rPr>
                <w:noProof/>
                <w:webHidden/>
              </w:rPr>
              <w:t>4</w:t>
            </w:r>
            <w:r>
              <w:rPr>
                <w:noProof/>
                <w:webHidden/>
              </w:rPr>
              <w:fldChar w:fldCharType="end"/>
            </w:r>
          </w:hyperlink>
        </w:p>
        <w:p w14:paraId="0626F395" w14:textId="25B69A4B" w:rsidR="00911BA0" w:rsidRDefault="00911BA0">
          <w:pPr>
            <w:pStyle w:val="TOC3"/>
            <w:tabs>
              <w:tab w:val="left" w:pos="1100"/>
              <w:tab w:val="right" w:leader="dot" w:pos="10790"/>
            </w:tabs>
            <w:rPr>
              <w:rFonts w:cstheme="minorBidi"/>
              <w:noProof/>
              <w:lang w:val="en-CA" w:eastAsia="en-CA"/>
            </w:rPr>
          </w:pPr>
          <w:hyperlink w:anchor="_Toc16262324" w:history="1">
            <w:r w:rsidRPr="00650CCB">
              <w:rPr>
                <w:rStyle w:val="Hyperlink"/>
                <w:noProof/>
              </w:rPr>
              <w:t>2.3.6</w:t>
            </w:r>
            <w:r>
              <w:rPr>
                <w:rFonts w:cstheme="minorBidi"/>
                <w:noProof/>
                <w:lang w:val="en-CA" w:eastAsia="en-CA"/>
              </w:rPr>
              <w:tab/>
            </w:r>
            <w:r w:rsidRPr="00650CCB">
              <w:rPr>
                <w:rStyle w:val="Hyperlink"/>
                <w:noProof/>
              </w:rPr>
              <w:t>Support</w:t>
            </w:r>
            <w:r>
              <w:rPr>
                <w:noProof/>
                <w:webHidden/>
              </w:rPr>
              <w:tab/>
            </w:r>
            <w:r>
              <w:rPr>
                <w:noProof/>
                <w:webHidden/>
              </w:rPr>
              <w:fldChar w:fldCharType="begin"/>
            </w:r>
            <w:r>
              <w:rPr>
                <w:noProof/>
                <w:webHidden/>
              </w:rPr>
              <w:instrText xml:space="preserve"> PAGEREF _Toc16262324 \h </w:instrText>
            </w:r>
            <w:r>
              <w:rPr>
                <w:noProof/>
                <w:webHidden/>
              </w:rPr>
            </w:r>
            <w:r>
              <w:rPr>
                <w:noProof/>
                <w:webHidden/>
              </w:rPr>
              <w:fldChar w:fldCharType="separate"/>
            </w:r>
            <w:r>
              <w:rPr>
                <w:noProof/>
                <w:webHidden/>
              </w:rPr>
              <w:t>5</w:t>
            </w:r>
            <w:r>
              <w:rPr>
                <w:noProof/>
                <w:webHidden/>
              </w:rPr>
              <w:fldChar w:fldCharType="end"/>
            </w:r>
          </w:hyperlink>
        </w:p>
        <w:p w14:paraId="1F5B4D1C" w14:textId="0997E416" w:rsidR="00911BA0" w:rsidRDefault="00911BA0">
          <w:pPr>
            <w:pStyle w:val="TOC3"/>
            <w:tabs>
              <w:tab w:val="left" w:pos="1100"/>
              <w:tab w:val="right" w:leader="dot" w:pos="10790"/>
            </w:tabs>
            <w:rPr>
              <w:rFonts w:cstheme="minorBidi"/>
              <w:noProof/>
              <w:lang w:val="en-CA" w:eastAsia="en-CA"/>
            </w:rPr>
          </w:pPr>
          <w:hyperlink w:anchor="_Toc16262325" w:history="1">
            <w:r w:rsidRPr="00650CCB">
              <w:rPr>
                <w:rStyle w:val="Hyperlink"/>
                <w:noProof/>
              </w:rPr>
              <w:t>2.3.7</w:t>
            </w:r>
            <w:r>
              <w:rPr>
                <w:rFonts w:cstheme="minorBidi"/>
                <w:noProof/>
                <w:lang w:val="en-CA" w:eastAsia="en-CA"/>
              </w:rPr>
              <w:tab/>
            </w:r>
            <w:r w:rsidRPr="00650CCB">
              <w:rPr>
                <w:rStyle w:val="Hyperlink"/>
                <w:noProof/>
              </w:rPr>
              <w:t>Offences</w:t>
            </w:r>
            <w:r>
              <w:rPr>
                <w:noProof/>
                <w:webHidden/>
              </w:rPr>
              <w:tab/>
            </w:r>
            <w:r>
              <w:rPr>
                <w:noProof/>
                <w:webHidden/>
              </w:rPr>
              <w:fldChar w:fldCharType="begin"/>
            </w:r>
            <w:r>
              <w:rPr>
                <w:noProof/>
                <w:webHidden/>
              </w:rPr>
              <w:instrText xml:space="preserve"> PAGEREF _Toc16262325 \h </w:instrText>
            </w:r>
            <w:r>
              <w:rPr>
                <w:noProof/>
                <w:webHidden/>
              </w:rPr>
            </w:r>
            <w:r>
              <w:rPr>
                <w:noProof/>
                <w:webHidden/>
              </w:rPr>
              <w:fldChar w:fldCharType="separate"/>
            </w:r>
            <w:r>
              <w:rPr>
                <w:noProof/>
                <w:webHidden/>
              </w:rPr>
              <w:t>5</w:t>
            </w:r>
            <w:r>
              <w:rPr>
                <w:noProof/>
                <w:webHidden/>
              </w:rPr>
              <w:fldChar w:fldCharType="end"/>
            </w:r>
          </w:hyperlink>
        </w:p>
        <w:p w14:paraId="0CA9E492" w14:textId="2A7450D9" w:rsidR="00911BA0" w:rsidRDefault="00911BA0">
          <w:pPr>
            <w:pStyle w:val="TOC3"/>
            <w:tabs>
              <w:tab w:val="left" w:pos="1100"/>
              <w:tab w:val="right" w:leader="dot" w:pos="10790"/>
            </w:tabs>
            <w:rPr>
              <w:rFonts w:cstheme="minorBidi"/>
              <w:noProof/>
              <w:lang w:val="en-CA" w:eastAsia="en-CA"/>
            </w:rPr>
          </w:pPr>
          <w:hyperlink w:anchor="_Toc16262326" w:history="1">
            <w:r w:rsidRPr="00650CCB">
              <w:rPr>
                <w:rStyle w:val="Hyperlink"/>
                <w:noProof/>
              </w:rPr>
              <w:t>2.3.8</w:t>
            </w:r>
            <w:r>
              <w:rPr>
                <w:rFonts w:cstheme="minorBidi"/>
                <w:noProof/>
                <w:lang w:val="en-CA" w:eastAsia="en-CA"/>
              </w:rPr>
              <w:tab/>
            </w:r>
            <w:r w:rsidRPr="00650CCB">
              <w:rPr>
                <w:rStyle w:val="Hyperlink"/>
                <w:noProof/>
              </w:rPr>
              <w:t>Appearances</w:t>
            </w:r>
            <w:r>
              <w:rPr>
                <w:noProof/>
                <w:webHidden/>
              </w:rPr>
              <w:tab/>
            </w:r>
            <w:r>
              <w:rPr>
                <w:noProof/>
                <w:webHidden/>
              </w:rPr>
              <w:fldChar w:fldCharType="begin"/>
            </w:r>
            <w:r>
              <w:rPr>
                <w:noProof/>
                <w:webHidden/>
              </w:rPr>
              <w:instrText xml:space="preserve"> PAGEREF _Toc16262326 \h </w:instrText>
            </w:r>
            <w:r>
              <w:rPr>
                <w:noProof/>
                <w:webHidden/>
              </w:rPr>
            </w:r>
            <w:r>
              <w:rPr>
                <w:noProof/>
                <w:webHidden/>
              </w:rPr>
              <w:fldChar w:fldCharType="separate"/>
            </w:r>
            <w:r>
              <w:rPr>
                <w:noProof/>
                <w:webHidden/>
              </w:rPr>
              <w:t>5</w:t>
            </w:r>
            <w:r>
              <w:rPr>
                <w:noProof/>
                <w:webHidden/>
              </w:rPr>
              <w:fldChar w:fldCharType="end"/>
            </w:r>
          </w:hyperlink>
        </w:p>
        <w:p w14:paraId="6CB26DC2" w14:textId="7E618EEE" w:rsidR="00911BA0" w:rsidRDefault="00911BA0">
          <w:pPr>
            <w:pStyle w:val="TOC3"/>
            <w:tabs>
              <w:tab w:val="left" w:pos="1100"/>
              <w:tab w:val="right" w:leader="dot" w:pos="10790"/>
            </w:tabs>
            <w:rPr>
              <w:rFonts w:cstheme="minorBidi"/>
              <w:noProof/>
              <w:lang w:val="en-CA" w:eastAsia="en-CA"/>
            </w:rPr>
          </w:pPr>
          <w:hyperlink w:anchor="_Toc16262327" w:history="1">
            <w:r w:rsidRPr="00650CCB">
              <w:rPr>
                <w:rStyle w:val="Hyperlink"/>
                <w:noProof/>
              </w:rPr>
              <w:t>2.3.9</w:t>
            </w:r>
            <w:r>
              <w:rPr>
                <w:rFonts w:cstheme="minorBidi"/>
                <w:noProof/>
                <w:lang w:val="en-CA" w:eastAsia="en-CA"/>
              </w:rPr>
              <w:tab/>
            </w:r>
            <w:r w:rsidRPr="00650CCB">
              <w:rPr>
                <w:rStyle w:val="Hyperlink"/>
                <w:noProof/>
              </w:rPr>
              <w:t>Legal Representation</w:t>
            </w:r>
            <w:r>
              <w:rPr>
                <w:noProof/>
                <w:webHidden/>
              </w:rPr>
              <w:tab/>
            </w:r>
            <w:r>
              <w:rPr>
                <w:noProof/>
                <w:webHidden/>
              </w:rPr>
              <w:fldChar w:fldCharType="begin"/>
            </w:r>
            <w:r>
              <w:rPr>
                <w:noProof/>
                <w:webHidden/>
              </w:rPr>
              <w:instrText xml:space="preserve"> PAGEREF _Toc16262327 \h </w:instrText>
            </w:r>
            <w:r>
              <w:rPr>
                <w:noProof/>
                <w:webHidden/>
              </w:rPr>
            </w:r>
            <w:r>
              <w:rPr>
                <w:noProof/>
                <w:webHidden/>
              </w:rPr>
              <w:fldChar w:fldCharType="separate"/>
            </w:r>
            <w:r>
              <w:rPr>
                <w:noProof/>
                <w:webHidden/>
              </w:rPr>
              <w:t>5</w:t>
            </w:r>
            <w:r>
              <w:rPr>
                <w:noProof/>
                <w:webHidden/>
              </w:rPr>
              <w:fldChar w:fldCharType="end"/>
            </w:r>
          </w:hyperlink>
        </w:p>
        <w:p w14:paraId="14299893" w14:textId="22D3EFFB" w:rsidR="00911BA0" w:rsidRDefault="00911BA0">
          <w:pPr>
            <w:pStyle w:val="TOC3"/>
            <w:tabs>
              <w:tab w:val="left" w:pos="1100"/>
              <w:tab w:val="right" w:leader="dot" w:pos="10790"/>
            </w:tabs>
            <w:rPr>
              <w:rFonts w:cstheme="minorBidi"/>
              <w:noProof/>
              <w:lang w:val="en-CA" w:eastAsia="en-CA"/>
            </w:rPr>
          </w:pPr>
          <w:hyperlink w:anchor="_Toc16262328" w:history="1">
            <w:r w:rsidRPr="00650CCB">
              <w:rPr>
                <w:rStyle w:val="Hyperlink"/>
                <w:noProof/>
              </w:rPr>
              <w:t>2.3.10</w:t>
            </w:r>
            <w:r>
              <w:rPr>
                <w:rFonts w:cstheme="minorBidi"/>
                <w:noProof/>
                <w:lang w:val="en-CA" w:eastAsia="en-CA"/>
              </w:rPr>
              <w:tab/>
            </w:r>
            <w:r w:rsidRPr="00650CCB">
              <w:rPr>
                <w:rStyle w:val="Hyperlink"/>
                <w:noProof/>
              </w:rPr>
              <w:t>Service Provision</w:t>
            </w:r>
            <w:r>
              <w:rPr>
                <w:noProof/>
                <w:webHidden/>
              </w:rPr>
              <w:tab/>
            </w:r>
            <w:r>
              <w:rPr>
                <w:noProof/>
                <w:webHidden/>
              </w:rPr>
              <w:fldChar w:fldCharType="begin"/>
            </w:r>
            <w:r>
              <w:rPr>
                <w:noProof/>
                <w:webHidden/>
              </w:rPr>
              <w:instrText xml:space="preserve"> PAGEREF _Toc16262328 \h </w:instrText>
            </w:r>
            <w:r>
              <w:rPr>
                <w:noProof/>
                <w:webHidden/>
              </w:rPr>
            </w:r>
            <w:r>
              <w:rPr>
                <w:noProof/>
                <w:webHidden/>
              </w:rPr>
              <w:fldChar w:fldCharType="separate"/>
            </w:r>
            <w:r>
              <w:rPr>
                <w:noProof/>
                <w:webHidden/>
              </w:rPr>
              <w:t>5</w:t>
            </w:r>
            <w:r>
              <w:rPr>
                <w:noProof/>
                <w:webHidden/>
              </w:rPr>
              <w:fldChar w:fldCharType="end"/>
            </w:r>
          </w:hyperlink>
        </w:p>
        <w:p w14:paraId="1ACF04DD" w14:textId="7AB01DE4" w:rsidR="00911BA0" w:rsidRDefault="00911BA0">
          <w:pPr>
            <w:pStyle w:val="TOC2"/>
            <w:tabs>
              <w:tab w:val="left" w:pos="880"/>
              <w:tab w:val="right" w:leader="dot" w:pos="10790"/>
            </w:tabs>
            <w:rPr>
              <w:rFonts w:cstheme="minorBidi"/>
              <w:noProof/>
              <w:lang w:val="en-CA" w:eastAsia="en-CA"/>
            </w:rPr>
          </w:pPr>
          <w:hyperlink w:anchor="_Toc16262329" w:history="1">
            <w:r w:rsidRPr="00650CCB">
              <w:rPr>
                <w:rStyle w:val="Hyperlink"/>
                <w:noProof/>
              </w:rPr>
              <w:t>2.4</w:t>
            </w:r>
            <w:r>
              <w:rPr>
                <w:rFonts w:cstheme="minorBidi"/>
                <w:noProof/>
                <w:lang w:val="en-CA" w:eastAsia="en-CA"/>
              </w:rPr>
              <w:tab/>
            </w:r>
            <w:r w:rsidRPr="00650CCB">
              <w:rPr>
                <w:rStyle w:val="Hyperlink"/>
                <w:noProof/>
              </w:rPr>
              <w:t>Conclusions</w:t>
            </w:r>
            <w:r>
              <w:rPr>
                <w:noProof/>
                <w:webHidden/>
              </w:rPr>
              <w:tab/>
            </w:r>
            <w:r>
              <w:rPr>
                <w:noProof/>
                <w:webHidden/>
              </w:rPr>
              <w:fldChar w:fldCharType="begin"/>
            </w:r>
            <w:r>
              <w:rPr>
                <w:noProof/>
                <w:webHidden/>
              </w:rPr>
              <w:instrText xml:space="preserve"> PAGEREF _Toc16262329 \h </w:instrText>
            </w:r>
            <w:r>
              <w:rPr>
                <w:noProof/>
                <w:webHidden/>
              </w:rPr>
            </w:r>
            <w:r>
              <w:rPr>
                <w:noProof/>
                <w:webHidden/>
              </w:rPr>
              <w:fldChar w:fldCharType="separate"/>
            </w:r>
            <w:r>
              <w:rPr>
                <w:noProof/>
                <w:webHidden/>
              </w:rPr>
              <w:t>5</w:t>
            </w:r>
            <w:r>
              <w:rPr>
                <w:noProof/>
                <w:webHidden/>
              </w:rPr>
              <w:fldChar w:fldCharType="end"/>
            </w:r>
          </w:hyperlink>
        </w:p>
        <w:p w14:paraId="12FA5460" w14:textId="0777CC73" w:rsidR="00911BA0" w:rsidRDefault="00911BA0">
          <w:pPr>
            <w:pStyle w:val="TOC1"/>
            <w:tabs>
              <w:tab w:val="left" w:pos="660"/>
              <w:tab w:val="right" w:leader="dot" w:pos="10790"/>
            </w:tabs>
            <w:rPr>
              <w:rFonts w:cstheme="minorBidi"/>
              <w:noProof/>
              <w:lang w:val="en-CA" w:eastAsia="en-CA"/>
            </w:rPr>
          </w:pPr>
          <w:hyperlink w:anchor="_Toc16262330" w:history="1">
            <w:r w:rsidRPr="00650CCB">
              <w:rPr>
                <w:rStyle w:val="Hyperlink"/>
                <w:noProof/>
              </w:rPr>
              <w:t>3</w:t>
            </w:r>
            <w:r>
              <w:rPr>
                <w:rFonts w:cstheme="minorBidi"/>
                <w:noProof/>
                <w:lang w:val="en-CA" w:eastAsia="en-CA"/>
              </w:rPr>
              <w:tab/>
            </w:r>
            <w:r w:rsidRPr="00650CCB">
              <w:rPr>
                <w:rStyle w:val="Hyperlink"/>
                <w:noProof/>
              </w:rPr>
              <w:t>Background</w:t>
            </w:r>
            <w:r>
              <w:rPr>
                <w:noProof/>
                <w:webHidden/>
              </w:rPr>
              <w:tab/>
            </w:r>
            <w:r>
              <w:rPr>
                <w:noProof/>
                <w:webHidden/>
              </w:rPr>
              <w:fldChar w:fldCharType="begin"/>
            </w:r>
            <w:r>
              <w:rPr>
                <w:noProof/>
                <w:webHidden/>
              </w:rPr>
              <w:instrText xml:space="preserve"> PAGEREF _Toc16262330 \h </w:instrText>
            </w:r>
            <w:r>
              <w:rPr>
                <w:noProof/>
                <w:webHidden/>
              </w:rPr>
            </w:r>
            <w:r>
              <w:rPr>
                <w:noProof/>
                <w:webHidden/>
              </w:rPr>
              <w:fldChar w:fldCharType="separate"/>
            </w:r>
            <w:r>
              <w:rPr>
                <w:noProof/>
                <w:webHidden/>
              </w:rPr>
              <w:t>6</w:t>
            </w:r>
            <w:r>
              <w:rPr>
                <w:noProof/>
                <w:webHidden/>
              </w:rPr>
              <w:fldChar w:fldCharType="end"/>
            </w:r>
          </w:hyperlink>
        </w:p>
        <w:p w14:paraId="2883A24B" w14:textId="3BE4E1D9" w:rsidR="00911BA0" w:rsidRDefault="00911BA0">
          <w:pPr>
            <w:pStyle w:val="TOC2"/>
            <w:tabs>
              <w:tab w:val="left" w:pos="880"/>
              <w:tab w:val="right" w:leader="dot" w:pos="10790"/>
            </w:tabs>
            <w:rPr>
              <w:rFonts w:cstheme="minorBidi"/>
              <w:noProof/>
              <w:lang w:val="en-CA" w:eastAsia="en-CA"/>
            </w:rPr>
          </w:pPr>
          <w:hyperlink w:anchor="_Toc16262331" w:history="1">
            <w:r w:rsidRPr="00650CCB">
              <w:rPr>
                <w:rStyle w:val="Hyperlink"/>
                <w:noProof/>
              </w:rPr>
              <w:t>3.1</w:t>
            </w:r>
            <w:r>
              <w:rPr>
                <w:rFonts w:cstheme="minorBidi"/>
                <w:noProof/>
                <w:lang w:val="en-CA" w:eastAsia="en-CA"/>
              </w:rPr>
              <w:tab/>
            </w:r>
            <w:r w:rsidRPr="00650CCB">
              <w:rPr>
                <w:rStyle w:val="Hyperlink"/>
                <w:noProof/>
                <w:shd w:val="clear" w:color="auto" w:fill="FFFFFF"/>
              </w:rPr>
              <w:t>Demographics of Corrections in Canada</w:t>
            </w:r>
            <w:r>
              <w:rPr>
                <w:noProof/>
                <w:webHidden/>
              </w:rPr>
              <w:tab/>
            </w:r>
            <w:r>
              <w:rPr>
                <w:noProof/>
                <w:webHidden/>
              </w:rPr>
              <w:fldChar w:fldCharType="begin"/>
            </w:r>
            <w:r>
              <w:rPr>
                <w:noProof/>
                <w:webHidden/>
              </w:rPr>
              <w:instrText xml:space="preserve"> PAGEREF _Toc16262331 \h </w:instrText>
            </w:r>
            <w:r>
              <w:rPr>
                <w:noProof/>
                <w:webHidden/>
              </w:rPr>
            </w:r>
            <w:r>
              <w:rPr>
                <w:noProof/>
                <w:webHidden/>
              </w:rPr>
              <w:fldChar w:fldCharType="separate"/>
            </w:r>
            <w:r>
              <w:rPr>
                <w:noProof/>
                <w:webHidden/>
              </w:rPr>
              <w:t>6</w:t>
            </w:r>
            <w:r>
              <w:rPr>
                <w:noProof/>
                <w:webHidden/>
              </w:rPr>
              <w:fldChar w:fldCharType="end"/>
            </w:r>
          </w:hyperlink>
        </w:p>
        <w:p w14:paraId="5CF5F2A8" w14:textId="3821F13E" w:rsidR="00911BA0" w:rsidRDefault="00911BA0">
          <w:pPr>
            <w:pStyle w:val="TOC2"/>
            <w:tabs>
              <w:tab w:val="left" w:pos="880"/>
              <w:tab w:val="right" w:leader="dot" w:pos="10790"/>
            </w:tabs>
            <w:rPr>
              <w:rFonts w:cstheme="minorBidi"/>
              <w:noProof/>
              <w:lang w:val="en-CA" w:eastAsia="en-CA"/>
            </w:rPr>
          </w:pPr>
          <w:hyperlink w:anchor="_Toc16262332" w:history="1">
            <w:r w:rsidRPr="00650CCB">
              <w:rPr>
                <w:rStyle w:val="Hyperlink"/>
                <w:noProof/>
              </w:rPr>
              <w:t>3.2</w:t>
            </w:r>
            <w:r>
              <w:rPr>
                <w:rFonts w:cstheme="minorBidi"/>
                <w:noProof/>
                <w:lang w:val="en-CA" w:eastAsia="en-CA"/>
              </w:rPr>
              <w:tab/>
            </w:r>
            <w:r w:rsidRPr="00650CCB">
              <w:rPr>
                <w:rStyle w:val="Hyperlink"/>
                <w:noProof/>
              </w:rPr>
              <w:t>Poverty</w:t>
            </w:r>
            <w:r>
              <w:rPr>
                <w:noProof/>
                <w:webHidden/>
              </w:rPr>
              <w:tab/>
            </w:r>
            <w:r>
              <w:rPr>
                <w:noProof/>
                <w:webHidden/>
              </w:rPr>
              <w:fldChar w:fldCharType="begin"/>
            </w:r>
            <w:r>
              <w:rPr>
                <w:noProof/>
                <w:webHidden/>
              </w:rPr>
              <w:instrText xml:space="preserve"> PAGEREF _Toc16262332 \h </w:instrText>
            </w:r>
            <w:r>
              <w:rPr>
                <w:noProof/>
                <w:webHidden/>
              </w:rPr>
            </w:r>
            <w:r>
              <w:rPr>
                <w:noProof/>
                <w:webHidden/>
              </w:rPr>
              <w:fldChar w:fldCharType="separate"/>
            </w:r>
            <w:r>
              <w:rPr>
                <w:noProof/>
                <w:webHidden/>
              </w:rPr>
              <w:t>6</w:t>
            </w:r>
            <w:r>
              <w:rPr>
                <w:noProof/>
                <w:webHidden/>
              </w:rPr>
              <w:fldChar w:fldCharType="end"/>
            </w:r>
          </w:hyperlink>
        </w:p>
        <w:p w14:paraId="626B07F2" w14:textId="7D17722E" w:rsidR="00911BA0" w:rsidRDefault="00911BA0">
          <w:pPr>
            <w:pStyle w:val="TOC2"/>
            <w:tabs>
              <w:tab w:val="left" w:pos="880"/>
              <w:tab w:val="right" w:leader="dot" w:pos="10790"/>
            </w:tabs>
            <w:rPr>
              <w:rFonts w:cstheme="minorBidi"/>
              <w:noProof/>
              <w:lang w:val="en-CA" w:eastAsia="en-CA"/>
            </w:rPr>
          </w:pPr>
          <w:hyperlink w:anchor="_Toc16262333" w:history="1">
            <w:r w:rsidRPr="00650CCB">
              <w:rPr>
                <w:rStyle w:val="Hyperlink"/>
                <w:noProof/>
              </w:rPr>
              <w:t>3.3</w:t>
            </w:r>
            <w:r>
              <w:rPr>
                <w:rFonts w:cstheme="minorBidi"/>
                <w:noProof/>
                <w:lang w:val="en-CA" w:eastAsia="en-CA"/>
              </w:rPr>
              <w:tab/>
            </w:r>
            <w:r w:rsidRPr="00650CCB">
              <w:rPr>
                <w:rStyle w:val="Hyperlink"/>
                <w:noProof/>
              </w:rPr>
              <w:t>Gender</w:t>
            </w:r>
            <w:r>
              <w:rPr>
                <w:noProof/>
                <w:webHidden/>
              </w:rPr>
              <w:tab/>
            </w:r>
            <w:r>
              <w:rPr>
                <w:noProof/>
                <w:webHidden/>
              </w:rPr>
              <w:fldChar w:fldCharType="begin"/>
            </w:r>
            <w:r>
              <w:rPr>
                <w:noProof/>
                <w:webHidden/>
              </w:rPr>
              <w:instrText xml:space="preserve"> PAGEREF _Toc16262333 \h </w:instrText>
            </w:r>
            <w:r>
              <w:rPr>
                <w:noProof/>
                <w:webHidden/>
              </w:rPr>
            </w:r>
            <w:r>
              <w:rPr>
                <w:noProof/>
                <w:webHidden/>
              </w:rPr>
              <w:fldChar w:fldCharType="separate"/>
            </w:r>
            <w:r>
              <w:rPr>
                <w:noProof/>
                <w:webHidden/>
              </w:rPr>
              <w:t>6</w:t>
            </w:r>
            <w:r>
              <w:rPr>
                <w:noProof/>
                <w:webHidden/>
              </w:rPr>
              <w:fldChar w:fldCharType="end"/>
            </w:r>
          </w:hyperlink>
        </w:p>
        <w:p w14:paraId="3F1CC4DA" w14:textId="19A7744C" w:rsidR="00911BA0" w:rsidRDefault="00911BA0">
          <w:pPr>
            <w:pStyle w:val="TOC2"/>
            <w:tabs>
              <w:tab w:val="left" w:pos="880"/>
              <w:tab w:val="right" w:leader="dot" w:pos="10790"/>
            </w:tabs>
            <w:rPr>
              <w:rFonts w:cstheme="minorBidi"/>
              <w:noProof/>
              <w:lang w:val="en-CA" w:eastAsia="en-CA"/>
            </w:rPr>
          </w:pPr>
          <w:hyperlink w:anchor="_Toc16262334" w:history="1">
            <w:r w:rsidRPr="00650CCB">
              <w:rPr>
                <w:rStyle w:val="Hyperlink"/>
                <w:noProof/>
              </w:rPr>
              <w:t>3.4</w:t>
            </w:r>
            <w:r>
              <w:rPr>
                <w:rFonts w:cstheme="minorBidi"/>
                <w:noProof/>
                <w:lang w:val="en-CA" w:eastAsia="en-CA"/>
              </w:rPr>
              <w:tab/>
            </w:r>
            <w:r w:rsidRPr="00650CCB">
              <w:rPr>
                <w:rStyle w:val="Hyperlink"/>
                <w:noProof/>
              </w:rPr>
              <w:t>Age</w:t>
            </w:r>
            <w:r>
              <w:rPr>
                <w:noProof/>
                <w:webHidden/>
              </w:rPr>
              <w:tab/>
            </w:r>
            <w:r>
              <w:rPr>
                <w:noProof/>
                <w:webHidden/>
              </w:rPr>
              <w:fldChar w:fldCharType="begin"/>
            </w:r>
            <w:r>
              <w:rPr>
                <w:noProof/>
                <w:webHidden/>
              </w:rPr>
              <w:instrText xml:space="preserve"> PAGEREF _Toc16262334 \h </w:instrText>
            </w:r>
            <w:r>
              <w:rPr>
                <w:noProof/>
                <w:webHidden/>
              </w:rPr>
            </w:r>
            <w:r>
              <w:rPr>
                <w:noProof/>
                <w:webHidden/>
              </w:rPr>
              <w:fldChar w:fldCharType="separate"/>
            </w:r>
            <w:r>
              <w:rPr>
                <w:noProof/>
                <w:webHidden/>
              </w:rPr>
              <w:t>7</w:t>
            </w:r>
            <w:r>
              <w:rPr>
                <w:noProof/>
                <w:webHidden/>
              </w:rPr>
              <w:fldChar w:fldCharType="end"/>
            </w:r>
          </w:hyperlink>
        </w:p>
        <w:p w14:paraId="4DB8B54A" w14:textId="5FBA6966" w:rsidR="00911BA0" w:rsidRDefault="00911BA0">
          <w:pPr>
            <w:pStyle w:val="TOC2"/>
            <w:tabs>
              <w:tab w:val="left" w:pos="880"/>
              <w:tab w:val="right" w:leader="dot" w:pos="10790"/>
            </w:tabs>
            <w:rPr>
              <w:rFonts w:cstheme="minorBidi"/>
              <w:noProof/>
              <w:lang w:val="en-CA" w:eastAsia="en-CA"/>
            </w:rPr>
          </w:pPr>
          <w:hyperlink w:anchor="_Toc16262335" w:history="1">
            <w:r w:rsidRPr="00650CCB">
              <w:rPr>
                <w:rStyle w:val="Hyperlink"/>
                <w:noProof/>
              </w:rPr>
              <w:t>3.5</w:t>
            </w:r>
            <w:r>
              <w:rPr>
                <w:rFonts w:cstheme="minorBidi"/>
                <w:noProof/>
                <w:lang w:val="en-CA" w:eastAsia="en-CA"/>
              </w:rPr>
              <w:tab/>
            </w:r>
            <w:r w:rsidRPr="00650CCB">
              <w:rPr>
                <w:rStyle w:val="Hyperlink"/>
                <w:noProof/>
              </w:rPr>
              <w:t>Minority Status</w:t>
            </w:r>
            <w:r>
              <w:rPr>
                <w:noProof/>
                <w:webHidden/>
              </w:rPr>
              <w:tab/>
            </w:r>
            <w:r>
              <w:rPr>
                <w:noProof/>
                <w:webHidden/>
              </w:rPr>
              <w:fldChar w:fldCharType="begin"/>
            </w:r>
            <w:r>
              <w:rPr>
                <w:noProof/>
                <w:webHidden/>
              </w:rPr>
              <w:instrText xml:space="preserve"> PAGEREF _Toc16262335 \h </w:instrText>
            </w:r>
            <w:r>
              <w:rPr>
                <w:noProof/>
                <w:webHidden/>
              </w:rPr>
            </w:r>
            <w:r>
              <w:rPr>
                <w:noProof/>
                <w:webHidden/>
              </w:rPr>
              <w:fldChar w:fldCharType="separate"/>
            </w:r>
            <w:r>
              <w:rPr>
                <w:noProof/>
                <w:webHidden/>
              </w:rPr>
              <w:t>7</w:t>
            </w:r>
            <w:r>
              <w:rPr>
                <w:noProof/>
                <w:webHidden/>
              </w:rPr>
              <w:fldChar w:fldCharType="end"/>
            </w:r>
          </w:hyperlink>
        </w:p>
        <w:p w14:paraId="420FA668" w14:textId="3BEFEDAF" w:rsidR="00911BA0" w:rsidRDefault="00911BA0">
          <w:pPr>
            <w:pStyle w:val="TOC2"/>
            <w:tabs>
              <w:tab w:val="left" w:pos="880"/>
              <w:tab w:val="right" w:leader="dot" w:pos="10790"/>
            </w:tabs>
            <w:rPr>
              <w:rFonts w:cstheme="minorBidi"/>
              <w:noProof/>
              <w:lang w:val="en-CA" w:eastAsia="en-CA"/>
            </w:rPr>
          </w:pPr>
          <w:hyperlink w:anchor="_Toc16262336" w:history="1">
            <w:r w:rsidRPr="00650CCB">
              <w:rPr>
                <w:rStyle w:val="Hyperlink"/>
                <w:noProof/>
              </w:rPr>
              <w:t>3.6</w:t>
            </w:r>
            <w:r>
              <w:rPr>
                <w:rFonts w:cstheme="minorBidi"/>
                <w:noProof/>
                <w:lang w:val="en-CA" w:eastAsia="en-CA"/>
              </w:rPr>
              <w:tab/>
            </w:r>
            <w:r w:rsidRPr="00650CCB">
              <w:rPr>
                <w:rStyle w:val="Hyperlink"/>
                <w:noProof/>
              </w:rPr>
              <w:t>The Elizabeth Fry Society of Calgary</w:t>
            </w:r>
            <w:r>
              <w:rPr>
                <w:noProof/>
                <w:webHidden/>
              </w:rPr>
              <w:tab/>
            </w:r>
            <w:r>
              <w:rPr>
                <w:noProof/>
                <w:webHidden/>
              </w:rPr>
              <w:fldChar w:fldCharType="begin"/>
            </w:r>
            <w:r>
              <w:rPr>
                <w:noProof/>
                <w:webHidden/>
              </w:rPr>
              <w:instrText xml:space="preserve"> PAGEREF _Toc16262336 \h </w:instrText>
            </w:r>
            <w:r>
              <w:rPr>
                <w:noProof/>
                <w:webHidden/>
              </w:rPr>
            </w:r>
            <w:r>
              <w:rPr>
                <w:noProof/>
                <w:webHidden/>
              </w:rPr>
              <w:fldChar w:fldCharType="separate"/>
            </w:r>
            <w:r>
              <w:rPr>
                <w:noProof/>
                <w:webHidden/>
              </w:rPr>
              <w:t>8</w:t>
            </w:r>
            <w:r>
              <w:rPr>
                <w:noProof/>
                <w:webHidden/>
              </w:rPr>
              <w:fldChar w:fldCharType="end"/>
            </w:r>
          </w:hyperlink>
        </w:p>
        <w:p w14:paraId="6D6FCB68" w14:textId="5D9E273C" w:rsidR="00911BA0" w:rsidRDefault="00911BA0">
          <w:pPr>
            <w:pStyle w:val="TOC1"/>
            <w:tabs>
              <w:tab w:val="left" w:pos="660"/>
              <w:tab w:val="right" w:leader="dot" w:pos="10790"/>
            </w:tabs>
            <w:rPr>
              <w:rFonts w:cstheme="minorBidi"/>
              <w:noProof/>
              <w:lang w:val="en-CA" w:eastAsia="en-CA"/>
            </w:rPr>
          </w:pPr>
          <w:hyperlink w:anchor="_Toc16262337" w:history="1">
            <w:r w:rsidRPr="00650CCB">
              <w:rPr>
                <w:rStyle w:val="Hyperlink"/>
                <w:noProof/>
              </w:rPr>
              <w:t>4</w:t>
            </w:r>
            <w:r>
              <w:rPr>
                <w:rFonts w:cstheme="minorBidi"/>
                <w:noProof/>
                <w:lang w:val="en-CA" w:eastAsia="en-CA"/>
              </w:rPr>
              <w:tab/>
            </w:r>
            <w:r w:rsidRPr="00650CCB">
              <w:rPr>
                <w:rStyle w:val="Hyperlink"/>
                <w:noProof/>
              </w:rPr>
              <w:t>Methodology</w:t>
            </w:r>
            <w:r>
              <w:rPr>
                <w:noProof/>
                <w:webHidden/>
              </w:rPr>
              <w:tab/>
            </w:r>
            <w:r>
              <w:rPr>
                <w:noProof/>
                <w:webHidden/>
              </w:rPr>
              <w:fldChar w:fldCharType="begin"/>
            </w:r>
            <w:r>
              <w:rPr>
                <w:noProof/>
                <w:webHidden/>
              </w:rPr>
              <w:instrText xml:space="preserve"> PAGEREF _Toc16262337 \h </w:instrText>
            </w:r>
            <w:r>
              <w:rPr>
                <w:noProof/>
                <w:webHidden/>
              </w:rPr>
            </w:r>
            <w:r>
              <w:rPr>
                <w:noProof/>
                <w:webHidden/>
              </w:rPr>
              <w:fldChar w:fldCharType="separate"/>
            </w:r>
            <w:r>
              <w:rPr>
                <w:noProof/>
                <w:webHidden/>
              </w:rPr>
              <w:t>9</w:t>
            </w:r>
            <w:r>
              <w:rPr>
                <w:noProof/>
                <w:webHidden/>
              </w:rPr>
              <w:fldChar w:fldCharType="end"/>
            </w:r>
          </w:hyperlink>
        </w:p>
        <w:p w14:paraId="74DB36A2" w14:textId="6B6ADE26" w:rsidR="00911BA0" w:rsidRDefault="00911BA0">
          <w:pPr>
            <w:pStyle w:val="TOC2"/>
            <w:tabs>
              <w:tab w:val="left" w:pos="880"/>
              <w:tab w:val="right" w:leader="dot" w:pos="10790"/>
            </w:tabs>
            <w:rPr>
              <w:rFonts w:cstheme="minorBidi"/>
              <w:noProof/>
              <w:lang w:val="en-CA" w:eastAsia="en-CA"/>
            </w:rPr>
          </w:pPr>
          <w:hyperlink w:anchor="_Toc16262338" w:history="1">
            <w:r w:rsidRPr="00650CCB">
              <w:rPr>
                <w:rStyle w:val="Hyperlink"/>
                <w:noProof/>
              </w:rPr>
              <w:t>4.1</w:t>
            </w:r>
            <w:r>
              <w:rPr>
                <w:rFonts w:cstheme="minorBidi"/>
                <w:noProof/>
                <w:lang w:val="en-CA" w:eastAsia="en-CA"/>
              </w:rPr>
              <w:tab/>
            </w:r>
            <w:r w:rsidRPr="00650CCB">
              <w:rPr>
                <w:rStyle w:val="Hyperlink"/>
                <w:noProof/>
              </w:rPr>
              <w:t>Research Question</w:t>
            </w:r>
            <w:r>
              <w:rPr>
                <w:noProof/>
                <w:webHidden/>
              </w:rPr>
              <w:tab/>
            </w:r>
            <w:r>
              <w:rPr>
                <w:noProof/>
                <w:webHidden/>
              </w:rPr>
              <w:fldChar w:fldCharType="begin"/>
            </w:r>
            <w:r>
              <w:rPr>
                <w:noProof/>
                <w:webHidden/>
              </w:rPr>
              <w:instrText xml:space="preserve"> PAGEREF _Toc16262338 \h </w:instrText>
            </w:r>
            <w:r>
              <w:rPr>
                <w:noProof/>
                <w:webHidden/>
              </w:rPr>
            </w:r>
            <w:r>
              <w:rPr>
                <w:noProof/>
                <w:webHidden/>
              </w:rPr>
              <w:fldChar w:fldCharType="separate"/>
            </w:r>
            <w:r>
              <w:rPr>
                <w:noProof/>
                <w:webHidden/>
              </w:rPr>
              <w:t>9</w:t>
            </w:r>
            <w:r>
              <w:rPr>
                <w:noProof/>
                <w:webHidden/>
              </w:rPr>
              <w:fldChar w:fldCharType="end"/>
            </w:r>
          </w:hyperlink>
        </w:p>
        <w:p w14:paraId="18CBEDC0" w14:textId="1B54F13D" w:rsidR="00911BA0" w:rsidRDefault="00911BA0">
          <w:pPr>
            <w:pStyle w:val="TOC2"/>
            <w:tabs>
              <w:tab w:val="left" w:pos="880"/>
              <w:tab w:val="right" w:leader="dot" w:pos="10790"/>
            </w:tabs>
            <w:rPr>
              <w:rFonts w:cstheme="minorBidi"/>
              <w:noProof/>
              <w:lang w:val="en-CA" w:eastAsia="en-CA"/>
            </w:rPr>
          </w:pPr>
          <w:hyperlink w:anchor="_Toc16262339" w:history="1">
            <w:r w:rsidRPr="00650CCB">
              <w:rPr>
                <w:rStyle w:val="Hyperlink"/>
                <w:noProof/>
              </w:rPr>
              <w:t>4.2</w:t>
            </w:r>
            <w:r>
              <w:rPr>
                <w:rFonts w:cstheme="minorBidi"/>
                <w:noProof/>
                <w:lang w:val="en-CA" w:eastAsia="en-CA"/>
              </w:rPr>
              <w:tab/>
            </w:r>
            <w:r w:rsidRPr="00650CCB">
              <w:rPr>
                <w:rStyle w:val="Hyperlink"/>
                <w:noProof/>
              </w:rPr>
              <w:t>Research Design</w:t>
            </w:r>
            <w:r>
              <w:rPr>
                <w:noProof/>
                <w:webHidden/>
              </w:rPr>
              <w:tab/>
            </w:r>
            <w:r>
              <w:rPr>
                <w:noProof/>
                <w:webHidden/>
              </w:rPr>
              <w:fldChar w:fldCharType="begin"/>
            </w:r>
            <w:r>
              <w:rPr>
                <w:noProof/>
                <w:webHidden/>
              </w:rPr>
              <w:instrText xml:space="preserve"> PAGEREF _Toc16262339 \h </w:instrText>
            </w:r>
            <w:r>
              <w:rPr>
                <w:noProof/>
                <w:webHidden/>
              </w:rPr>
            </w:r>
            <w:r>
              <w:rPr>
                <w:noProof/>
                <w:webHidden/>
              </w:rPr>
              <w:fldChar w:fldCharType="separate"/>
            </w:r>
            <w:r>
              <w:rPr>
                <w:noProof/>
                <w:webHidden/>
              </w:rPr>
              <w:t>9</w:t>
            </w:r>
            <w:r>
              <w:rPr>
                <w:noProof/>
                <w:webHidden/>
              </w:rPr>
              <w:fldChar w:fldCharType="end"/>
            </w:r>
          </w:hyperlink>
        </w:p>
        <w:p w14:paraId="626C8CD4" w14:textId="0A7D5F06" w:rsidR="00911BA0" w:rsidRDefault="00911BA0">
          <w:pPr>
            <w:pStyle w:val="TOC2"/>
            <w:tabs>
              <w:tab w:val="left" w:pos="880"/>
              <w:tab w:val="right" w:leader="dot" w:pos="10790"/>
            </w:tabs>
            <w:rPr>
              <w:rFonts w:cstheme="minorBidi"/>
              <w:noProof/>
              <w:lang w:val="en-CA" w:eastAsia="en-CA"/>
            </w:rPr>
          </w:pPr>
          <w:hyperlink w:anchor="_Toc16262340" w:history="1">
            <w:r w:rsidRPr="00650CCB">
              <w:rPr>
                <w:rStyle w:val="Hyperlink"/>
                <w:noProof/>
              </w:rPr>
              <w:t>4.3</w:t>
            </w:r>
            <w:r>
              <w:rPr>
                <w:rFonts w:cstheme="minorBidi"/>
                <w:noProof/>
                <w:lang w:val="en-CA" w:eastAsia="en-CA"/>
              </w:rPr>
              <w:tab/>
            </w:r>
            <w:r w:rsidRPr="00650CCB">
              <w:rPr>
                <w:rStyle w:val="Hyperlink"/>
                <w:noProof/>
              </w:rPr>
              <w:t>Data Collection</w:t>
            </w:r>
            <w:r>
              <w:rPr>
                <w:noProof/>
                <w:webHidden/>
              </w:rPr>
              <w:tab/>
            </w:r>
            <w:r>
              <w:rPr>
                <w:noProof/>
                <w:webHidden/>
              </w:rPr>
              <w:fldChar w:fldCharType="begin"/>
            </w:r>
            <w:r>
              <w:rPr>
                <w:noProof/>
                <w:webHidden/>
              </w:rPr>
              <w:instrText xml:space="preserve"> PAGEREF _Toc16262340 \h </w:instrText>
            </w:r>
            <w:r>
              <w:rPr>
                <w:noProof/>
                <w:webHidden/>
              </w:rPr>
            </w:r>
            <w:r>
              <w:rPr>
                <w:noProof/>
                <w:webHidden/>
              </w:rPr>
              <w:fldChar w:fldCharType="separate"/>
            </w:r>
            <w:r>
              <w:rPr>
                <w:noProof/>
                <w:webHidden/>
              </w:rPr>
              <w:t>9</w:t>
            </w:r>
            <w:r>
              <w:rPr>
                <w:noProof/>
                <w:webHidden/>
              </w:rPr>
              <w:fldChar w:fldCharType="end"/>
            </w:r>
          </w:hyperlink>
        </w:p>
        <w:p w14:paraId="7963960D" w14:textId="1C51EF1F" w:rsidR="00911BA0" w:rsidRDefault="00911BA0">
          <w:pPr>
            <w:pStyle w:val="TOC2"/>
            <w:tabs>
              <w:tab w:val="left" w:pos="880"/>
              <w:tab w:val="right" w:leader="dot" w:pos="10790"/>
            </w:tabs>
            <w:rPr>
              <w:rFonts w:cstheme="minorBidi"/>
              <w:noProof/>
              <w:lang w:val="en-CA" w:eastAsia="en-CA"/>
            </w:rPr>
          </w:pPr>
          <w:hyperlink w:anchor="_Toc16262341" w:history="1">
            <w:r w:rsidRPr="00650CCB">
              <w:rPr>
                <w:rStyle w:val="Hyperlink"/>
                <w:noProof/>
              </w:rPr>
              <w:t>4.4</w:t>
            </w:r>
            <w:r>
              <w:rPr>
                <w:rFonts w:cstheme="minorBidi"/>
                <w:noProof/>
                <w:lang w:val="en-CA" w:eastAsia="en-CA"/>
              </w:rPr>
              <w:tab/>
            </w:r>
            <w:r w:rsidRPr="00650CCB">
              <w:rPr>
                <w:rStyle w:val="Hyperlink"/>
                <w:noProof/>
              </w:rPr>
              <w:t>Data Analysis</w:t>
            </w:r>
            <w:r>
              <w:rPr>
                <w:noProof/>
                <w:webHidden/>
              </w:rPr>
              <w:tab/>
            </w:r>
            <w:r>
              <w:rPr>
                <w:noProof/>
                <w:webHidden/>
              </w:rPr>
              <w:fldChar w:fldCharType="begin"/>
            </w:r>
            <w:r>
              <w:rPr>
                <w:noProof/>
                <w:webHidden/>
              </w:rPr>
              <w:instrText xml:space="preserve"> PAGEREF _Toc16262341 \h </w:instrText>
            </w:r>
            <w:r>
              <w:rPr>
                <w:noProof/>
                <w:webHidden/>
              </w:rPr>
            </w:r>
            <w:r>
              <w:rPr>
                <w:noProof/>
                <w:webHidden/>
              </w:rPr>
              <w:fldChar w:fldCharType="separate"/>
            </w:r>
            <w:r>
              <w:rPr>
                <w:noProof/>
                <w:webHidden/>
              </w:rPr>
              <w:t>10</w:t>
            </w:r>
            <w:r>
              <w:rPr>
                <w:noProof/>
                <w:webHidden/>
              </w:rPr>
              <w:fldChar w:fldCharType="end"/>
            </w:r>
          </w:hyperlink>
        </w:p>
        <w:p w14:paraId="7C806648" w14:textId="57A5D6A8" w:rsidR="00911BA0" w:rsidRDefault="00911BA0">
          <w:pPr>
            <w:pStyle w:val="TOC2"/>
            <w:tabs>
              <w:tab w:val="left" w:pos="880"/>
              <w:tab w:val="right" w:leader="dot" w:pos="10790"/>
            </w:tabs>
            <w:rPr>
              <w:rFonts w:cstheme="minorBidi"/>
              <w:noProof/>
              <w:lang w:val="en-CA" w:eastAsia="en-CA"/>
            </w:rPr>
          </w:pPr>
          <w:hyperlink w:anchor="_Toc16262342" w:history="1">
            <w:r w:rsidRPr="00650CCB">
              <w:rPr>
                <w:rStyle w:val="Hyperlink"/>
                <w:noProof/>
              </w:rPr>
              <w:t>4.5</w:t>
            </w:r>
            <w:r>
              <w:rPr>
                <w:rFonts w:cstheme="minorBidi"/>
                <w:noProof/>
                <w:lang w:val="en-CA" w:eastAsia="en-CA"/>
              </w:rPr>
              <w:tab/>
            </w:r>
            <w:r w:rsidRPr="00650CCB">
              <w:rPr>
                <w:rStyle w:val="Hyperlink"/>
                <w:noProof/>
              </w:rPr>
              <w:t>Ethics and Data Handling</w:t>
            </w:r>
            <w:r>
              <w:rPr>
                <w:noProof/>
                <w:webHidden/>
              </w:rPr>
              <w:tab/>
            </w:r>
            <w:r>
              <w:rPr>
                <w:noProof/>
                <w:webHidden/>
              </w:rPr>
              <w:fldChar w:fldCharType="begin"/>
            </w:r>
            <w:r>
              <w:rPr>
                <w:noProof/>
                <w:webHidden/>
              </w:rPr>
              <w:instrText xml:space="preserve"> PAGEREF _Toc16262342 \h </w:instrText>
            </w:r>
            <w:r>
              <w:rPr>
                <w:noProof/>
                <w:webHidden/>
              </w:rPr>
            </w:r>
            <w:r>
              <w:rPr>
                <w:noProof/>
                <w:webHidden/>
              </w:rPr>
              <w:fldChar w:fldCharType="separate"/>
            </w:r>
            <w:r>
              <w:rPr>
                <w:noProof/>
                <w:webHidden/>
              </w:rPr>
              <w:t>10</w:t>
            </w:r>
            <w:r>
              <w:rPr>
                <w:noProof/>
                <w:webHidden/>
              </w:rPr>
              <w:fldChar w:fldCharType="end"/>
            </w:r>
          </w:hyperlink>
        </w:p>
        <w:p w14:paraId="64E0D835" w14:textId="0CD1BA86" w:rsidR="00911BA0" w:rsidRDefault="00911BA0">
          <w:pPr>
            <w:pStyle w:val="TOC2"/>
            <w:tabs>
              <w:tab w:val="left" w:pos="880"/>
              <w:tab w:val="right" w:leader="dot" w:pos="10790"/>
            </w:tabs>
            <w:rPr>
              <w:rFonts w:cstheme="minorBidi"/>
              <w:noProof/>
              <w:lang w:val="en-CA" w:eastAsia="en-CA"/>
            </w:rPr>
          </w:pPr>
          <w:hyperlink w:anchor="_Toc16262343" w:history="1">
            <w:r w:rsidRPr="00650CCB">
              <w:rPr>
                <w:rStyle w:val="Hyperlink"/>
                <w:noProof/>
              </w:rPr>
              <w:t>4.6</w:t>
            </w:r>
            <w:r>
              <w:rPr>
                <w:rFonts w:cstheme="minorBidi"/>
                <w:noProof/>
                <w:lang w:val="en-CA" w:eastAsia="en-CA"/>
              </w:rPr>
              <w:tab/>
            </w:r>
            <w:r w:rsidRPr="00650CCB">
              <w:rPr>
                <w:rStyle w:val="Hyperlink"/>
                <w:noProof/>
              </w:rPr>
              <w:t>Strengths</w:t>
            </w:r>
            <w:r>
              <w:rPr>
                <w:noProof/>
                <w:webHidden/>
              </w:rPr>
              <w:tab/>
            </w:r>
            <w:r>
              <w:rPr>
                <w:noProof/>
                <w:webHidden/>
              </w:rPr>
              <w:fldChar w:fldCharType="begin"/>
            </w:r>
            <w:r>
              <w:rPr>
                <w:noProof/>
                <w:webHidden/>
              </w:rPr>
              <w:instrText xml:space="preserve"> PAGEREF _Toc16262343 \h </w:instrText>
            </w:r>
            <w:r>
              <w:rPr>
                <w:noProof/>
                <w:webHidden/>
              </w:rPr>
            </w:r>
            <w:r>
              <w:rPr>
                <w:noProof/>
                <w:webHidden/>
              </w:rPr>
              <w:fldChar w:fldCharType="separate"/>
            </w:r>
            <w:r>
              <w:rPr>
                <w:noProof/>
                <w:webHidden/>
              </w:rPr>
              <w:t>10</w:t>
            </w:r>
            <w:r>
              <w:rPr>
                <w:noProof/>
                <w:webHidden/>
              </w:rPr>
              <w:fldChar w:fldCharType="end"/>
            </w:r>
          </w:hyperlink>
        </w:p>
        <w:p w14:paraId="20D3536E" w14:textId="56A90D6D" w:rsidR="00911BA0" w:rsidRDefault="00911BA0">
          <w:pPr>
            <w:pStyle w:val="TOC2"/>
            <w:tabs>
              <w:tab w:val="left" w:pos="880"/>
              <w:tab w:val="right" w:leader="dot" w:pos="10790"/>
            </w:tabs>
            <w:rPr>
              <w:rFonts w:cstheme="minorBidi"/>
              <w:noProof/>
              <w:lang w:val="en-CA" w:eastAsia="en-CA"/>
            </w:rPr>
          </w:pPr>
          <w:hyperlink w:anchor="_Toc16262344" w:history="1">
            <w:r w:rsidRPr="00650CCB">
              <w:rPr>
                <w:rStyle w:val="Hyperlink"/>
                <w:noProof/>
              </w:rPr>
              <w:t>4.7</w:t>
            </w:r>
            <w:r>
              <w:rPr>
                <w:rFonts w:cstheme="minorBidi"/>
                <w:noProof/>
                <w:lang w:val="en-CA" w:eastAsia="en-CA"/>
              </w:rPr>
              <w:tab/>
            </w:r>
            <w:r w:rsidRPr="00650CCB">
              <w:rPr>
                <w:rStyle w:val="Hyperlink"/>
                <w:noProof/>
              </w:rPr>
              <w:t>Limitations</w:t>
            </w:r>
            <w:r>
              <w:rPr>
                <w:noProof/>
                <w:webHidden/>
              </w:rPr>
              <w:tab/>
            </w:r>
            <w:r>
              <w:rPr>
                <w:noProof/>
                <w:webHidden/>
              </w:rPr>
              <w:fldChar w:fldCharType="begin"/>
            </w:r>
            <w:r>
              <w:rPr>
                <w:noProof/>
                <w:webHidden/>
              </w:rPr>
              <w:instrText xml:space="preserve"> PAGEREF _Toc16262344 \h </w:instrText>
            </w:r>
            <w:r>
              <w:rPr>
                <w:noProof/>
                <w:webHidden/>
              </w:rPr>
            </w:r>
            <w:r>
              <w:rPr>
                <w:noProof/>
                <w:webHidden/>
              </w:rPr>
              <w:fldChar w:fldCharType="separate"/>
            </w:r>
            <w:r>
              <w:rPr>
                <w:noProof/>
                <w:webHidden/>
              </w:rPr>
              <w:t>10</w:t>
            </w:r>
            <w:r>
              <w:rPr>
                <w:noProof/>
                <w:webHidden/>
              </w:rPr>
              <w:fldChar w:fldCharType="end"/>
            </w:r>
          </w:hyperlink>
        </w:p>
        <w:p w14:paraId="66346532" w14:textId="19637FDC" w:rsidR="00911BA0" w:rsidRDefault="00911BA0">
          <w:pPr>
            <w:pStyle w:val="TOC1"/>
            <w:tabs>
              <w:tab w:val="left" w:pos="660"/>
              <w:tab w:val="right" w:leader="dot" w:pos="10790"/>
            </w:tabs>
            <w:rPr>
              <w:rFonts w:cstheme="minorBidi"/>
              <w:noProof/>
              <w:lang w:val="en-CA" w:eastAsia="en-CA"/>
            </w:rPr>
          </w:pPr>
          <w:hyperlink w:anchor="_Toc16262345" w:history="1">
            <w:r w:rsidRPr="00650CCB">
              <w:rPr>
                <w:rStyle w:val="Hyperlink"/>
                <w:noProof/>
              </w:rPr>
              <w:t>5</w:t>
            </w:r>
            <w:r>
              <w:rPr>
                <w:rFonts w:cstheme="minorBidi"/>
                <w:noProof/>
                <w:lang w:val="en-CA" w:eastAsia="en-CA"/>
              </w:rPr>
              <w:tab/>
            </w:r>
            <w:r w:rsidRPr="00650CCB">
              <w:rPr>
                <w:rStyle w:val="Hyperlink"/>
                <w:noProof/>
              </w:rPr>
              <w:t>Results</w:t>
            </w:r>
            <w:r>
              <w:rPr>
                <w:noProof/>
                <w:webHidden/>
              </w:rPr>
              <w:tab/>
            </w:r>
            <w:r>
              <w:rPr>
                <w:noProof/>
                <w:webHidden/>
              </w:rPr>
              <w:fldChar w:fldCharType="begin"/>
            </w:r>
            <w:r>
              <w:rPr>
                <w:noProof/>
                <w:webHidden/>
              </w:rPr>
              <w:instrText xml:space="preserve"> PAGEREF _Toc16262345 \h </w:instrText>
            </w:r>
            <w:r>
              <w:rPr>
                <w:noProof/>
                <w:webHidden/>
              </w:rPr>
            </w:r>
            <w:r>
              <w:rPr>
                <w:noProof/>
                <w:webHidden/>
              </w:rPr>
              <w:fldChar w:fldCharType="separate"/>
            </w:r>
            <w:r>
              <w:rPr>
                <w:noProof/>
                <w:webHidden/>
              </w:rPr>
              <w:t>11</w:t>
            </w:r>
            <w:r>
              <w:rPr>
                <w:noProof/>
                <w:webHidden/>
              </w:rPr>
              <w:fldChar w:fldCharType="end"/>
            </w:r>
          </w:hyperlink>
        </w:p>
        <w:p w14:paraId="031B1EE3" w14:textId="6A8CD737" w:rsidR="00911BA0" w:rsidRDefault="00911BA0">
          <w:pPr>
            <w:pStyle w:val="TOC2"/>
            <w:tabs>
              <w:tab w:val="left" w:pos="880"/>
              <w:tab w:val="right" w:leader="dot" w:pos="10790"/>
            </w:tabs>
            <w:rPr>
              <w:rFonts w:cstheme="minorBidi"/>
              <w:noProof/>
              <w:lang w:val="en-CA" w:eastAsia="en-CA"/>
            </w:rPr>
          </w:pPr>
          <w:hyperlink w:anchor="_Toc16262346" w:history="1">
            <w:r w:rsidRPr="00650CCB">
              <w:rPr>
                <w:rStyle w:val="Hyperlink"/>
                <w:noProof/>
              </w:rPr>
              <w:t>5.1</w:t>
            </w:r>
            <w:r>
              <w:rPr>
                <w:rFonts w:cstheme="minorBidi"/>
                <w:noProof/>
                <w:lang w:val="en-CA" w:eastAsia="en-CA"/>
              </w:rPr>
              <w:tab/>
            </w:r>
            <w:r w:rsidRPr="00650CCB">
              <w:rPr>
                <w:rStyle w:val="Hyperlink"/>
                <w:noProof/>
              </w:rPr>
              <w:t>Calgary’s Adult Court</w:t>
            </w:r>
            <w:r>
              <w:rPr>
                <w:noProof/>
                <w:webHidden/>
              </w:rPr>
              <w:tab/>
            </w:r>
            <w:r>
              <w:rPr>
                <w:noProof/>
                <w:webHidden/>
              </w:rPr>
              <w:fldChar w:fldCharType="begin"/>
            </w:r>
            <w:r>
              <w:rPr>
                <w:noProof/>
                <w:webHidden/>
              </w:rPr>
              <w:instrText xml:space="preserve"> PAGEREF _Toc16262346 \h </w:instrText>
            </w:r>
            <w:r>
              <w:rPr>
                <w:noProof/>
                <w:webHidden/>
              </w:rPr>
            </w:r>
            <w:r>
              <w:rPr>
                <w:noProof/>
                <w:webHidden/>
              </w:rPr>
              <w:fldChar w:fldCharType="separate"/>
            </w:r>
            <w:r>
              <w:rPr>
                <w:noProof/>
                <w:webHidden/>
              </w:rPr>
              <w:t>11</w:t>
            </w:r>
            <w:r>
              <w:rPr>
                <w:noProof/>
                <w:webHidden/>
              </w:rPr>
              <w:fldChar w:fldCharType="end"/>
            </w:r>
          </w:hyperlink>
        </w:p>
        <w:p w14:paraId="427C9746" w14:textId="3D327345" w:rsidR="00911BA0" w:rsidRDefault="00911BA0">
          <w:pPr>
            <w:pStyle w:val="TOC2"/>
            <w:tabs>
              <w:tab w:val="left" w:pos="880"/>
              <w:tab w:val="right" w:leader="dot" w:pos="10790"/>
            </w:tabs>
            <w:rPr>
              <w:rFonts w:cstheme="minorBidi"/>
              <w:noProof/>
              <w:lang w:val="en-CA" w:eastAsia="en-CA"/>
            </w:rPr>
          </w:pPr>
          <w:hyperlink w:anchor="_Toc16262347" w:history="1">
            <w:r w:rsidRPr="00650CCB">
              <w:rPr>
                <w:rStyle w:val="Hyperlink"/>
                <w:noProof/>
              </w:rPr>
              <w:t>5.2</w:t>
            </w:r>
            <w:r>
              <w:rPr>
                <w:rFonts w:cstheme="minorBidi"/>
                <w:noProof/>
                <w:lang w:val="en-CA" w:eastAsia="en-CA"/>
              </w:rPr>
              <w:tab/>
            </w:r>
            <w:r w:rsidRPr="00650CCB">
              <w:rPr>
                <w:rStyle w:val="Hyperlink"/>
                <w:noProof/>
              </w:rPr>
              <w:t>North Adult Court</w:t>
            </w:r>
            <w:r>
              <w:rPr>
                <w:noProof/>
                <w:webHidden/>
              </w:rPr>
              <w:tab/>
            </w:r>
            <w:r>
              <w:rPr>
                <w:noProof/>
                <w:webHidden/>
              </w:rPr>
              <w:fldChar w:fldCharType="begin"/>
            </w:r>
            <w:r>
              <w:rPr>
                <w:noProof/>
                <w:webHidden/>
              </w:rPr>
              <w:instrText xml:space="preserve"> PAGEREF _Toc16262347 \h </w:instrText>
            </w:r>
            <w:r>
              <w:rPr>
                <w:noProof/>
                <w:webHidden/>
              </w:rPr>
            </w:r>
            <w:r>
              <w:rPr>
                <w:noProof/>
                <w:webHidden/>
              </w:rPr>
              <w:fldChar w:fldCharType="separate"/>
            </w:r>
            <w:r>
              <w:rPr>
                <w:noProof/>
                <w:webHidden/>
              </w:rPr>
              <w:t>21</w:t>
            </w:r>
            <w:r>
              <w:rPr>
                <w:noProof/>
                <w:webHidden/>
              </w:rPr>
              <w:fldChar w:fldCharType="end"/>
            </w:r>
          </w:hyperlink>
        </w:p>
        <w:p w14:paraId="40C423BC" w14:textId="21448C84" w:rsidR="00911BA0" w:rsidRDefault="00911BA0">
          <w:pPr>
            <w:pStyle w:val="TOC2"/>
            <w:tabs>
              <w:tab w:val="left" w:pos="880"/>
              <w:tab w:val="right" w:leader="dot" w:pos="10790"/>
            </w:tabs>
            <w:rPr>
              <w:rFonts w:cstheme="minorBidi"/>
              <w:noProof/>
              <w:lang w:val="en-CA" w:eastAsia="en-CA"/>
            </w:rPr>
          </w:pPr>
          <w:hyperlink w:anchor="_Toc16262348" w:history="1">
            <w:r w:rsidRPr="00650CCB">
              <w:rPr>
                <w:rStyle w:val="Hyperlink"/>
                <w:noProof/>
              </w:rPr>
              <w:t>5.3</w:t>
            </w:r>
            <w:r>
              <w:rPr>
                <w:rFonts w:cstheme="minorBidi"/>
                <w:noProof/>
                <w:lang w:val="en-CA" w:eastAsia="en-CA"/>
              </w:rPr>
              <w:tab/>
            </w:r>
            <w:r w:rsidRPr="00650CCB">
              <w:rPr>
                <w:rStyle w:val="Hyperlink"/>
                <w:noProof/>
              </w:rPr>
              <w:t>South Adult Court</w:t>
            </w:r>
            <w:r>
              <w:rPr>
                <w:noProof/>
                <w:webHidden/>
              </w:rPr>
              <w:tab/>
            </w:r>
            <w:r>
              <w:rPr>
                <w:noProof/>
                <w:webHidden/>
              </w:rPr>
              <w:fldChar w:fldCharType="begin"/>
            </w:r>
            <w:r>
              <w:rPr>
                <w:noProof/>
                <w:webHidden/>
              </w:rPr>
              <w:instrText xml:space="preserve"> PAGEREF _Toc16262348 \h </w:instrText>
            </w:r>
            <w:r>
              <w:rPr>
                <w:noProof/>
                <w:webHidden/>
              </w:rPr>
            </w:r>
            <w:r>
              <w:rPr>
                <w:noProof/>
                <w:webHidden/>
              </w:rPr>
              <w:fldChar w:fldCharType="separate"/>
            </w:r>
            <w:r>
              <w:rPr>
                <w:noProof/>
                <w:webHidden/>
              </w:rPr>
              <w:t>30</w:t>
            </w:r>
            <w:r>
              <w:rPr>
                <w:noProof/>
                <w:webHidden/>
              </w:rPr>
              <w:fldChar w:fldCharType="end"/>
            </w:r>
          </w:hyperlink>
        </w:p>
        <w:p w14:paraId="3F9BC2D5" w14:textId="04B44997" w:rsidR="00911BA0" w:rsidRDefault="00911BA0">
          <w:pPr>
            <w:pStyle w:val="TOC2"/>
            <w:tabs>
              <w:tab w:val="left" w:pos="880"/>
              <w:tab w:val="right" w:leader="dot" w:pos="10790"/>
            </w:tabs>
            <w:rPr>
              <w:rFonts w:cstheme="minorBidi"/>
              <w:noProof/>
              <w:lang w:val="en-CA" w:eastAsia="en-CA"/>
            </w:rPr>
          </w:pPr>
          <w:hyperlink w:anchor="_Toc16262349" w:history="1">
            <w:r w:rsidRPr="00650CCB">
              <w:rPr>
                <w:rStyle w:val="Hyperlink"/>
                <w:noProof/>
              </w:rPr>
              <w:t>5.4</w:t>
            </w:r>
            <w:r>
              <w:rPr>
                <w:rFonts w:cstheme="minorBidi"/>
                <w:noProof/>
                <w:lang w:val="en-CA" w:eastAsia="en-CA"/>
              </w:rPr>
              <w:tab/>
            </w:r>
            <w:r w:rsidRPr="00650CCB">
              <w:rPr>
                <w:rStyle w:val="Hyperlink"/>
                <w:noProof/>
              </w:rPr>
              <w:t>Calgary Youth Court</w:t>
            </w:r>
            <w:r>
              <w:rPr>
                <w:noProof/>
                <w:webHidden/>
              </w:rPr>
              <w:tab/>
            </w:r>
            <w:r>
              <w:rPr>
                <w:noProof/>
                <w:webHidden/>
              </w:rPr>
              <w:fldChar w:fldCharType="begin"/>
            </w:r>
            <w:r>
              <w:rPr>
                <w:noProof/>
                <w:webHidden/>
              </w:rPr>
              <w:instrText xml:space="preserve"> PAGEREF _Toc16262349 \h </w:instrText>
            </w:r>
            <w:r>
              <w:rPr>
                <w:noProof/>
                <w:webHidden/>
              </w:rPr>
            </w:r>
            <w:r>
              <w:rPr>
                <w:noProof/>
                <w:webHidden/>
              </w:rPr>
              <w:fldChar w:fldCharType="separate"/>
            </w:r>
            <w:r>
              <w:rPr>
                <w:noProof/>
                <w:webHidden/>
              </w:rPr>
              <w:t>37</w:t>
            </w:r>
            <w:r>
              <w:rPr>
                <w:noProof/>
                <w:webHidden/>
              </w:rPr>
              <w:fldChar w:fldCharType="end"/>
            </w:r>
          </w:hyperlink>
        </w:p>
        <w:p w14:paraId="558E2F8F" w14:textId="5E6AF05E" w:rsidR="00911BA0" w:rsidRDefault="00911BA0">
          <w:pPr>
            <w:pStyle w:val="TOC2"/>
            <w:tabs>
              <w:tab w:val="left" w:pos="880"/>
              <w:tab w:val="right" w:leader="dot" w:pos="10790"/>
            </w:tabs>
            <w:rPr>
              <w:rFonts w:cstheme="minorBidi"/>
              <w:noProof/>
              <w:lang w:val="en-CA" w:eastAsia="en-CA"/>
            </w:rPr>
          </w:pPr>
          <w:hyperlink w:anchor="_Toc16262350" w:history="1">
            <w:r w:rsidRPr="00650CCB">
              <w:rPr>
                <w:rStyle w:val="Hyperlink"/>
                <w:noProof/>
              </w:rPr>
              <w:t>5.5</w:t>
            </w:r>
            <w:r>
              <w:rPr>
                <w:rFonts w:cstheme="minorBidi"/>
                <w:noProof/>
                <w:lang w:val="en-CA" w:eastAsia="en-CA"/>
              </w:rPr>
              <w:tab/>
            </w:r>
            <w:r w:rsidRPr="00650CCB">
              <w:rPr>
                <w:rStyle w:val="Hyperlink"/>
                <w:noProof/>
              </w:rPr>
              <w:t>North Youth Courts</w:t>
            </w:r>
            <w:r>
              <w:rPr>
                <w:noProof/>
                <w:webHidden/>
              </w:rPr>
              <w:tab/>
            </w:r>
            <w:r>
              <w:rPr>
                <w:noProof/>
                <w:webHidden/>
              </w:rPr>
              <w:fldChar w:fldCharType="begin"/>
            </w:r>
            <w:r>
              <w:rPr>
                <w:noProof/>
                <w:webHidden/>
              </w:rPr>
              <w:instrText xml:space="preserve"> PAGEREF _Toc16262350 \h </w:instrText>
            </w:r>
            <w:r>
              <w:rPr>
                <w:noProof/>
                <w:webHidden/>
              </w:rPr>
            </w:r>
            <w:r>
              <w:rPr>
                <w:noProof/>
                <w:webHidden/>
              </w:rPr>
              <w:fldChar w:fldCharType="separate"/>
            </w:r>
            <w:r>
              <w:rPr>
                <w:noProof/>
                <w:webHidden/>
              </w:rPr>
              <w:t>41</w:t>
            </w:r>
            <w:r>
              <w:rPr>
                <w:noProof/>
                <w:webHidden/>
              </w:rPr>
              <w:fldChar w:fldCharType="end"/>
            </w:r>
          </w:hyperlink>
        </w:p>
        <w:p w14:paraId="4AC3540B" w14:textId="72D6E6F9" w:rsidR="00911BA0" w:rsidRDefault="00911BA0">
          <w:pPr>
            <w:pStyle w:val="TOC2"/>
            <w:tabs>
              <w:tab w:val="left" w:pos="880"/>
              <w:tab w:val="right" w:leader="dot" w:pos="10790"/>
            </w:tabs>
            <w:rPr>
              <w:rFonts w:cstheme="minorBidi"/>
              <w:noProof/>
              <w:lang w:val="en-CA" w:eastAsia="en-CA"/>
            </w:rPr>
          </w:pPr>
          <w:hyperlink w:anchor="_Toc16262351" w:history="1">
            <w:r w:rsidRPr="00650CCB">
              <w:rPr>
                <w:rStyle w:val="Hyperlink"/>
                <w:noProof/>
              </w:rPr>
              <w:t>5.6</w:t>
            </w:r>
            <w:r>
              <w:rPr>
                <w:rFonts w:cstheme="minorBidi"/>
                <w:noProof/>
                <w:lang w:val="en-CA" w:eastAsia="en-CA"/>
              </w:rPr>
              <w:tab/>
            </w:r>
            <w:r w:rsidRPr="00650CCB">
              <w:rPr>
                <w:rStyle w:val="Hyperlink"/>
                <w:noProof/>
              </w:rPr>
              <w:t>South Youth Court</w:t>
            </w:r>
            <w:r>
              <w:rPr>
                <w:noProof/>
                <w:webHidden/>
              </w:rPr>
              <w:tab/>
            </w:r>
            <w:r>
              <w:rPr>
                <w:noProof/>
                <w:webHidden/>
              </w:rPr>
              <w:fldChar w:fldCharType="begin"/>
            </w:r>
            <w:r>
              <w:rPr>
                <w:noProof/>
                <w:webHidden/>
              </w:rPr>
              <w:instrText xml:space="preserve"> PAGEREF _Toc16262351 \h </w:instrText>
            </w:r>
            <w:r>
              <w:rPr>
                <w:noProof/>
                <w:webHidden/>
              </w:rPr>
            </w:r>
            <w:r>
              <w:rPr>
                <w:noProof/>
                <w:webHidden/>
              </w:rPr>
              <w:fldChar w:fldCharType="separate"/>
            </w:r>
            <w:r>
              <w:rPr>
                <w:noProof/>
                <w:webHidden/>
              </w:rPr>
              <w:t>46</w:t>
            </w:r>
            <w:r>
              <w:rPr>
                <w:noProof/>
                <w:webHidden/>
              </w:rPr>
              <w:fldChar w:fldCharType="end"/>
            </w:r>
          </w:hyperlink>
        </w:p>
        <w:p w14:paraId="427C14B2" w14:textId="65113389" w:rsidR="00911BA0" w:rsidRDefault="00911BA0">
          <w:pPr>
            <w:pStyle w:val="TOC2"/>
            <w:tabs>
              <w:tab w:val="left" w:pos="880"/>
              <w:tab w:val="right" w:leader="dot" w:pos="10790"/>
            </w:tabs>
            <w:rPr>
              <w:rFonts w:cstheme="minorBidi"/>
              <w:noProof/>
              <w:lang w:val="en-CA" w:eastAsia="en-CA"/>
            </w:rPr>
          </w:pPr>
          <w:hyperlink w:anchor="_Toc16262352" w:history="1">
            <w:r w:rsidRPr="00650CCB">
              <w:rPr>
                <w:rStyle w:val="Hyperlink"/>
                <w:rFonts w:cstheme="majorHAnsi"/>
                <w:noProof/>
              </w:rPr>
              <w:t>5.7</w:t>
            </w:r>
            <w:r>
              <w:rPr>
                <w:rFonts w:cstheme="minorBidi"/>
                <w:noProof/>
                <w:lang w:val="en-CA" w:eastAsia="en-CA"/>
              </w:rPr>
              <w:tab/>
            </w:r>
            <w:r w:rsidRPr="00650CCB">
              <w:rPr>
                <w:rStyle w:val="Hyperlink"/>
                <w:rFonts w:cstheme="majorHAnsi"/>
                <w:noProof/>
              </w:rPr>
              <w:t>Traffic Court</w:t>
            </w:r>
            <w:r>
              <w:rPr>
                <w:noProof/>
                <w:webHidden/>
              </w:rPr>
              <w:tab/>
            </w:r>
            <w:r>
              <w:rPr>
                <w:noProof/>
                <w:webHidden/>
              </w:rPr>
              <w:fldChar w:fldCharType="begin"/>
            </w:r>
            <w:r>
              <w:rPr>
                <w:noProof/>
                <w:webHidden/>
              </w:rPr>
              <w:instrText xml:space="preserve"> PAGEREF _Toc16262352 \h </w:instrText>
            </w:r>
            <w:r>
              <w:rPr>
                <w:noProof/>
                <w:webHidden/>
              </w:rPr>
            </w:r>
            <w:r>
              <w:rPr>
                <w:noProof/>
                <w:webHidden/>
              </w:rPr>
              <w:fldChar w:fldCharType="separate"/>
            </w:r>
            <w:r>
              <w:rPr>
                <w:noProof/>
                <w:webHidden/>
              </w:rPr>
              <w:t>50</w:t>
            </w:r>
            <w:r>
              <w:rPr>
                <w:noProof/>
                <w:webHidden/>
              </w:rPr>
              <w:fldChar w:fldCharType="end"/>
            </w:r>
          </w:hyperlink>
        </w:p>
        <w:p w14:paraId="2D32BD51" w14:textId="5C4333E0" w:rsidR="00911BA0" w:rsidRDefault="00911BA0">
          <w:pPr>
            <w:pStyle w:val="TOC2"/>
            <w:tabs>
              <w:tab w:val="left" w:pos="880"/>
              <w:tab w:val="right" w:leader="dot" w:pos="10790"/>
            </w:tabs>
            <w:rPr>
              <w:rFonts w:cstheme="minorBidi"/>
              <w:noProof/>
              <w:lang w:val="en-CA" w:eastAsia="en-CA"/>
            </w:rPr>
          </w:pPr>
          <w:hyperlink w:anchor="_Toc16262353" w:history="1">
            <w:r w:rsidRPr="00650CCB">
              <w:rPr>
                <w:rStyle w:val="Hyperlink"/>
                <w:noProof/>
              </w:rPr>
              <w:t>5.8</w:t>
            </w:r>
            <w:r>
              <w:rPr>
                <w:rFonts w:cstheme="minorBidi"/>
                <w:noProof/>
                <w:lang w:val="en-CA" w:eastAsia="en-CA"/>
              </w:rPr>
              <w:tab/>
            </w:r>
            <w:r w:rsidRPr="00650CCB">
              <w:rPr>
                <w:rStyle w:val="Hyperlink"/>
                <w:noProof/>
              </w:rPr>
              <w:t>South Traffic Courts</w:t>
            </w:r>
            <w:r>
              <w:rPr>
                <w:noProof/>
                <w:webHidden/>
              </w:rPr>
              <w:tab/>
            </w:r>
            <w:r>
              <w:rPr>
                <w:noProof/>
                <w:webHidden/>
              </w:rPr>
              <w:fldChar w:fldCharType="begin"/>
            </w:r>
            <w:r>
              <w:rPr>
                <w:noProof/>
                <w:webHidden/>
              </w:rPr>
              <w:instrText xml:space="preserve"> PAGEREF _Toc16262353 \h </w:instrText>
            </w:r>
            <w:r>
              <w:rPr>
                <w:noProof/>
                <w:webHidden/>
              </w:rPr>
            </w:r>
            <w:r>
              <w:rPr>
                <w:noProof/>
                <w:webHidden/>
              </w:rPr>
              <w:fldChar w:fldCharType="separate"/>
            </w:r>
            <w:r>
              <w:rPr>
                <w:noProof/>
                <w:webHidden/>
              </w:rPr>
              <w:t>61</w:t>
            </w:r>
            <w:r>
              <w:rPr>
                <w:noProof/>
                <w:webHidden/>
              </w:rPr>
              <w:fldChar w:fldCharType="end"/>
            </w:r>
          </w:hyperlink>
        </w:p>
        <w:p w14:paraId="0E959F4D" w14:textId="47E861BD" w:rsidR="00911BA0" w:rsidRDefault="00911BA0">
          <w:pPr>
            <w:pStyle w:val="TOC2"/>
            <w:tabs>
              <w:tab w:val="left" w:pos="880"/>
              <w:tab w:val="right" w:leader="dot" w:pos="10790"/>
            </w:tabs>
            <w:rPr>
              <w:rFonts w:cstheme="minorBidi"/>
              <w:noProof/>
              <w:lang w:val="en-CA" w:eastAsia="en-CA"/>
            </w:rPr>
          </w:pPr>
          <w:hyperlink w:anchor="_Toc16262354" w:history="1">
            <w:r w:rsidRPr="00650CCB">
              <w:rPr>
                <w:rStyle w:val="Hyperlink"/>
                <w:noProof/>
              </w:rPr>
              <w:t>5.9</w:t>
            </w:r>
            <w:r>
              <w:rPr>
                <w:rFonts w:cstheme="minorBidi"/>
                <w:noProof/>
                <w:lang w:val="en-CA" w:eastAsia="en-CA"/>
              </w:rPr>
              <w:tab/>
            </w:r>
            <w:r w:rsidRPr="00650CCB">
              <w:rPr>
                <w:rStyle w:val="Hyperlink"/>
                <w:noProof/>
              </w:rPr>
              <w:t>Domestic Court</w:t>
            </w:r>
            <w:r>
              <w:rPr>
                <w:noProof/>
                <w:webHidden/>
              </w:rPr>
              <w:tab/>
            </w:r>
            <w:r>
              <w:rPr>
                <w:noProof/>
                <w:webHidden/>
              </w:rPr>
              <w:fldChar w:fldCharType="begin"/>
            </w:r>
            <w:r>
              <w:rPr>
                <w:noProof/>
                <w:webHidden/>
              </w:rPr>
              <w:instrText xml:space="preserve"> PAGEREF _Toc16262354 \h </w:instrText>
            </w:r>
            <w:r>
              <w:rPr>
                <w:noProof/>
                <w:webHidden/>
              </w:rPr>
            </w:r>
            <w:r>
              <w:rPr>
                <w:noProof/>
                <w:webHidden/>
              </w:rPr>
              <w:fldChar w:fldCharType="separate"/>
            </w:r>
            <w:r>
              <w:rPr>
                <w:noProof/>
                <w:webHidden/>
              </w:rPr>
              <w:t>68</w:t>
            </w:r>
            <w:r>
              <w:rPr>
                <w:noProof/>
                <w:webHidden/>
              </w:rPr>
              <w:fldChar w:fldCharType="end"/>
            </w:r>
          </w:hyperlink>
        </w:p>
        <w:p w14:paraId="1D0CFC68" w14:textId="7FCC8220" w:rsidR="00911BA0" w:rsidRDefault="00911BA0">
          <w:pPr>
            <w:pStyle w:val="TOC1"/>
            <w:tabs>
              <w:tab w:val="left" w:pos="660"/>
              <w:tab w:val="right" w:leader="dot" w:pos="10790"/>
            </w:tabs>
            <w:rPr>
              <w:rFonts w:cstheme="minorBidi"/>
              <w:noProof/>
              <w:lang w:val="en-CA" w:eastAsia="en-CA"/>
            </w:rPr>
          </w:pPr>
          <w:hyperlink w:anchor="_Toc16262355" w:history="1">
            <w:r w:rsidRPr="00650CCB">
              <w:rPr>
                <w:rStyle w:val="Hyperlink"/>
                <w:noProof/>
              </w:rPr>
              <w:t>6</w:t>
            </w:r>
            <w:r>
              <w:rPr>
                <w:rFonts w:cstheme="minorBidi"/>
                <w:noProof/>
                <w:lang w:val="en-CA" w:eastAsia="en-CA"/>
              </w:rPr>
              <w:tab/>
            </w:r>
            <w:r w:rsidRPr="00650CCB">
              <w:rPr>
                <w:rStyle w:val="Hyperlink"/>
                <w:noProof/>
              </w:rPr>
              <w:t>Discussion</w:t>
            </w:r>
            <w:r>
              <w:rPr>
                <w:noProof/>
                <w:webHidden/>
              </w:rPr>
              <w:tab/>
            </w:r>
            <w:r>
              <w:rPr>
                <w:noProof/>
                <w:webHidden/>
              </w:rPr>
              <w:fldChar w:fldCharType="begin"/>
            </w:r>
            <w:r>
              <w:rPr>
                <w:noProof/>
                <w:webHidden/>
              </w:rPr>
              <w:instrText xml:space="preserve"> PAGEREF _Toc16262355 \h </w:instrText>
            </w:r>
            <w:r>
              <w:rPr>
                <w:noProof/>
                <w:webHidden/>
              </w:rPr>
            </w:r>
            <w:r>
              <w:rPr>
                <w:noProof/>
                <w:webHidden/>
              </w:rPr>
              <w:fldChar w:fldCharType="separate"/>
            </w:r>
            <w:r>
              <w:rPr>
                <w:noProof/>
                <w:webHidden/>
              </w:rPr>
              <w:t>74</w:t>
            </w:r>
            <w:r>
              <w:rPr>
                <w:noProof/>
                <w:webHidden/>
              </w:rPr>
              <w:fldChar w:fldCharType="end"/>
            </w:r>
          </w:hyperlink>
        </w:p>
        <w:p w14:paraId="163BD470" w14:textId="46BCF1B5" w:rsidR="00911BA0" w:rsidRDefault="00911BA0">
          <w:pPr>
            <w:pStyle w:val="TOC2"/>
            <w:tabs>
              <w:tab w:val="left" w:pos="880"/>
              <w:tab w:val="right" w:leader="dot" w:pos="10790"/>
            </w:tabs>
            <w:rPr>
              <w:rFonts w:cstheme="minorBidi"/>
              <w:noProof/>
              <w:lang w:val="en-CA" w:eastAsia="en-CA"/>
            </w:rPr>
          </w:pPr>
          <w:hyperlink w:anchor="_Toc16262356" w:history="1">
            <w:r w:rsidRPr="00650CCB">
              <w:rPr>
                <w:rStyle w:val="Hyperlink"/>
                <w:noProof/>
              </w:rPr>
              <w:t>6.1</w:t>
            </w:r>
            <w:r>
              <w:rPr>
                <w:rFonts w:cstheme="minorBidi"/>
                <w:noProof/>
                <w:lang w:val="en-CA" w:eastAsia="en-CA"/>
              </w:rPr>
              <w:tab/>
            </w:r>
            <w:r w:rsidRPr="00650CCB">
              <w:rPr>
                <w:rStyle w:val="Hyperlink"/>
                <w:noProof/>
              </w:rPr>
              <w:t>Gender Distribution</w:t>
            </w:r>
            <w:r>
              <w:rPr>
                <w:noProof/>
                <w:webHidden/>
              </w:rPr>
              <w:tab/>
            </w:r>
            <w:r>
              <w:rPr>
                <w:noProof/>
                <w:webHidden/>
              </w:rPr>
              <w:fldChar w:fldCharType="begin"/>
            </w:r>
            <w:r>
              <w:rPr>
                <w:noProof/>
                <w:webHidden/>
              </w:rPr>
              <w:instrText xml:space="preserve"> PAGEREF _Toc16262356 \h </w:instrText>
            </w:r>
            <w:r>
              <w:rPr>
                <w:noProof/>
                <w:webHidden/>
              </w:rPr>
            </w:r>
            <w:r>
              <w:rPr>
                <w:noProof/>
                <w:webHidden/>
              </w:rPr>
              <w:fldChar w:fldCharType="separate"/>
            </w:r>
            <w:r>
              <w:rPr>
                <w:noProof/>
                <w:webHidden/>
              </w:rPr>
              <w:t>74</w:t>
            </w:r>
            <w:r>
              <w:rPr>
                <w:noProof/>
                <w:webHidden/>
              </w:rPr>
              <w:fldChar w:fldCharType="end"/>
            </w:r>
          </w:hyperlink>
        </w:p>
        <w:p w14:paraId="10517813" w14:textId="591103C9" w:rsidR="00911BA0" w:rsidRDefault="00911BA0">
          <w:pPr>
            <w:pStyle w:val="TOC3"/>
            <w:tabs>
              <w:tab w:val="left" w:pos="1100"/>
              <w:tab w:val="right" w:leader="dot" w:pos="10790"/>
            </w:tabs>
            <w:rPr>
              <w:rFonts w:cstheme="minorBidi"/>
              <w:noProof/>
              <w:lang w:val="en-CA" w:eastAsia="en-CA"/>
            </w:rPr>
          </w:pPr>
          <w:hyperlink w:anchor="_Toc16262357" w:history="1">
            <w:r w:rsidRPr="00650CCB">
              <w:rPr>
                <w:rStyle w:val="Hyperlink"/>
                <w:noProof/>
              </w:rPr>
              <w:t>6.1.1</w:t>
            </w:r>
            <w:r>
              <w:rPr>
                <w:rFonts w:cstheme="minorBidi"/>
                <w:noProof/>
                <w:lang w:val="en-CA" w:eastAsia="en-CA"/>
              </w:rPr>
              <w:tab/>
            </w:r>
            <w:r w:rsidRPr="00650CCB">
              <w:rPr>
                <w:rStyle w:val="Hyperlink"/>
                <w:noProof/>
              </w:rPr>
              <w:t>Gender Distribution</w:t>
            </w:r>
            <w:r>
              <w:rPr>
                <w:noProof/>
                <w:webHidden/>
              </w:rPr>
              <w:tab/>
            </w:r>
            <w:r>
              <w:rPr>
                <w:noProof/>
                <w:webHidden/>
              </w:rPr>
              <w:fldChar w:fldCharType="begin"/>
            </w:r>
            <w:r>
              <w:rPr>
                <w:noProof/>
                <w:webHidden/>
              </w:rPr>
              <w:instrText xml:space="preserve"> PAGEREF _Toc16262357 \h </w:instrText>
            </w:r>
            <w:r>
              <w:rPr>
                <w:noProof/>
                <w:webHidden/>
              </w:rPr>
            </w:r>
            <w:r>
              <w:rPr>
                <w:noProof/>
                <w:webHidden/>
              </w:rPr>
              <w:fldChar w:fldCharType="separate"/>
            </w:r>
            <w:r>
              <w:rPr>
                <w:noProof/>
                <w:webHidden/>
              </w:rPr>
              <w:t>74</w:t>
            </w:r>
            <w:r>
              <w:rPr>
                <w:noProof/>
                <w:webHidden/>
              </w:rPr>
              <w:fldChar w:fldCharType="end"/>
            </w:r>
          </w:hyperlink>
        </w:p>
        <w:p w14:paraId="20782AE6" w14:textId="0BEC0FFC" w:rsidR="00911BA0" w:rsidRDefault="00911BA0">
          <w:pPr>
            <w:pStyle w:val="TOC3"/>
            <w:tabs>
              <w:tab w:val="left" w:pos="1100"/>
              <w:tab w:val="right" w:leader="dot" w:pos="10790"/>
            </w:tabs>
            <w:rPr>
              <w:rFonts w:cstheme="minorBidi"/>
              <w:noProof/>
              <w:lang w:val="en-CA" w:eastAsia="en-CA"/>
            </w:rPr>
          </w:pPr>
          <w:hyperlink w:anchor="_Toc16262358" w:history="1">
            <w:r w:rsidRPr="00650CCB">
              <w:rPr>
                <w:rStyle w:val="Hyperlink"/>
                <w:noProof/>
              </w:rPr>
              <w:t>6.1.2</w:t>
            </w:r>
            <w:r>
              <w:rPr>
                <w:rFonts w:cstheme="minorBidi"/>
                <w:noProof/>
                <w:lang w:val="en-CA" w:eastAsia="en-CA"/>
              </w:rPr>
              <w:tab/>
            </w:r>
            <w:r w:rsidRPr="00650CCB">
              <w:rPr>
                <w:rStyle w:val="Hyperlink"/>
                <w:noProof/>
              </w:rPr>
              <w:t>Gender and Age Distribution</w:t>
            </w:r>
            <w:r>
              <w:rPr>
                <w:noProof/>
                <w:webHidden/>
              </w:rPr>
              <w:tab/>
            </w:r>
            <w:r>
              <w:rPr>
                <w:noProof/>
                <w:webHidden/>
              </w:rPr>
              <w:fldChar w:fldCharType="begin"/>
            </w:r>
            <w:r>
              <w:rPr>
                <w:noProof/>
                <w:webHidden/>
              </w:rPr>
              <w:instrText xml:space="preserve"> PAGEREF _Toc16262358 \h </w:instrText>
            </w:r>
            <w:r>
              <w:rPr>
                <w:noProof/>
                <w:webHidden/>
              </w:rPr>
            </w:r>
            <w:r>
              <w:rPr>
                <w:noProof/>
                <w:webHidden/>
              </w:rPr>
              <w:fldChar w:fldCharType="separate"/>
            </w:r>
            <w:r>
              <w:rPr>
                <w:noProof/>
                <w:webHidden/>
              </w:rPr>
              <w:t>74</w:t>
            </w:r>
            <w:r>
              <w:rPr>
                <w:noProof/>
                <w:webHidden/>
              </w:rPr>
              <w:fldChar w:fldCharType="end"/>
            </w:r>
          </w:hyperlink>
        </w:p>
        <w:p w14:paraId="3D1283A9" w14:textId="4CA3863E" w:rsidR="00911BA0" w:rsidRDefault="00911BA0">
          <w:pPr>
            <w:pStyle w:val="TOC3"/>
            <w:tabs>
              <w:tab w:val="left" w:pos="1100"/>
              <w:tab w:val="right" w:leader="dot" w:pos="10790"/>
            </w:tabs>
            <w:rPr>
              <w:rFonts w:cstheme="minorBidi"/>
              <w:noProof/>
              <w:lang w:val="en-CA" w:eastAsia="en-CA"/>
            </w:rPr>
          </w:pPr>
          <w:hyperlink w:anchor="_Toc16262359" w:history="1">
            <w:r w:rsidRPr="00650CCB">
              <w:rPr>
                <w:rStyle w:val="Hyperlink"/>
                <w:noProof/>
              </w:rPr>
              <w:t>6.1.3</w:t>
            </w:r>
            <w:r>
              <w:rPr>
                <w:rFonts w:cstheme="minorBidi"/>
                <w:noProof/>
                <w:lang w:val="en-CA" w:eastAsia="en-CA"/>
              </w:rPr>
              <w:tab/>
            </w:r>
            <w:r w:rsidRPr="00650CCB">
              <w:rPr>
                <w:rStyle w:val="Hyperlink"/>
                <w:noProof/>
              </w:rPr>
              <w:t>Gender and Minority Status</w:t>
            </w:r>
            <w:r>
              <w:rPr>
                <w:noProof/>
                <w:webHidden/>
              </w:rPr>
              <w:tab/>
            </w:r>
            <w:r>
              <w:rPr>
                <w:noProof/>
                <w:webHidden/>
              </w:rPr>
              <w:fldChar w:fldCharType="begin"/>
            </w:r>
            <w:r>
              <w:rPr>
                <w:noProof/>
                <w:webHidden/>
              </w:rPr>
              <w:instrText xml:space="preserve"> PAGEREF _Toc16262359 \h </w:instrText>
            </w:r>
            <w:r>
              <w:rPr>
                <w:noProof/>
                <w:webHidden/>
              </w:rPr>
            </w:r>
            <w:r>
              <w:rPr>
                <w:noProof/>
                <w:webHidden/>
              </w:rPr>
              <w:fldChar w:fldCharType="separate"/>
            </w:r>
            <w:r>
              <w:rPr>
                <w:noProof/>
                <w:webHidden/>
              </w:rPr>
              <w:t>74</w:t>
            </w:r>
            <w:r>
              <w:rPr>
                <w:noProof/>
                <w:webHidden/>
              </w:rPr>
              <w:fldChar w:fldCharType="end"/>
            </w:r>
          </w:hyperlink>
        </w:p>
        <w:p w14:paraId="0A51B686" w14:textId="36186CA5" w:rsidR="00911BA0" w:rsidRDefault="00911BA0">
          <w:pPr>
            <w:pStyle w:val="TOC2"/>
            <w:tabs>
              <w:tab w:val="left" w:pos="880"/>
              <w:tab w:val="right" w:leader="dot" w:pos="10790"/>
            </w:tabs>
            <w:rPr>
              <w:rFonts w:cstheme="minorBidi"/>
              <w:noProof/>
              <w:lang w:val="en-CA" w:eastAsia="en-CA"/>
            </w:rPr>
          </w:pPr>
          <w:hyperlink w:anchor="_Toc16262360" w:history="1">
            <w:r w:rsidRPr="00650CCB">
              <w:rPr>
                <w:rStyle w:val="Hyperlink"/>
                <w:noProof/>
              </w:rPr>
              <w:t>6.2</w:t>
            </w:r>
            <w:r>
              <w:rPr>
                <w:rFonts w:cstheme="minorBidi"/>
                <w:noProof/>
                <w:lang w:val="en-CA" w:eastAsia="en-CA"/>
              </w:rPr>
              <w:tab/>
            </w:r>
            <w:r w:rsidRPr="00650CCB">
              <w:rPr>
                <w:rStyle w:val="Hyperlink"/>
                <w:noProof/>
              </w:rPr>
              <w:t>Age Distribution</w:t>
            </w:r>
            <w:r>
              <w:rPr>
                <w:noProof/>
                <w:webHidden/>
              </w:rPr>
              <w:tab/>
            </w:r>
            <w:r>
              <w:rPr>
                <w:noProof/>
                <w:webHidden/>
              </w:rPr>
              <w:fldChar w:fldCharType="begin"/>
            </w:r>
            <w:r>
              <w:rPr>
                <w:noProof/>
                <w:webHidden/>
              </w:rPr>
              <w:instrText xml:space="preserve"> PAGEREF _Toc16262360 \h </w:instrText>
            </w:r>
            <w:r>
              <w:rPr>
                <w:noProof/>
                <w:webHidden/>
              </w:rPr>
            </w:r>
            <w:r>
              <w:rPr>
                <w:noProof/>
                <w:webHidden/>
              </w:rPr>
              <w:fldChar w:fldCharType="separate"/>
            </w:r>
            <w:r>
              <w:rPr>
                <w:noProof/>
                <w:webHidden/>
              </w:rPr>
              <w:t>75</w:t>
            </w:r>
            <w:r>
              <w:rPr>
                <w:noProof/>
                <w:webHidden/>
              </w:rPr>
              <w:fldChar w:fldCharType="end"/>
            </w:r>
          </w:hyperlink>
        </w:p>
        <w:p w14:paraId="7BD3FB22" w14:textId="17D612FE" w:rsidR="00911BA0" w:rsidRDefault="00911BA0">
          <w:pPr>
            <w:pStyle w:val="TOC3"/>
            <w:tabs>
              <w:tab w:val="left" w:pos="1100"/>
              <w:tab w:val="right" w:leader="dot" w:pos="10790"/>
            </w:tabs>
            <w:rPr>
              <w:rFonts w:cstheme="minorBidi"/>
              <w:noProof/>
              <w:lang w:val="en-CA" w:eastAsia="en-CA"/>
            </w:rPr>
          </w:pPr>
          <w:hyperlink w:anchor="_Toc16262361" w:history="1">
            <w:r w:rsidRPr="00650CCB">
              <w:rPr>
                <w:rStyle w:val="Hyperlink"/>
                <w:noProof/>
              </w:rPr>
              <w:t>6.2.1</w:t>
            </w:r>
            <w:r>
              <w:rPr>
                <w:rFonts w:cstheme="minorBidi"/>
                <w:noProof/>
                <w:lang w:val="en-CA" w:eastAsia="en-CA"/>
              </w:rPr>
              <w:tab/>
            </w:r>
            <w:r w:rsidRPr="00650CCB">
              <w:rPr>
                <w:rStyle w:val="Hyperlink"/>
                <w:noProof/>
              </w:rPr>
              <w:t>Adult courts</w:t>
            </w:r>
            <w:r>
              <w:rPr>
                <w:noProof/>
                <w:webHidden/>
              </w:rPr>
              <w:tab/>
            </w:r>
            <w:r>
              <w:rPr>
                <w:noProof/>
                <w:webHidden/>
              </w:rPr>
              <w:fldChar w:fldCharType="begin"/>
            </w:r>
            <w:r>
              <w:rPr>
                <w:noProof/>
                <w:webHidden/>
              </w:rPr>
              <w:instrText xml:space="preserve"> PAGEREF _Toc16262361 \h </w:instrText>
            </w:r>
            <w:r>
              <w:rPr>
                <w:noProof/>
                <w:webHidden/>
              </w:rPr>
            </w:r>
            <w:r>
              <w:rPr>
                <w:noProof/>
                <w:webHidden/>
              </w:rPr>
              <w:fldChar w:fldCharType="separate"/>
            </w:r>
            <w:r>
              <w:rPr>
                <w:noProof/>
                <w:webHidden/>
              </w:rPr>
              <w:t>75</w:t>
            </w:r>
            <w:r>
              <w:rPr>
                <w:noProof/>
                <w:webHidden/>
              </w:rPr>
              <w:fldChar w:fldCharType="end"/>
            </w:r>
          </w:hyperlink>
        </w:p>
        <w:p w14:paraId="0E5639FF" w14:textId="6D185977" w:rsidR="00911BA0" w:rsidRDefault="00911BA0">
          <w:pPr>
            <w:pStyle w:val="TOC3"/>
            <w:tabs>
              <w:tab w:val="left" w:pos="1100"/>
              <w:tab w:val="right" w:leader="dot" w:pos="10790"/>
            </w:tabs>
            <w:rPr>
              <w:rFonts w:cstheme="minorBidi"/>
              <w:noProof/>
              <w:lang w:val="en-CA" w:eastAsia="en-CA"/>
            </w:rPr>
          </w:pPr>
          <w:hyperlink w:anchor="_Toc16262362" w:history="1">
            <w:r w:rsidRPr="00650CCB">
              <w:rPr>
                <w:rStyle w:val="Hyperlink"/>
                <w:noProof/>
              </w:rPr>
              <w:t>6.2.2</w:t>
            </w:r>
            <w:r>
              <w:rPr>
                <w:rFonts w:cstheme="minorBidi"/>
                <w:noProof/>
                <w:lang w:val="en-CA" w:eastAsia="en-CA"/>
              </w:rPr>
              <w:tab/>
            </w:r>
            <w:r w:rsidRPr="00650CCB">
              <w:rPr>
                <w:rStyle w:val="Hyperlink"/>
                <w:noProof/>
              </w:rPr>
              <w:t>Youth courts</w:t>
            </w:r>
            <w:r>
              <w:rPr>
                <w:noProof/>
                <w:webHidden/>
              </w:rPr>
              <w:tab/>
            </w:r>
            <w:r>
              <w:rPr>
                <w:noProof/>
                <w:webHidden/>
              </w:rPr>
              <w:fldChar w:fldCharType="begin"/>
            </w:r>
            <w:r>
              <w:rPr>
                <w:noProof/>
                <w:webHidden/>
              </w:rPr>
              <w:instrText xml:space="preserve"> PAGEREF _Toc16262362 \h </w:instrText>
            </w:r>
            <w:r>
              <w:rPr>
                <w:noProof/>
                <w:webHidden/>
              </w:rPr>
            </w:r>
            <w:r>
              <w:rPr>
                <w:noProof/>
                <w:webHidden/>
              </w:rPr>
              <w:fldChar w:fldCharType="separate"/>
            </w:r>
            <w:r>
              <w:rPr>
                <w:noProof/>
                <w:webHidden/>
              </w:rPr>
              <w:t>75</w:t>
            </w:r>
            <w:r>
              <w:rPr>
                <w:noProof/>
                <w:webHidden/>
              </w:rPr>
              <w:fldChar w:fldCharType="end"/>
            </w:r>
          </w:hyperlink>
        </w:p>
        <w:p w14:paraId="1CFB9BD1" w14:textId="1558A6E2" w:rsidR="00911BA0" w:rsidRDefault="00911BA0">
          <w:pPr>
            <w:pStyle w:val="TOC3"/>
            <w:tabs>
              <w:tab w:val="left" w:pos="1100"/>
              <w:tab w:val="right" w:leader="dot" w:pos="10790"/>
            </w:tabs>
            <w:rPr>
              <w:rFonts w:cstheme="minorBidi"/>
              <w:noProof/>
              <w:lang w:val="en-CA" w:eastAsia="en-CA"/>
            </w:rPr>
          </w:pPr>
          <w:hyperlink w:anchor="_Toc16262363" w:history="1">
            <w:r w:rsidRPr="00650CCB">
              <w:rPr>
                <w:rStyle w:val="Hyperlink"/>
                <w:noProof/>
              </w:rPr>
              <w:t>6.2.3</w:t>
            </w:r>
            <w:r>
              <w:rPr>
                <w:rFonts w:cstheme="minorBidi"/>
                <w:noProof/>
                <w:lang w:val="en-CA" w:eastAsia="en-CA"/>
              </w:rPr>
              <w:tab/>
            </w:r>
            <w:r w:rsidRPr="00650CCB">
              <w:rPr>
                <w:rStyle w:val="Hyperlink"/>
                <w:noProof/>
              </w:rPr>
              <w:t>Traffic courts</w:t>
            </w:r>
            <w:r>
              <w:rPr>
                <w:noProof/>
                <w:webHidden/>
              </w:rPr>
              <w:tab/>
            </w:r>
            <w:r>
              <w:rPr>
                <w:noProof/>
                <w:webHidden/>
              </w:rPr>
              <w:fldChar w:fldCharType="begin"/>
            </w:r>
            <w:r>
              <w:rPr>
                <w:noProof/>
                <w:webHidden/>
              </w:rPr>
              <w:instrText xml:space="preserve"> PAGEREF _Toc16262363 \h </w:instrText>
            </w:r>
            <w:r>
              <w:rPr>
                <w:noProof/>
                <w:webHidden/>
              </w:rPr>
            </w:r>
            <w:r>
              <w:rPr>
                <w:noProof/>
                <w:webHidden/>
              </w:rPr>
              <w:fldChar w:fldCharType="separate"/>
            </w:r>
            <w:r>
              <w:rPr>
                <w:noProof/>
                <w:webHidden/>
              </w:rPr>
              <w:t>75</w:t>
            </w:r>
            <w:r>
              <w:rPr>
                <w:noProof/>
                <w:webHidden/>
              </w:rPr>
              <w:fldChar w:fldCharType="end"/>
            </w:r>
          </w:hyperlink>
        </w:p>
        <w:p w14:paraId="7B9572E5" w14:textId="44F07C38" w:rsidR="00911BA0" w:rsidRDefault="00911BA0">
          <w:pPr>
            <w:pStyle w:val="TOC3"/>
            <w:tabs>
              <w:tab w:val="left" w:pos="1100"/>
              <w:tab w:val="right" w:leader="dot" w:pos="10790"/>
            </w:tabs>
            <w:rPr>
              <w:rFonts w:cstheme="minorBidi"/>
              <w:noProof/>
              <w:lang w:val="en-CA" w:eastAsia="en-CA"/>
            </w:rPr>
          </w:pPr>
          <w:hyperlink w:anchor="_Toc16262364" w:history="1">
            <w:r w:rsidRPr="00650CCB">
              <w:rPr>
                <w:rStyle w:val="Hyperlink"/>
                <w:noProof/>
              </w:rPr>
              <w:t>6.2.4</w:t>
            </w:r>
            <w:r>
              <w:rPr>
                <w:rFonts w:cstheme="minorBidi"/>
                <w:noProof/>
                <w:lang w:val="en-CA" w:eastAsia="en-CA"/>
              </w:rPr>
              <w:tab/>
            </w:r>
            <w:r w:rsidRPr="00650CCB">
              <w:rPr>
                <w:rStyle w:val="Hyperlink"/>
                <w:noProof/>
              </w:rPr>
              <w:t>Domestic Court</w:t>
            </w:r>
            <w:r>
              <w:rPr>
                <w:noProof/>
                <w:webHidden/>
              </w:rPr>
              <w:tab/>
            </w:r>
            <w:r>
              <w:rPr>
                <w:noProof/>
                <w:webHidden/>
              </w:rPr>
              <w:fldChar w:fldCharType="begin"/>
            </w:r>
            <w:r>
              <w:rPr>
                <w:noProof/>
                <w:webHidden/>
              </w:rPr>
              <w:instrText xml:space="preserve"> PAGEREF _Toc16262364 \h </w:instrText>
            </w:r>
            <w:r>
              <w:rPr>
                <w:noProof/>
                <w:webHidden/>
              </w:rPr>
            </w:r>
            <w:r>
              <w:rPr>
                <w:noProof/>
                <w:webHidden/>
              </w:rPr>
              <w:fldChar w:fldCharType="separate"/>
            </w:r>
            <w:r>
              <w:rPr>
                <w:noProof/>
                <w:webHidden/>
              </w:rPr>
              <w:t>76</w:t>
            </w:r>
            <w:r>
              <w:rPr>
                <w:noProof/>
                <w:webHidden/>
              </w:rPr>
              <w:fldChar w:fldCharType="end"/>
            </w:r>
          </w:hyperlink>
        </w:p>
        <w:p w14:paraId="2F65B075" w14:textId="4702393E" w:rsidR="00911BA0" w:rsidRDefault="00911BA0">
          <w:pPr>
            <w:pStyle w:val="TOC2"/>
            <w:tabs>
              <w:tab w:val="left" w:pos="880"/>
              <w:tab w:val="right" w:leader="dot" w:pos="10790"/>
            </w:tabs>
            <w:rPr>
              <w:rFonts w:cstheme="minorBidi"/>
              <w:noProof/>
              <w:lang w:val="en-CA" w:eastAsia="en-CA"/>
            </w:rPr>
          </w:pPr>
          <w:hyperlink w:anchor="_Toc16262365" w:history="1">
            <w:r w:rsidRPr="00650CCB">
              <w:rPr>
                <w:rStyle w:val="Hyperlink"/>
                <w:noProof/>
              </w:rPr>
              <w:t>6.3</w:t>
            </w:r>
            <w:r>
              <w:rPr>
                <w:rFonts w:cstheme="minorBidi"/>
                <w:noProof/>
                <w:lang w:val="en-CA" w:eastAsia="en-CA"/>
              </w:rPr>
              <w:tab/>
            </w:r>
            <w:r w:rsidRPr="00650CCB">
              <w:rPr>
                <w:rStyle w:val="Hyperlink"/>
                <w:noProof/>
              </w:rPr>
              <w:t>Minority Status</w:t>
            </w:r>
            <w:r>
              <w:rPr>
                <w:noProof/>
                <w:webHidden/>
              </w:rPr>
              <w:tab/>
            </w:r>
            <w:r>
              <w:rPr>
                <w:noProof/>
                <w:webHidden/>
              </w:rPr>
              <w:fldChar w:fldCharType="begin"/>
            </w:r>
            <w:r>
              <w:rPr>
                <w:noProof/>
                <w:webHidden/>
              </w:rPr>
              <w:instrText xml:space="preserve"> PAGEREF _Toc16262365 \h </w:instrText>
            </w:r>
            <w:r>
              <w:rPr>
                <w:noProof/>
                <w:webHidden/>
              </w:rPr>
            </w:r>
            <w:r>
              <w:rPr>
                <w:noProof/>
                <w:webHidden/>
              </w:rPr>
              <w:fldChar w:fldCharType="separate"/>
            </w:r>
            <w:r>
              <w:rPr>
                <w:noProof/>
                <w:webHidden/>
              </w:rPr>
              <w:t>76</w:t>
            </w:r>
            <w:r>
              <w:rPr>
                <w:noProof/>
                <w:webHidden/>
              </w:rPr>
              <w:fldChar w:fldCharType="end"/>
            </w:r>
          </w:hyperlink>
        </w:p>
        <w:p w14:paraId="6B2F3651" w14:textId="6B6D4BC7" w:rsidR="00911BA0" w:rsidRDefault="00911BA0">
          <w:pPr>
            <w:pStyle w:val="TOC3"/>
            <w:tabs>
              <w:tab w:val="left" w:pos="1100"/>
              <w:tab w:val="right" w:leader="dot" w:pos="10790"/>
            </w:tabs>
            <w:rPr>
              <w:rFonts w:cstheme="minorBidi"/>
              <w:noProof/>
              <w:lang w:val="en-CA" w:eastAsia="en-CA"/>
            </w:rPr>
          </w:pPr>
          <w:hyperlink w:anchor="_Toc16262366" w:history="1">
            <w:r w:rsidRPr="00650CCB">
              <w:rPr>
                <w:rStyle w:val="Hyperlink"/>
                <w:noProof/>
              </w:rPr>
              <w:t>6.3.1</w:t>
            </w:r>
            <w:r>
              <w:rPr>
                <w:rFonts w:cstheme="minorBidi"/>
                <w:noProof/>
                <w:lang w:val="en-CA" w:eastAsia="en-CA"/>
              </w:rPr>
              <w:tab/>
            </w:r>
            <w:r w:rsidRPr="00650CCB">
              <w:rPr>
                <w:rStyle w:val="Hyperlink"/>
                <w:noProof/>
              </w:rPr>
              <w:t>Adult courts</w:t>
            </w:r>
            <w:r>
              <w:rPr>
                <w:noProof/>
                <w:webHidden/>
              </w:rPr>
              <w:tab/>
            </w:r>
            <w:r>
              <w:rPr>
                <w:noProof/>
                <w:webHidden/>
              </w:rPr>
              <w:fldChar w:fldCharType="begin"/>
            </w:r>
            <w:r>
              <w:rPr>
                <w:noProof/>
                <w:webHidden/>
              </w:rPr>
              <w:instrText xml:space="preserve"> PAGEREF _Toc16262366 \h </w:instrText>
            </w:r>
            <w:r>
              <w:rPr>
                <w:noProof/>
                <w:webHidden/>
              </w:rPr>
            </w:r>
            <w:r>
              <w:rPr>
                <w:noProof/>
                <w:webHidden/>
              </w:rPr>
              <w:fldChar w:fldCharType="separate"/>
            </w:r>
            <w:r>
              <w:rPr>
                <w:noProof/>
                <w:webHidden/>
              </w:rPr>
              <w:t>76</w:t>
            </w:r>
            <w:r>
              <w:rPr>
                <w:noProof/>
                <w:webHidden/>
              </w:rPr>
              <w:fldChar w:fldCharType="end"/>
            </w:r>
          </w:hyperlink>
        </w:p>
        <w:p w14:paraId="0D43BC03" w14:textId="2A8C0D9D" w:rsidR="00911BA0" w:rsidRDefault="00911BA0">
          <w:pPr>
            <w:pStyle w:val="TOC3"/>
            <w:tabs>
              <w:tab w:val="left" w:pos="1100"/>
              <w:tab w:val="right" w:leader="dot" w:pos="10790"/>
            </w:tabs>
            <w:rPr>
              <w:rFonts w:cstheme="minorBidi"/>
              <w:noProof/>
              <w:lang w:val="en-CA" w:eastAsia="en-CA"/>
            </w:rPr>
          </w:pPr>
          <w:hyperlink w:anchor="_Toc16262367" w:history="1">
            <w:r w:rsidRPr="00650CCB">
              <w:rPr>
                <w:rStyle w:val="Hyperlink"/>
                <w:noProof/>
              </w:rPr>
              <w:t>6.3.2</w:t>
            </w:r>
            <w:r>
              <w:rPr>
                <w:rFonts w:cstheme="minorBidi"/>
                <w:noProof/>
                <w:lang w:val="en-CA" w:eastAsia="en-CA"/>
              </w:rPr>
              <w:tab/>
            </w:r>
            <w:r w:rsidRPr="00650CCB">
              <w:rPr>
                <w:rStyle w:val="Hyperlink"/>
                <w:noProof/>
              </w:rPr>
              <w:t>Youth courts</w:t>
            </w:r>
            <w:r>
              <w:rPr>
                <w:noProof/>
                <w:webHidden/>
              </w:rPr>
              <w:tab/>
            </w:r>
            <w:r>
              <w:rPr>
                <w:noProof/>
                <w:webHidden/>
              </w:rPr>
              <w:fldChar w:fldCharType="begin"/>
            </w:r>
            <w:r>
              <w:rPr>
                <w:noProof/>
                <w:webHidden/>
              </w:rPr>
              <w:instrText xml:space="preserve"> PAGEREF _Toc16262367 \h </w:instrText>
            </w:r>
            <w:r>
              <w:rPr>
                <w:noProof/>
                <w:webHidden/>
              </w:rPr>
            </w:r>
            <w:r>
              <w:rPr>
                <w:noProof/>
                <w:webHidden/>
              </w:rPr>
              <w:fldChar w:fldCharType="separate"/>
            </w:r>
            <w:r>
              <w:rPr>
                <w:noProof/>
                <w:webHidden/>
              </w:rPr>
              <w:t>78</w:t>
            </w:r>
            <w:r>
              <w:rPr>
                <w:noProof/>
                <w:webHidden/>
              </w:rPr>
              <w:fldChar w:fldCharType="end"/>
            </w:r>
          </w:hyperlink>
        </w:p>
        <w:p w14:paraId="7A9078DB" w14:textId="231427A4" w:rsidR="00911BA0" w:rsidRDefault="00911BA0">
          <w:pPr>
            <w:pStyle w:val="TOC3"/>
            <w:tabs>
              <w:tab w:val="left" w:pos="1100"/>
              <w:tab w:val="right" w:leader="dot" w:pos="10790"/>
            </w:tabs>
            <w:rPr>
              <w:rFonts w:cstheme="minorBidi"/>
              <w:noProof/>
              <w:lang w:val="en-CA" w:eastAsia="en-CA"/>
            </w:rPr>
          </w:pPr>
          <w:hyperlink w:anchor="_Toc16262368" w:history="1">
            <w:r w:rsidRPr="00650CCB">
              <w:rPr>
                <w:rStyle w:val="Hyperlink"/>
                <w:noProof/>
              </w:rPr>
              <w:t>6.3.3</w:t>
            </w:r>
            <w:r>
              <w:rPr>
                <w:rFonts w:cstheme="minorBidi"/>
                <w:noProof/>
                <w:lang w:val="en-CA" w:eastAsia="en-CA"/>
              </w:rPr>
              <w:tab/>
            </w:r>
            <w:r w:rsidRPr="00650CCB">
              <w:rPr>
                <w:rStyle w:val="Hyperlink"/>
                <w:noProof/>
              </w:rPr>
              <w:t>Traffic courts</w:t>
            </w:r>
            <w:r>
              <w:rPr>
                <w:noProof/>
                <w:webHidden/>
              </w:rPr>
              <w:tab/>
            </w:r>
            <w:r>
              <w:rPr>
                <w:noProof/>
                <w:webHidden/>
              </w:rPr>
              <w:fldChar w:fldCharType="begin"/>
            </w:r>
            <w:r>
              <w:rPr>
                <w:noProof/>
                <w:webHidden/>
              </w:rPr>
              <w:instrText xml:space="preserve"> PAGEREF _Toc16262368 \h </w:instrText>
            </w:r>
            <w:r>
              <w:rPr>
                <w:noProof/>
                <w:webHidden/>
              </w:rPr>
            </w:r>
            <w:r>
              <w:rPr>
                <w:noProof/>
                <w:webHidden/>
              </w:rPr>
              <w:fldChar w:fldCharType="separate"/>
            </w:r>
            <w:r>
              <w:rPr>
                <w:noProof/>
                <w:webHidden/>
              </w:rPr>
              <w:t>79</w:t>
            </w:r>
            <w:r>
              <w:rPr>
                <w:noProof/>
                <w:webHidden/>
              </w:rPr>
              <w:fldChar w:fldCharType="end"/>
            </w:r>
          </w:hyperlink>
        </w:p>
        <w:p w14:paraId="13796B7D" w14:textId="26743383" w:rsidR="00911BA0" w:rsidRDefault="00911BA0">
          <w:pPr>
            <w:pStyle w:val="TOC3"/>
            <w:tabs>
              <w:tab w:val="left" w:pos="1100"/>
              <w:tab w:val="right" w:leader="dot" w:pos="10790"/>
            </w:tabs>
            <w:rPr>
              <w:rFonts w:cstheme="minorBidi"/>
              <w:noProof/>
              <w:lang w:val="en-CA" w:eastAsia="en-CA"/>
            </w:rPr>
          </w:pPr>
          <w:hyperlink w:anchor="_Toc16262369" w:history="1">
            <w:r w:rsidRPr="00650CCB">
              <w:rPr>
                <w:rStyle w:val="Hyperlink"/>
                <w:noProof/>
              </w:rPr>
              <w:t>6.3.4</w:t>
            </w:r>
            <w:r>
              <w:rPr>
                <w:rFonts w:cstheme="minorBidi"/>
                <w:noProof/>
                <w:lang w:val="en-CA" w:eastAsia="en-CA"/>
              </w:rPr>
              <w:tab/>
            </w:r>
            <w:r w:rsidRPr="00650CCB">
              <w:rPr>
                <w:rStyle w:val="Hyperlink"/>
                <w:noProof/>
              </w:rPr>
              <w:t>Domestic Court</w:t>
            </w:r>
            <w:r>
              <w:rPr>
                <w:noProof/>
                <w:webHidden/>
              </w:rPr>
              <w:tab/>
            </w:r>
            <w:r>
              <w:rPr>
                <w:noProof/>
                <w:webHidden/>
              </w:rPr>
              <w:fldChar w:fldCharType="begin"/>
            </w:r>
            <w:r>
              <w:rPr>
                <w:noProof/>
                <w:webHidden/>
              </w:rPr>
              <w:instrText xml:space="preserve"> PAGEREF _Toc16262369 \h </w:instrText>
            </w:r>
            <w:r>
              <w:rPr>
                <w:noProof/>
                <w:webHidden/>
              </w:rPr>
            </w:r>
            <w:r>
              <w:rPr>
                <w:noProof/>
                <w:webHidden/>
              </w:rPr>
              <w:fldChar w:fldCharType="separate"/>
            </w:r>
            <w:r>
              <w:rPr>
                <w:noProof/>
                <w:webHidden/>
              </w:rPr>
              <w:t>80</w:t>
            </w:r>
            <w:r>
              <w:rPr>
                <w:noProof/>
                <w:webHidden/>
              </w:rPr>
              <w:fldChar w:fldCharType="end"/>
            </w:r>
          </w:hyperlink>
        </w:p>
        <w:p w14:paraId="341D4CB0" w14:textId="3FE15AA9" w:rsidR="00911BA0" w:rsidRDefault="00911BA0">
          <w:pPr>
            <w:pStyle w:val="TOC2"/>
            <w:tabs>
              <w:tab w:val="left" w:pos="880"/>
              <w:tab w:val="right" w:leader="dot" w:pos="10790"/>
            </w:tabs>
            <w:rPr>
              <w:rFonts w:cstheme="minorBidi"/>
              <w:noProof/>
              <w:lang w:val="en-CA" w:eastAsia="en-CA"/>
            </w:rPr>
          </w:pPr>
          <w:hyperlink w:anchor="_Toc16262370" w:history="1">
            <w:r w:rsidRPr="00650CCB">
              <w:rPr>
                <w:rStyle w:val="Hyperlink"/>
                <w:noProof/>
              </w:rPr>
              <w:t>6.4</w:t>
            </w:r>
            <w:r>
              <w:rPr>
                <w:rFonts w:cstheme="minorBidi"/>
                <w:noProof/>
                <w:lang w:val="en-CA" w:eastAsia="en-CA"/>
              </w:rPr>
              <w:tab/>
            </w:r>
            <w:r w:rsidRPr="00650CCB">
              <w:rPr>
                <w:rStyle w:val="Hyperlink"/>
                <w:noProof/>
              </w:rPr>
              <w:t>Family Size</w:t>
            </w:r>
            <w:r>
              <w:rPr>
                <w:noProof/>
                <w:webHidden/>
              </w:rPr>
              <w:tab/>
            </w:r>
            <w:r>
              <w:rPr>
                <w:noProof/>
                <w:webHidden/>
              </w:rPr>
              <w:fldChar w:fldCharType="begin"/>
            </w:r>
            <w:r>
              <w:rPr>
                <w:noProof/>
                <w:webHidden/>
              </w:rPr>
              <w:instrText xml:space="preserve"> PAGEREF _Toc16262370 \h </w:instrText>
            </w:r>
            <w:r>
              <w:rPr>
                <w:noProof/>
                <w:webHidden/>
              </w:rPr>
            </w:r>
            <w:r>
              <w:rPr>
                <w:noProof/>
                <w:webHidden/>
              </w:rPr>
              <w:fldChar w:fldCharType="separate"/>
            </w:r>
            <w:r>
              <w:rPr>
                <w:noProof/>
                <w:webHidden/>
              </w:rPr>
              <w:t>81</w:t>
            </w:r>
            <w:r>
              <w:rPr>
                <w:noProof/>
                <w:webHidden/>
              </w:rPr>
              <w:fldChar w:fldCharType="end"/>
            </w:r>
          </w:hyperlink>
        </w:p>
        <w:p w14:paraId="6313D134" w14:textId="45976140" w:rsidR="00911BA0" w:rsidRDefault="00911BA0">
          <w:pPr>
            <w:pStyle w:val="TOC3"/>
            <w:tabs>
              <w:tab w:val="left" w:pos="1100"/>
              <w:tab w:val="right" w:leader="dot" w:pos="10790"/>
            </w:tabs>
            <w:rPr>
              <w:rFonts w:cstheme="minorBidi"/>
              <w:noProof/>
              <w:lang w:val="en-CA" w:eastAsia="en-CA"/>
            </w:rPr>
          </w:pPr>
          <w:hyperlink w:anchor="_Toc16262371" w:history="1">
            <w:r w:rsidRPr="00650CCB">
              <w:rPr>
                <w:rStyle w:val="Hyperlink"/>
                <w:noProof/>
              </w:rPr>
              <w:t>6.4.1</w:t>
            </w:r>
            <w:r>
              <w:rPr>
                <w:rFonts w:cstheme="minorBidi"/>
                <w:noProof/>
                <w:lang w:val="en-CA" w:eastAsia="en-CA"/>
              </w:rPr>
              <w:tab/>
            </w:r>
            <w:r w:rsidRPr="00650CCB">
              <w:rPr>
                <w:rStyle w:val="Hyperlink"/>
                <w:noProof/>
              </w:rPr>
              <w:t>Adult courts</w:t>
            </w:r>
            <w:r>
              <w:rPr>
                <w:noProof/>
                <w:webHidden/>
              </w:rPr>
              <w:tab/>
            </w:r>
            <w:r>
              <w:rPr>
                <w:noProof/>
                <w:webHidden/>
              </w:rPr>
              <w:fldChar w:fldCharType="begin"/>
            </w:r>
            <w:r>
              <w:rPr>
                <w:noProof/>
                <w:webHidden/>
              </w:rPr>
              <w:instrText xml:space="preserve"> PAGEREF _Toc16262371 \h </w:instrText>
            </w:r>
            <w:r>
              <w:rPr>
                <w:noProof/>
                <w:webHidden/>
              </w:rPr>
            </w:r>
            <w:r>
              <w:rPr>
                <w:noProof/>
                <w:webHidden/>
              </w:rPr>
              <w:fldChar w:fldCharType="separate"/>
            </w:r>
            <w:r>
              <w:rPr>
                <w:noProof/>
                <w:webHidden/>
              </w:rPr>
              <w:t>81</w:t>
            </w:r>
            <w:r>
              <w:rPr>
                <w:noProof/>
                <w:webHidden/>
              </w:rPr>
              <w:fldChar w:fldCharType="end"/>
            </w:r>
          </w:hyperlink>
        </w:p>
        <w:p w14:paraId="0A4DACDB" w14:textId="1E147EE2" w:rsidR="00911BA0" w:rsidRDefault="00911BA0">
          <w:pPr>
            <w:pStyle w:val="TOC3"/>
            <w:tabs>
              <w:tab w:val="left" w:pos="1100"/>
              <w:tab w:val="right" w:leader="dot" w:pos="10790"/>
            </w:tabs>
            <w:rPr>
              <w:rFonts w:cstheme="minorBidi"/>
              <w:noProof/>
              <w:lang w:val="en-CA" w:eastAsia="en-CA"/>
            </w:rPr>
          </w:pPr>
          <w:hyperlink w:anchor="_Toc16262372" w:history="1">
            <w:r w:rsidRPr="00650CCB">
              <w:rPr>
                <w:rStyle w:val="Hyperlink"/>
                <w:noProof/>
              </w:rPr>
              <w:t>6.4.2</w:t>
            </w:r>
            <w:r>
              <w:rPr>
                <w:rFonts w:cstheme="minorBidi"/>
                <w:noProof/>
                <w:lang w:val="en-CA" w:eastAsia="en-CA"/>
              </w:rPr>
              <w:tab/>
            </w:r>
            <w:r w:rsidRPr="00650CCB">
              <w:rPr>
                <w:rStyle w:val="Hyperlink"/>
                <w:noProof/>
              </w:rPr>
              <w:t>Traffic courts</w:t>
            </w:r>
            <w:r>
              <w:rPr>
                <w:noProof/>
                <w:webHidden/>
              </w:rPr>
              <w:tab/>
            </w:r>
            <w:r>
              <w:rPr>
                <w:noProof/>
                <w:webHidden/>
              </w:rPr>
              <w:fldChar w:fldCharType="begin"/>
            </w:r>
            <w:r>
              <w:rPr>
                <w:noProof/>
                <w:webHidden/>
              </w:rPr>
              <w:instrText xml:space="preserve"> PAGEREF _Toc16262372 \h </w:instrText>
            </w:r>
            <w:r>
              <w:rPr>
                <w:noProof/>
                <w:webHidden/>
              </w:rPr>
            </w:r>
            <w:r>
              <w:rPr>
                <w:noProof/>
                <w:webHidden/>
              </w:rPr>
              <w:fldChar w:fldCharType="separate"/>
            </w:r>
            <w:r>
              <w:rPr>
                <w:noProof/>
                <w:webHidden/>
              </w:rPr>
              <w:t>81</w:t>
            </w:r>
            <w:r>
              <w:rPr>
                <w:noProof/>
                <w:webHidden/>
              </w:rPr>
              <w:fldChar w:fldCharType="end"/>
            </w:r>
          </w:hyperlink>
        </w:p>
        <w:p w14:paraId="60ED15CA" w14:textId="05BEDCCC" w:rsidR="00911BA0" w:rsidRDefault="00911BA0">
          <w:pPr>
            <w:pStyle w:val="TOC2"/>
            <w:tabs>
              <w:tab w:val="left" w:pos="880"/>
              <w:tab w:val="right" w:leader="dot" w:pos="10790"/>
            </w:tabs>
            <w:rPr>
              <w:rFonts w:cstheme="minorBidi"/>
              <w:noProof/>
              <w:lang w:val="en-CA" w:eastAsia="en-CA"/>
            </w:rPr>
          </w:pPr>
          <w:hyperlink w:anchor="_Toc16262373" w:history="1">
            <w:r w:rsidRPr="00650CCB">
              <w:rPr>
                <w:rStyle w:val="Hyperlink"/>
                <w:noProof/>
              </w:rPr>
              <w:t>6.5</w:t>
            </w:r>
            <w:r>
              <w:rPr>
                <w:rFonts w:cstheme="minorBidi"/>
                <w:noProof/>
                <w:lang w:val="en-CA" w:eastAsia="en-CA"/>
              </w:rPr>
              <w:tab/>
            </w:r>
            <w:r w:rsidRPr="00650CCB">
              <w:rPr>
                <w:rStyle w:val="Hyperlink"/>
                <w:noProof/>
              </w:rPr>
              <w:t>Annual Household Income</w:t>
            </w:r>
            <w:r>
              <w:rPr>
                <w:noProof/>
                <w:webHidden/>
              </w:rPr>
              <w:tab/>
            </w:r>
            <w:r>
              <w:rPr>
                <w:noProof/>
                <w:webHidden/>
              </w:rPr>
              <w:fldChar w:fldCharType="begin"/>
            </w:r>
            <w:r>
              <w:rPr>
                <w:noProof/>
                <w:webHidden/>
              </w:rPr>
              <w:instrText xml:space="preserve"> PAGEREF _Toc16262373 \h </w:instrText>
            </w:r>
            <w:r>
              <w:rPr>
                <w:noProof/>
                <w:webHidden/>
              </w:rPr>
            </w:r>
            <w:r>
              <w:rPr>
                <w:noProof/>
                <w:webHidden/>
              </w:rPr>
              <w:fldChar w:fldCharType="separate"/>
            </w:r>
            <w:r>
              <w:rPr>
                <w:noProof/>
                <w:webHidden/>
              </w:rPr>
              <w:t>81</w:t>
            </w:r>
            <w:r>
              <w:rPr>
                <w:noProof/>
                <w:webHidden/>
              </w:rPr>
              <w:fldChar w:fldCharType="end"/>
            </w:r>
          </w:hyperlink>
        </w:p>
        <w:p w14:paraId="0269C41F" w14:textId="6274107F" w:rsidR="00911BA0" w:rsidRDefault="00911BA0">
          <w:pPr>
            <w:pStyle w:val="TOC3"/>
            <w:tabs>
              <w:tab w:val="left" w:pos="1100"/>
              <w:tab w:val="right" w:leader="dot" w:pos="10790"/>
            </w:tabs>
            <w:rPr>
              <w:rFonts w:cstheme="minorBidi"/>
              <w:noProof/>
              <w:lang w:val="en-CA" w:eastAsia="en-CA"/>
            </w:rPr>
          </w:pPr>
          <w:hyperlink w:anchor="_Toc16262374" w:history="1">
            <w:r w:rsidRPr="00650CCB">
              <w:rPr>
                <w:rStyle w:val="Hyperlink"/>
                <w:noProof/>
              </w:rPr>
              <w:t>6.5.1</w:t>
            </w:r>
            <w:r>
              <w:rPr>
                <w:rFonts w:cstheme="minorBidi"/>
                <w:noProof/>
                <w:lang w:val="en-CA" w:eastAsia="en-CA"/>
              </w:rPr>
              <w:tab/>
            </w:r>
            <w:r w:rsidRPr="00650CCB">
              <w:rPr>
                <w:rStyle w:val="Hyperlink"/>
                <w:noProof/>
              </w:rPr>
              <w:t>Adult courts</w:t>
            </w:r>
            <w:r>
              <w:rPr>
                <w:noProof/>
                <w:webHidden/>
              </w:rPr>
              <w:tab/>
            </w:r>
            <w:r>
              <w:rPr>
                <w:noProof/>
                <w:webHidden/>
              </w:rPr>
              <w:fldChar w:fldCharType="begin"/>
            </w:r>
            <w:r>
              <w:rPr>
                <w:noProof/>
                <w:webHidden/>
              </w:rPr>
              <w:instrText xml:space="preserve"> PAGEREF _Toc16262374 \h </w:instrText>
            </w:r>
            <w:r>
              <w:rPr>
                <w:noProof/>
                <w:webHidden/>
              </w:rPr>
            </w:r>
            <w:r>
              <w:rPr>
                <w:noProof/>
                <w:webHidden/>
              </w:rPr>
              <w:fldChar w:fldCharType="separate"/>
            </w:r>
            <w:r>
              <w:rPr>
                <w:noProof/>
                <w:webHidden/>
              </w:rPr>
              <w:t>81</w:t>
            </w:r>
            <w:r>
              <w:rPr>
                <w:noProof/>
                <w:webHidden/>
              </w:rPr>
              <w:fldChar w:fldCharType="end"/>
            </w:r>
          </w:hyperlink>
        </w:p>
        <w:p w14:paraId="2E9595A8" w14:textId="5EF52595" w:rsidR="00911BA0" w:rsidRDefault="00911BA0">
          <w:pPr>
            <w:pStyle w:val="TOC3"/>
            <w:tabs>
              <w:tab w:val="left" w:pos="1100"/>
              <w:tab w:val="right" w:leader="dot" w:pos="10790"/>
            </w:tabs>
            <w:rPr>
              <w:rFonts w:cstheme="minorBidi"/>
              <w:noProof/>
              <w:lang w:val="en-CA" w:eastAsia="en-CA"/>
            </w:rPr>
          </w:pPr>
          <w:hyperlink w:anchor="_Toc16262375" w:history="1">
            <w:r w:rsidRPr="00650CCB">
              <w:rPr>
                <w:rStyle w:val="Hyperlink"/>
                <w:noProof/>
              </w:rPr>
              <w:t>6.5.2</w:t>
            </w:r>
            <w:r>
              <w:rPr>
                <w:rFonts w:cstheme="minorBidi"/>
                <w:noProof/>
                <w:lang w:val="en-CA" w:eastAsia="en-CA"/>
              </w:rPr>
              <w:tab/>
            </w:r>
            <w:r w:rsidRPr="00650CCB">
              <w:rPr>
                <w:rStyle w:val="Hyperlink"/>
                <w:noProof/>
              </w:rPr>
              <w:t>Traffic courts</w:t>
            </w:r>
            <w:r>
              <w:rPr>
                <w:noProof/>
                <w:webHidden/>
              </w:rPr>
              <w:tab/>
            </w:r>
            <w:r>
              <w:rPr>
                <w:noProof/>
                <w:webHidden/>
              </w:rPr>
              <w:fldChar w:fldCharType="begin"/>
            </w:r>
            <w:r>
              <w:rPr>
                <w:noProof/>
                <w:webHidden/>
              </w:rPr>
              <w:instrText xml:space="preserve"> PAGEREF _Toc16262375 \h </w:instrText>
            </w:r>
            <w:r>
              <w:rPr>
                <w:noProof/>
                <w:webHidden/>
              </w:rPr>
            </w:r>
            <w:r>
              <w:rPr>
                <w:noProof/>
                <w:webHidden/>
              </w:rPr>
              <w:fldChar w:fldCharType="separate"/>
            </w:r>
            <w:r>
              <w:rPr>
                <w:noProof/>
                <w:webHidden/>
              </w:rPr>
              <w:t>82</w:t>
            </w:r>
            <w:r>
              <w:rPr>
                <w:noProof/>
                <w:webHidden/>
              </w:rPr>
              <w:fldChar w:fldCharType="end"/>
            </w:r>
          </w:hyperlink>
        </w:p>
        <w:p w14:paraId="3B9B10F2" w14:textId="5A044AC8" w:rsidR="00911BA0" w:rsidRDefault="00911BA0">
          <w:pPr>
            <w:pStyle w:val="TOC2"/>
            <w:tabs>
              <w:tab w:val="left" w:pos="880"/>
              <w:tab w:val="right" w:leader="dot" w:pos="10790"/>
            </w:tabs>
            <w:rPr>
              <w:rFonts w:cstheme="minorBidi"/>
              <w:noProof/>
              <w:lang w:val="en-CA" w:eastAsia="en-CA"/>
            </w:rPr>
          </w:pPr>
          <w:hyperlink w:anchor="_Toc16262376" w:history="1">
            <w:r w:rsidRPr="00650CCB">
              <w:rPr>
                <w:rStyle w:val="Hyperlink"/>
                <w:noProof/>
              </w:rPr>
              <w:t>6.6</w:t>
            </w:r>
            <w:r>
              <w:rPr>
                <w:rFonts w:cstheme="minorBidi"/>
                <w:noProof/>
                <w:lang w:val="en-CA" w:eastAsia="en-CA"/>
              </w:rPr>
              <w:tab/>
            </w:r>
            <w:r w:rsidRPr="00650CCB">
              <w:rPr>
                <w:rStyle w:val="Hyperlink"/>
                <w:noProof/>
              </w:rPr>
              <w:t>Offences</w:t>
            </w:r>
            <w:r>
              <w:rPr>
                <w:noProof/>
                <w:webHidden/>
              </w:rPr>
              <w:tab/>
            </w:r>
            <w:r>
              <w:rPr>
                <w:noProof/>
                <w:webHidden/>
              </w:rPr>
              <w:fldChar w:fldCharType="begin"/>
            </w:r>
            <w:r>
              <w:rPr>
                <w:noProof/>
                <w:webHidden/>
              </w:rPr>
              <w:instrText xml:space="preserve"> PAGEREF _Toc16262376 \h </w:instrText>
            </w:r>
            <w:r>
              <w:rPr>
                <w:noProof/>
                <w:webHidden/>
              </w:rPr>
            </w:r>
            <w:r>
              <w:rPr>
                <w:noProof/>
                <w:webHidden/>
              </w:rPr>
              <w:fldChar w:fldCharType="separate"/>
            </w:r>
            <w:r>
              <w:rPr>
                <w:noProof/>
                <w:webHidden/>
              </w:rPr>
              <w:t>82</w:t>
            </w:r>
            <w:r>
              <w:rPr>
                <w:noProof/>
                <w:webHidden/>
              </w:rPr>
              <w:fldChar w:fldCharType="end"/>
            </w:r>
          </w:hyperlink>
        </w:p>
        <w:p w14:paraId="46E5E643" w14:textId="18E3883E" w:rsidR="00911BA0" w:rsidRDefault="00911BA0">
          <w:pPr>
            <w:pStyle w:val="TOC3"/>
            <w:tabs>
              <w:tab w:val="left" w:pos="1100"/>
              <w:tab w:val="right" w:leader="dot" w:pos="10790"/>
            </w:tabs>
            <w:rPr>
              <w:rFonts w:cstheme="minorBidi"/>
              <w:noProof/>
              <w:lang w:val="en-CA" w:eastAsia="en-CA"/>
            </w:rPr>
          </w:pPr>
          <w:hyperlink w:anchor="_Toc16262377" w:history="1">
            <w:r w:rsidRPr="00650CCB">
              <w:rPr>
                <w:rStyle w:val="Hyperlink"/>
                <w:noProof/>
              </w:rPr>
              <w:t>6.6.1</w:t>
            </w:r>
            <w:r>
              <w:rPr>
                <w:rFonts w:cstheme="minorBidi"/>
                <w:noProof/>
                <w:lang w:val="en-CA" w:eastAsia="en-CA"/>
              </w:rPr>
              <w:tab/>
            </w:r>
            <w:r w:rsidRPr="00650CCB">
              <w:rPr>
                <w:rStyle w:val="Hyperlink"/>
                <w:noProof/>
              </w:rPr>
              <w:t>Adult courts</w:t>
            </w:r>
            <w:r>
              <w:rPr>
                <w:noProof/>
                <w:webHidden/>
              </w:rPr>
              <w:tab/>
            </w:r>
            <w:r>
              <w:rPr>
                <w:noProof/>
                <w:webHidden/>
              </w:rPr>
              <w:fldChar w:fldCharType="begin"/>
            </w:r>
            <w:r>
              <w:rPr>
                <w:noProof/>
                <w:webHidden/>
              </w:rPr>
              <w:instrText xml:space="preserve"> PAGEREF _Toc16262377 \h </w:instrText>
            </w:r>
            <w:r>
              <w:rPr>
                <w:noProof/>
                <w:webHidden/>
              </w:rPr>
            </w:r>
            <w:r>
              <w:rPr>
                <w:noProof/>
                <w:webHidden/>
              </w:rPr>
              <w:fldChar w:fldCharType="separate"/>
            </w:r>
            <w:r>
              <w:rPr>
                <w:noProof/>
                <w:webHidden/>
              </w:rPr>
              <w:t>82</w:t>
            </w:r>
            <w:r>
              <w:rPr>
                <w:noProof/>
                <w:webHidden/>
              </w:rPr>
              <w:fldChar w:fldCharType="end"/>
            </w:r>
          </w:hyperlink>
        </w:p>
        <w:p w14:paraId="7CBF63B7" w14:textId="63594024" w:rsidR="00911BA0" w:rsidRDefault="00911BA0">
          <w:pPr>
            <w:pStyle w:val="TOC3"/>
            <w:tabs>
              <w:tab w:val="left" w:pos="1100"/>
              <w:tab w:val="right" w:leader="dot" w:pos="10790"/>
            </w:tabs>
            <w:rPr>
              <w:rFonts w:cstheme="minorBidi"/>
              <w:noProof/>
              <w:lang w:val="en-CA" w:eastAsia="en-CA"/>
            </w:rPr>
          </w:pPr>
          <w:hyperlink w:anchor="_Toc16262378" w:history="1">
            <w:r w:rsidRPr="00650CCB">
              <w:rPr>
                <w:rStyle w:val="Hyperlink"/>
                <w:noProof/>
              </w:rPr>
              <w:t>6.6.2</w:t>
            </w:r>
            <w:r>
              <w:rPr>
                <w:rFonts w:cstheme="minorBidi"/>
                <w:noProof/>
                <w:lang w:val="en-CA" w:eastAsia="en-CA"/>
              </w:rPr>
              <w:tab/>
            </w:r>
            <w:r w:rsidRPr="00650CCB">
              <w:rPr>
                <w:rStyle w:val="Hyperlink"/>
                <w:noProof/>
              </w:rPr>
              <w:t>Traffic courts</w:t>
            </w:r>
            <w:r>
              <w:rPr>
                <w:noProof/>
                <w:webHidden/>
              </w:rPr>
              <w:tab/>
            </w:r>
            <w:r>
              <w:rPr>
                <w:noProof/>
                <w:webHidden/>
              </w:rPr>
              <w:fldChar w:fldCharType="begin"/>
            </w:r>
            <w:r>
              <w:rPr>
                <w:noProof/>
                <w:webHidden/>
              </w:rPr>
              <w:instrText xml:space="preserve"> PAGEREF _Toc16262378 \h </w:instrText>
            </w:r>
            <w:r>
              <w:rPr>
                <w:noProof/>
                <w:webHidden/>
              </w:rPr>
            </w:r>
            <w:r>
              <w:rPr>
                <w:noProof/>
                <w:webHidden/>
              </w:rPr>
              <w:fldChar w:fldCharType="separate"/>
            </w:r>
            <w:r>
              <w:rPr>
                <w:noProof/>
                <w:webHidden/>
              </w:rPr>
              <w:t>83</w:t>
            </w:r>
            <w:r>
              <w:rPr>
                <w:noProof/>
                <w:webHidden/>
              </w:rPr>
              <w:fldChar w:fldCharType="end"/>
            </w:r>
          </w:hyperlink>
        </w:p>
        <w:p w14:paraId="55615957" w14:textId="3A0CA69F" w:rsidR="00911BA0" w:rsidRDefault="00911BA0">
          <w:pPr>
            <w:pStyle w:val="TOC2"/>
            <w:tabs>
              <w:tab w:val="left" w:pos="880"/>
              <w:tab w:val="right" w:leader="dot" w:pos="10790"/>
            </w:tabs>
            <w:rPr>
              <w:rFonts w:cstheme="minorBidi"/>
              <w:noProof/>
              <w:lang w:val="en-CA" w:eastAsia="en-CA"/>
            </w:rPr>
          </w:pPr>
          <w:hyperlink w:anchor="_Toc16262379" w:history="1">
            <w:r w:rsidRPr="00650CCB">
              <w:rPr>
                <w:rStyle w:val="Hyperlink"/>
                <w:noProof/>
              </w:rPr>
              <w:t>6.7</w:t>
            </w:r>
            <w:r>
              <w:rPr>
                <w:rFonts w:cstheme="minorBidi"/>
                <w:noProof/>
                <w:lang w:val="en-CA" w:eastAsia="en-CA"/>
              </w:rPr>
              <w:tab/>
            </w:r>
            <w:r w:rsidRPr="00650CCB">
              <w:rPr>
                <w:rStyle w:val="Hyperlink"/>
                <w:noProof/>
              </w:rPr>
              <w:t>Support</w:t>
            </w:r>
            <w:r>
              <w:rPr>
                <w:noProof/>
                <w:webHidden/>
              </w:rPr>
              <w:tab/>
            </w:r>
            <w:r>
              <w:rPr>
                <w:noProof/>
                <w:webHidden/>
              </w:rPr>
              <w:fldChar w:fldCharType="begin"/>
            </w:r>
            <w:r>
              <w:rPr>
                <w:noProof/>
                <w:webHidden/>
              </w:rPr>
              <w:instrText xml:space="preserve"> PAGEREF _Toc16262379 \h </w:instrText>
            </w:r>
            <w:r>
              <w:rPr>
                <w:noProof/>
                <w:webHidden/>
              </w:rPr>
            </w:r>
            <w:r>
              <w:rPr>
                <w:noProof/>
                <w:webHidden/>
              </w:rPr>
              <w:fldChar w:fldCharType="separate"/>
            </w:r>
            <w:r>
              <w:rPr>
                <w:noProof/>
                <w:webHidden/>
              </w:rPr>
              <w:t>83</w:t>
            </w:r>
            <w:r>
              <w:rPr>
                <w:noProof/>
                <w:webHidden/>
              </w:rPr>
              <w:fldChar w:fldCharType="end"/>
            </w:r>
          </w:hyperlink>
        </w:p>
        <w:p w14:paraId="12AD542C" w14:textId="5B1CB567" w:rsidR="00911BA0" w:rsidRDefault="00911BA0">
          <w:pPr>
            <w:pStyle w:val="TOC2"/>
            <w:tabs>
              <w:tab w:val="left" w:pos="880"/>
              <w:tab w:val="right" w:leader="dot" w:pos="10790"/>
            </w:tabs>
            <w:rPr>
              <w:rFonts w:cstheme="minorBidi"/>
              <w:noProof/>
              <w:lang w:val="en-CA" w:eastAsia="en-CA"/>
            </w:rPr>
          </w:pPr>
          <w:hyperlink w:anchor="_Toc16262380" w:history="1">
            <w:r w:rsidRPr="00650CCB">
              <w:rPr>
                <w:rStyle w:val="Hyperlink"/>
                <w:noProof/>
              </w:rPr>
              <w:t>6.8</w:t>
            </w:r>
            <w:r>
              <w:rPr>
                <w:rFonts w:cstheme="minorBidi"/>
                <w:noProof/>
                <w:lang w:val="en-CA" w:eastAsia="en-CA"/>
              </w:rPr>
              <w:tab/>
            </w:r>
            <w:r w:rsidRPr="00650CCB">
              <w:rPr>
                <w:rStyle w:val="Hyperlink"/>
                <w:noProof/>
              </w:rPr>
              <w:t>Appearances</w:t>
            </w:r>
            <w:r>
              <w:rPr>
                <w:noProof/>
                <w:webHidden/>
              </w:rPr>
              <w:tab/>
            </w:r>
            <w:r>
              <w:rPr>
                <w:noProof/>
                <w:webHidden/>
              </w:rPr>
              <w:fldChar w:fldCharType="begin"/>
            </w:r>
            <w:r>
              <w:rPr>
                <w:noProof/>
                <w:webHidden/>
              </w:rPr>
              <w:instrText xml:space="preserve"> PAGEREF _Toc16262380 \h </w:instrText>
            </w:r>
            <w:r>
              <w:rPr>
                <w:noProof/>
                <w:webHidden/>
              </w:rPr>
            </w:r>
            <w:r>
              <w:rPr>
                <w:noProof/>
                <w:webHidden/>
              </w:rPr>
              <w:fldChar w:fldCharType="separate"/>
            </w:r>
            <w:r>
              <w:rPr>
                <w:noProof/>
                <w:webHidden/>
              </w:rPr>
              <w:t>84</w:t>
            </w:r>
            <w:r>
              <w:rPr>
                <w:noProof/>
                <w:webHidden/>
              </w:rPr>
              <w:fldChar w:fldCharType="end"/>
            </w:r>
          </w:hyperlink>
        </w:p>
        <w:p w14:paraId="1E82CF3D" w14:textId="25A38E92" w:rsidR="00911BA0" w:rsidRDefault="00911BA0">
          <w:pPr>
            <w:pStyle w:val="TOC2"/>
            <w:tabs>
              <w:tab w:val="left" w:pos="880"/>
              <w:tab w:val="right" w:leader="dot" w:pos="10790"/>
            </w:tabs>
            <w:rPr>
              <w:rFonts w:cstheme="minorBidi"/>
              <w:noProof/>
              <w:lang w:val="en-CA" w:eastAsia="en-CA"/>
            </w:rPr>
          </w:pPr>
          <w:hyperlink w:anchor="_Toc16262381" w:history="1">
            <w:r w:rsidRPr="00650CCB">
              <w:rPr>
                <w:rStyle w:val="Hyperlink"/>
                <w:noProof/>
              </w:rPr>
              <w:t>6.9</w:t>
            </w:r>
            <w:r>
              <w:rPr>
                <w:rFonts w:cstheme="minorBidi"/>
                <w:noProof/>
                <w:lang w:val="en-CA" w:eastAsia="en-CA"/>
              </w:rPr>
              <w:tab/>
            </w:r>
            <w:r w:rsidRPr="00650CCB">
              <w:rPr>
                <w:rStyle w:val="Hyperlink"/>
                <w:noProof/>
              </w:rPr>
              <w:t>Legal Representation</w:t>
            </w:r>
            <w:r>
              <w:rPr>
                <w:noProof/>
                <w:webHidden/>
              </w:rPr>
              <w:tab/>
            </w:r>
            <w:r>
              <w:rPr>
                <w:noProof/>
                <w:webHidden/>
              </w:rPr>
              <w:fldChar w:fldCharType="begin"/>
            </w:r>
            <w:r>
              <w:rPr>
                <w:noProof/>
                <w:webHidden/>
              </w:rPr>
              <w:instrText xml:space="preserve"> PAGEREF _Toc16262381 \h </w:instrText>
            </w:r>
            <w:r>
              <w:rPr>
                <w:noProof/>
                <w:webHidden/>
              </w:rPr>
            </w:r>
            <w:r>
              <w:rPr>
                <w:noProof/>
                <w:webHidden/>
              </w:rPr>
              <w:fldChar w:fldCharType="separate"/>
            </w:r>
            <w:r>
              <w:rPr>
                <w:noProof/>
                <w:webHidden/>
              </w:rPr>
              <w:t>84</w:t>
            </w:r>
            <w:r>
              <w:rPr>
                <w:noProof/>
                <w:webHidden/>
              </w:rPr>
              <w:fldChar w:fldCharType="end"/>
            </w:r>
          </w:hyperlink>
        </w:p>
        <w:p w14:paraId="1B5513EE" w14:textId="5CF3EBDD" w:rsidR="00911BA0" w:rsidRDefault="00911BA0">
          <w:pPr>
            <w:pStyle w:val="TOC2"/>
            <w:tabs>
              <w:tab w:val="left" w:pos="880"/>
              <w:tab w:val="right" w:leader="dot" w:pos="10790"/>
            </w:tabs>
            <w:rPr>
              <w:rFonts w:cstheme="minorBidi"/>
              <w:noProof/>
              <w:lang w:val="en-CA" w:eastAsia="en-CA"/>
            </w:rPr>
          </w:pPr>
          <w:hyperlink w:anchor="_Toc16262382" w:history="1">
            <w:r w:rsidRPr="00650CCB">
              <w:rPr>
                <w:rStyle w:val="Hyperlink"/>
                <w:noProof/>
              </w:rPr>
              <w:t>6.10</w:t>
            </w:r>
            <w:r>
              <w:rPr>
                <w:rFonts w:cstheme="minorBidi"/>
                <w:noProof/>
                <w:lang w:val="en-CA" w:eastAsia="en-CA"/>
              </w:rPr>
              <w:tab/>
            </w:r>
            <w:r w:rsidRPr="00650CCB">
              <w:rPr>
                <w:rStyle w:val="Hyperlink"/>
                <w:noProof/>
              </w:rPr>
              <w:t>Service Provision</w:t>
            </w:r>
            <w:r>
              <w:rPr>
                <w:noProof/>
                <w:webHidden/>
              </w:rPr>
              <w:tab/>
            </w:r>
            <w:r>
              <w:rPr>
                <w:noProof/>
                <w:webHidden/>
              </w:rPr>
              <w:fldChar w:fldCharType="begin"/>
            </w:r>
            <w:r>
              <w:rPr>
                <w:noProof/>
                <w:webHidden/>
              </w:rPr>
              <w:instrText xml:space="preserve"> PAGEREF _Toc16262382 \h </w:instrText>
            </w:r>
            <w:r>
              <w:rPr>
                <w:noProof/>
                <w:webHidden/>
              </w:rPr>
            </w:r>
            <w:r>
              <w:rPr>
                <w:noProof/>
                <w:webHidden/>
              </w:rPr>
              <w:fldChar w:fldCharType="separate"/>
            </w:r>
            <w:r>
              <w:rPr>
                <w:noProof/>
                <w:webHidden/>
              </w:rPr>
              <w:t>84</w:t>
            </w:r>
            <w:r>
              <w:rPr>
                <w:noProof/>
                <w:webHidden/>
              </w:rPr>
              <w:fldChar w:fldCharType="end"/>
            </w:r>
          </w:hyperlink>
        </w:p>
        <w:p w14:paraId="29EA50DA" w14:textId="330AF8F4" w:rsidR="00911BA0" w:rsidRDefault="00911BA0">
          <w:pPr>
            <w:pStyle w:val="TOC1"/>
            <w:tabs>
              <w:tab w:val="left" w:pos="660"/>
              <w:tab w:val="right" w:leader="dot" w:pos="10790"/>
            </w:tabs>
            <w:rPr>
              <w:rFonts w:cstheme="minorBidi"/>
              <w:noProof/>
              <w:lang w:val="en-CA" w:eastAsia="en-CA"/>
            </w:rPr>
          </w:pPr>
          <w:hyperlink w:anchor="_Toc16262383" w:history="1">
            <w:r w:rsidRPr="00650CCB">
              <w:rPr>
                <w:rStyle w:val="Hyperlink"/>
                <w:noProof/>
              </w:rPr>
              <w:t>7</w:t>
            </w:r>
            <w:r>
              <w:rPr>
                <w:rFonts w:cstheme="minorBidi"/>
                <w:noProof/>
                <w:lang w:val="en-CA" w:eastAsia="en-CA"/>
              </w:rPr>
              <w:tab/>
            </w:r>
            <w:r w:rsidRPr="00650CCB">
              <w:rPr>
                <w:rStyle w:val="Hyperlink"/>
                <w:noProof/>
              </w:rPr>
              <w:t>Conclusions</w:t>
            </w:r>
            <w:r>
              <w:rPr>
                <w:noProof/>
                <w:webHidden/>
              </w:rPr>
              <w:tab/>
            </w:r>
            <w:r>
              <w:rPr>
                <w:noProof/>
                <w:webHidden/>
              </w:rPr>
              <w:fldChar w:fldCharType="begin"/>
            </w:r>
            <w:r>
              <w:rPr>
                <w:noProof/>
                <w:webHidden/>
              </w:rPr>
              <w:instrText xml:space="preserve"> PAGEREF _Toc16262383 \h </w:instrText>
            </w:r>
            <w:r>
              <w:rPr>
                <w:noProof/>
                <w:webHidden/>
              </w:rPr>
            </w:r>
            <w:r>
              <w:rPr>
                <w:noProof/>
                <w:webHidden/>
              </w:rPr>
              <w:fldChar w:fldCharType="separate"/>
            </w:r>
            <w:r>
              <w:rPr>
                <w:noProof/>
                <w:webHidden/>
              </w:rPr>
              <w:t>85</w:t>
            </w:r>
            <w:r>
              <w:rPr>
                <w:noProof/>
                <w:webHidden/>
              </w:rPr>
              <w:fldChar w:fldCharType="end"/>
            </w:r>
          </w:hyperlink>
        </w:p>
        <w:p w14:paraId="1D2C884D" w14:textId="6891559C" w:rsidR="00911BA0" w:rsidRDefault="00911BA0">
          <w:pPr>
            <w:pStyle w:val="TOC1"/>
            <w:tabs>
              <w:tab w:val="left" w:pos="660"/>
              <w:tab w:val="right" w:leader="dot" w:pos="10790"/>
            </w:tabs>
            <w:rPr>
              <w:rFonts w:cstheme="minorBidi"/>
              <w:noProof/>
              <w:lang w:val="en-CA" w:eastAsia="en-CA"/>
            </w:rPr>
          </w:pPr>
          <w:hyperlink w:anchor="_Toc16262384" w:history="1">
            <w:r w:rsidRPr="00650CCB">
              <w:rPr>
                <w:rStyle w:val="Hyperlink"/>
                <w:noProof/>
              </w:rPr>
              <w:t>8</w:t>
            </w:r>
            <w:r>
              <w:rPr>
                <w:rFonts w:cstheme="minorBidi"/>
                <w:noProof/>
                <w:lang w:val="en-CA" w:eastAsia="en-CA"/>
              </w:rPr>
              <w:tab/>
            </w:r>
            <w:r w:rsidRPr="00650CCB">
              <w:rPr>
                <w:rStyle w:val="Hyperlink"/>
                <w:noProof/>
              </w:rPr>
              <w:t>Reference List</w:t>
            </w:r>
            <w:r>
              <w:rPr>
                <w:noProof/>
                <w:webHidden/>
              </w:rPr>
              <w:tab/>
            </w:r>
            <w:r>
              <w:rPr>
                <w:noProof/>
                <w:webHidden/>
              </w:rPr>
              <w:fldChar w:fldCharType="begin"/>
            </w:r>
            <w:r>
              <w:rPr>
                <w:noProof/>
                <w:webHidden/>
              </w:rPr>
              <w:instrText xml:space="preserve"> PAGEREF _Toc16262384 \h </w:instrText>
            </w:r>
            <w:r>
              <w:rPr>
                <w:noProof/>
                <w:webHidden/>
              </w:rPr>
            </w:r>
            <w:r>
              <w:rPr>
                <w:noProof/>
                <w:webHidden/>
              </w:rPr>
              <w:fldChar w:fldCharType="separate"/>
            </w:r>
            <w:r>
              <w:rPr>
                <w:noProof/>
                <w:webHidden/>
              </w:rPr>
              <w:t>87</w:t>
            </w:r>
            <w:r>
              <w:rPr>
                <w:noProof/>
                <w:webHidden/>
              </w:rPr>
              <w:fldChar w:fldCharType="end"/>
            </w:r>
          </w:hyperlink>
        </w:p>
        <w:p w14:paraId="5075A1ED" w14:textId="686A41CC" w:rsidR="00911BA0" w:rsidRDefault="00911BA0">
          <w:pPr>
            <w:pStyle w:val="TOC1"/>
            <w:tabs>
              <w:tab w:val="left" w:pos="660"/>
              <w:tab w:val="right" w:leader="dot" w:pos="10790"/>
            </w:tabs>
            <w:rPr>
              <w:rFonts w:cstheme="minorBidi"/>
              <w:noProof/>
              <w:lang w:val="en-CA" w:eastAsia="en-CA"/>
            </w:rPr>
          </w:pPr>
          <w:hyperlink w:anchor="_Toc16262385" w:history="1">
            <w:r w:rsidRPr="00650CCB">
              <w:rPr>
                <w:rStyle w:val="Hyperlink"/>
                <w:noProof/>
              </w:rPr>
              <w:t>9</w:t>
            </w:r>
            <w:r>
              <w:rPr>
                <w:rFonts w:cstheme="minorBidi"/>
                <w:noProof/>
                <w:lang w:val="en-CA" w:eastAsia="en-CA"/>
              </w:rPr>
              <w:tab/>
            </w:r>
            <w:r w:rsidRPr="00650CCB">
              <w:rPr>
                <w:rStyle w:val="Hyperlink"/>
                <w:noProof/>
              </w:rPr>
              <w:t>Appendix</w:t>
            </w:r>
            <w:r>
              <w:rPr>
                <w:noProof/>
                <w:webHidden/>
              </w:rPr>
              <w:tab/>
            </w:r>
            <w:r>
              <w:rPr>
                <w:noProof/>
                <w:webHidden/>
              </w:rPr>
              <w:fldChar w:fldCharType="begin"/>
            </w:r>
            <w:r>
              <w:rPr>
                <w:noProof/>
                <w:webHidden/>
              </w:rPr>
              <w:instrText xml:space="preserve"> PAGEREF _Toc16262385 \h </w:instrText>
            </w:r>
            <w:r>
              <w:rPr>
                <w:noProof/>
                <w:webHidden/>
              </w:rPr>
            </w:r>
            <w:r>
              <w:rPr>
                <w:noProof/>
                <w:webHidden/>
              </w:rPr>
              <w:fldChar w:fldCharType="separate"/>
            </w:r>
            <w:r>
              <w:rPr>
                <w:noProof/>
                <w:webHidden/>
              </w:rPr>
              <w:t>89</w:t>
            </w:r>
            <w:r>
              <w:rPr>
                <w:noProof/>
                <w:webHidden/>
              </w:rPr>
              <w:fldChar w:fldCharType="end"/>
            </w:r>
          </w:hyperlink>
        </w:p>
        <w:p w14:paraId="4BD1E487" w14:textId="1ABBD979" w:rsidR="00911BA0" w:rsidRDefault="00911BA0">
          <w:pPr>
            <w:pStyle w:val="TOC2"/>
            <w:tabs>
              <w:tab w:val="left" w:pos="880"/>
              <w:tab w:val="right" w:leader="dot" w:pos="10790"/>
            </w:tabs>
            <w:rPr>
              <w:rFonts w:cstheme="minorBidi"/>
              <w:noProof/>
              <w:lang w:val="en-CA" w:eastAsia="en-CA"/>
            </w:rPr>
          </w:pPr>
          <w:hyperlink w:anchor="_Toc16262386" w:history="1">
            <w:r w:rsidRPr="00650CCB">
              <w:rPr>
                <w:rStyle w:val="Hyperlink"/>
                <w:noProof/>
              </w:rPr>
              <w:t>9.1</w:t>
            </w:r>
            <w:r>
              <w:rPr>
                <w:rFonts w:cstheme="minorBidi"/>
                <w:noProof/>
                <w:lang w:val="en-CA" w:eastAsia="en-CA"/>
              </w:rPr>
              <w:tab/>
            </w:r>
            <w:r w:rsidRPr="00650CCB">
              <w:rPr>
                <w:rStyle w:val="Hyperlink"/>
                <w:noProof/>
              </w:rPr>
              <w:t>Market Basket Measure (MBM) Thresholds for Economic Families and Persons not in Economic Families, 2015</w:t>
            </w:r>
            <w:r>
              <w:rPr>
                <w:noProof/>
                <w:webHidden/>
              </w:rPr>
              <w:tab/>
            </w:r>
            <w:r>
              <w:rPr>
                <w:noProof/>
                <w:webHidden/>
              </w:rPr>
              <w:fldChar w:fldCharType="begin"/>
            </w:r>
            <w:r>
              <w:rPr>
                <w:noProof/>
                <w:webHidden/>
              </w:rPr>
              <w:instrText xml:space="preserve"> PAGEREF _Toc16262386 \h </w:instrText>
            </w:r>
            <w:r>
              <w:rPr>
                <w:noProof/>
                <w:webHidden/>
              </w:rPr>
            </w:r>
            <w:r>
              <w:rPr>
                <w:noProof/>
                <w:webHidden/>
              </w:rPr>
              <w:fldChar w:fldCharType="separate"/>
            </w:r>
            <w:r>
              <w:rPr>
                <w:noProof/>
                <w:webHidden/>
              </w:rPr>
              <w:t>89</w:t>
            </w:r>
            <w:r>
              <w:rPr>
                <w:noProof/>
                <w:webHidden/>
              </w:rPr>
              <w:fldChar w:fldCharType="end"/>
            </w:r>
          </w:hyperlink>
        </w:p>
        <w:p w14:paraId="4E38EA4E" w14:textId="66ABAEA3" w:rsidR="00911BA0" w:rsidRDefault="00911BA0">
          <w:pPr>
            <w:pStyle w:val="TOC2"/>
            <w:tabs>
              <w:tab w:val="left" w:pos="880"/>
              <w:tab w:val="right" w:leader="dot" w:pos="10790"/>
            </w:tabs>
            <w:rPr>
              <w:rFonts w:cstheme="minorBidi"/>
              <w:noProof/>
              <w:lang w:val="en-CA" w:eastAsia="en-CA"/>
            </w:rPr>
          </w:pPr>
          <w:hyperlink w:anchor="_Toc16262387" w:history="1">
            <w:r w:rsidRPr="00650CCB">
              <w:rPr>
                <w:rStyle w:val="Hyperlink"/>
                <w:noProof/>
                <w:lang w:eastAsia="en-CA"/>
              </w:rPr>
              <w:t>9.2</w:t>
            </w:r>
            <w:r>
              <w:rPr>
                <w:rFonts w:cstheme="minorBidi"/>
                <w:noProof/>
                <w:lang w:val="en-CA" w:eastAsia="en-CA"/>
              </w:rPr>
              <w:tab/>
            </w:r>
            <w:r w:rsidRPr="00650CCB">
              <w:rPr>
                <w:rStyle w:val="Hyperlink"/>
                <w:noProof/>
                <w:lang w:eastAsia="en-CA"/>
              </w:rPr>
              <w:t>Odds Ratio Formula and Sample Calculation</w:t>
            </w:r>
            <w:r>
              <w:rPr>
                <w:noProof/>
                <w:webHidden/>
              </w:rPr>
              <w:tab/>
            </w:r>
            <w:r>
              <w:rPr>
                <w:noProof/>
                <w:webHidden/>
              </w:rPr>
              <w:fldChar w:fldCharType="begin"/>
            </w:r>
            <w:r>
              <w:rPr>
                <w:noProof/>
                <w:webHidden/>
              </w:rPr>
              <w:instrText xml:space="preserve"> PAGEREF _Toc16262387 \h </w:instrText>
            </w:r>
            <w:r>
              <w:rPr>
                <w:noProof/>
                <w:webHidden/>
              </w:rPr>
            </w:r>
            <w:r>
              <w:rPr>
                <w:noProof/>
                <w:webHidden/>
              </w:rPr>
              <w:fldChar w:fldCharType="separate"/>
            </w:r>
            <w:r>
              <w:rPr>
                <w:noProof/>
                <w:webHidden/>
              </w:rPr>
              <w:t>89</w:t>
            </w:r>
            <w:r>
              <w:rPr>
                <w:noProof/>
                <w:webHidden/>
              </w:rPr>
              <w:fldChar w:fldCharType="end"/>
            </w:r>
          </w:hyperlink>
        </w:p>
        <w:p w14:paraId="78819550" w14:textId="11ACA528" w:rsidR="00911BA0" w:rsidRDefault="00911BA0">
          <w:pPr>
            <w:pStyle w:val="TOC2"/>
            <w:tabs>
              <w:tab w:val="left" w:pos="880"/>
              <w:tab w:val="right" w:leader="dot" w:pos="10790"/>
            </w:tabs>
            <w:rPr>
              <w:rFonts w:cstheme="minorBidi"/>
              <w:noProof/>
              <w:lang w:val="en-CA" w:eastAsia="en-CA"/>
            </w:rPr>
          </w:pPr>
          <w:hyperlink w:anchor="_Toc16262388" w:history="1">
            <w:r w:rsidRPr="00650CCB">
              <w:rPr>
                <w:rStyle w:val="Hyperlink"/>
                <w:noProof/>
                <w:lang w:eastAsia="en-CA"/>
              </w:rPr>
              <w:t>9.3</w:t>
            </w:r>
            <w:r>
              <w:rPr>
                <w:rFonts w:cstheme="minorBidi"/>
                <w:noProof/>
                <w:lang w:val="en-CA" w:eastAsia="en-CA"/>
              </w:rPr>
              <w:tab/>
            </w:r>
            <w:r w:rsidRPr="00650CCB">
              <w:rPr>
                <w:rStyle w:val="Hyperlink"/>
                <w:noProof/>
                <w:lang w:eastAsia="en-CA"/>
              </w:rPr>
              <w:t>Chi-Squared (X</w:t>
            </w:r>
            <w:r w:rsidRPr="00650CCB">
              <w:rPr>
                <w:rStyle w:val="Hyperlink"/>
                <w:noProof/>
                <w:vertAlign w:val="superscript"/>
                <w:lang w:eastAsia="en-CA"/>
              </w:rPr>
              <w:t>2</w:t>
            </w:r>
            <w:r w:rsidRPr="00650CCB">
              <w:rPr>
                <w:rStyle w:val="Hyperlink"/>
                <w:noProof/>
                <w:lang w:eastAsia="en-CA"/>
              </w:rPr>
              <w:t>) Formula and Sample Calculation</w:t>
            </w:r>
            <w:r>
              <w:rPr>
                <w:noProof/>
                <w:webHidden/>
              </w:rPr>
              <w:tab/>
            </w:r>
            <w:r>
              <w:rPr>
                <w:noProof/>
                <w:webHidden/>
              </w:rPr>
              <w:fldChar w:fldCharType="begin"/>
            </w:r>
            <w:r>
              <w:rPr>
                <w:noProof/>
                <w:webHidden/>
              </w:rPr>
              <w:instrText xml:space="preserve"> PAGEREF _Toc16262388 \h </w:instrText>
            </w:r>
            <w:r>
              <w:rPr>
                <w:noProof/>
                <w:webHidden/>
              </w:rPr>
            </w:r>
            <w:r>
              <w:rPr>
                <w:noProof/>
                <w:webHidden/>
              </w:rPr>
              <w:fldChar w:fldCharType="separate"/>
            </w:r>
            <w:r>
              <w:rPr>
                <w:noProof/>
                <w:webHidden/>
              </w:rPr>
              <w:t>89</w:t>
            </w:r>
            <w:r>
              <w:rPr>
                <w:noProof/>
                <w:webHidden/>
              </w:rPr>
              <w:fldChar w:fldCharType="end"/>
            </w:r>
          </w:hyperlink>
        </w:p>
        <w:p w14:paraId="1E4A1C3E" w14:textId="1FEDC862" w:rsidR="00911BA0" w:rsidRDefault="00911BA0">
          <w:pPr>
            <w:pStyle w:val="TOC2"/>
            <w:tabs>
              <w:tab w:val="left" w:pos="880"/>
              <w:tab w:val="right" w:leader="dot" w:pos="10790"/>
            </w:tabs>
            <w:rPr>
              <w:rFonts w:cstheme="minorBidi"/>
              <w:noProof/>
              <w:lang w:val="en-CA" w:eastAsia="en-CA"/>
            </w:rPr>
          </w:pPr>
          <w:hyperlink w:anchor="_Toc16262389" w:history="1">
            <w:r w:rsidRPr="00650CCB">
              <w:rPr>
                <w:rStyle w:val="Hyperlink"/>
                <w:noProof/>
                <w:lang w:eastAsia="en-CA"/>
              </w:rPr>
              <w:t>9.4</w:t>
            </w:r>
            <w:r>
              <w:rPr>
                <w:rFonts w:cstheme="minorBidi"/>
                <w:noProof/>
                <w:lang w:val="en-CA" w:eastAsia="en-CA"/>
              </w:rPr>
              <w:tab/>
            </w:r>
            <w:r w:rsidRPr="00650CCB">
              <w:rPr>
                <w:rStyle w:val="Hyperlink"/>
                <w:noProof/>
                <w:lang w:eastAsia="en-CA"/>
              </w:rPr>
              <w:t>Average Immediate Family Size, From the 2016 National Census</w:t>
            </w:r>
            <w:r>
              <w:rPr>
                <w:noProof/>
                <w:webHidden/>
              </w:rPr>
              <w:tab/>
            </w:r>
            <w:r>
              <w:rPr>
                <w:noProof/>
                <w:webHidden/>
              </w:rPr>
              <w:fldChar w:fldCharType="begin"/>
            </w:r>
            <w:r>
              <w:rPr>
                <w:noProof/>
                <w:webHidden/>
              </w:rPr>
              <w:instrText xml:space="preserve"> PAGEREF _Toc16262389 \h </w:instrText>
            </w:r>
            <w:r>
              <w:rPr>
                <w:noProof/>
                <w:webHidden/>
              </w:rPr>
            </w:r>
            <w:r>
              <w:rPr>
                <w:noProof/>
                <w:webHidden/>
              </w:rPr>
              <w:fldChar w:fldCharType="separate"/>
            </w:r>
            <w:r>
              <w:rPr>
                <w:noProof/>
                <w:webHidden/>
              </w:rPr>
              <w:t>89</w:t>
            </w:r>
            <w:r>
              <w:rPr>
                <w:noProof/>
                <w:webHidden/>
              </w:rPr>
              <w:fldChar w:fldCharType="end"/>
            </w:r>
          </w:hyperlink>
        </w:p>
        <w:p w14:paraId="1C2A4BDF" w14:textId="46CCFCEC" w:rsidR="00911BA0" w:rsidRDefault="00911BA0">
          <w:pPr>
            <w:pStyle w:val="TOC2"/>
            <w:tabs>
              <w:tab w:val="left" w:pos="880"/>
              <w:tab w:val="right" w:leader="dot" w:pos="10790"/>
            </w:tabs>
            <w:rPr>
              <w:rFonts w:cstheme="minorBidi"/>
              <w:noProof/>
              <w:lang w:val="en-CA" w:eastAsia="en-CA"/>
            </w:rPr>
          </w:pPr>
          <w:hyperlink w:anchor="_Toc16262390" w:history="1">
            <w:r w:rsidRPr="00650CCB">
              <w:rPr>
                <w:rStyle w:val="Hyperlink"/>
                <w:noProof/>
              </w:rPr>
              <w:t>9.5</w:t>
            </w:r>
            <w:r>
              <w:rPr>
                <w:rFonts w:cstheme="minorBidi"/>
                <w:noProof/>
                <w:lang w:val="en-CA" w:eastAsia="en-CA"/>
              </w:rPr>
              <w:tab/>
            </w:r>
            <w:r w:rsidRPr="00650CCB">
              <w:rPr>
                <w:rStyle w:val="Hyperlink"/>
                <w:noProof/>
              </w:rPr>
              <w:t>Data Collection Sheet Exemplars – Adult, Youth, Traffic, and Domestic Court</w:t>
            </w:r>
            <w:r>
              <w:rPr>
                <w:noProof/>
                <w:webHidden/>
              </w:rPr>
              <w:tab/>
            </w:r>
            <w:r>
              <w:rPr>
                <w:noProof/>
                <w:webHidden/>
              </w:rPr>
              <w:fldChar w:fldCharType="begin"/>
            </w:r>
            <w:r>
              <w:rPr>
                <w:noProof/>
                <w:webHidden/>
              </w:rPr>
              <w:instrText xml:space="preserve"> PAGEREF _Toc16262390 \h </w:instrText>
            </w:r>
            <w:r>
              <w:rPr>
                <w:noProof/>
                <w:webHidden/>
              </w:rPr>
            </w:r>
            <w:r>
              <w:rPr>
                <w:noProof/>
                <w:webHidden/>
              </w:rPr>
              <w:fldChar w:fldCharType="separate"/>
            </w:r>
            <w:r>
              <w:rPr>
                <w:noProof/>
                <w:webHidden/>
              </w:rPr>
              <w:t>91</w:t>
            </w:r>
            <w:r>
              <w:rPr>
                <w:noProof/>
                <w:webHidden/>
              </w:rPr>
              <w:fldChar w:fldCharType="end"/>
            </w:r>
          </w:hyperlink>
        </w:p>
        <w:p w14:paraId="72E84858" w14:textId="2C0E6C3D" w:rsidR="00B82472" w:rsidRPr="00FF456D" w:rsidRDefault="00BD028D" w:rsidP="0034351E">
          <w:r>
            <w:rPr>
              <w:b/>
              <w:bCs/>
              <w:noProof/>
            </w:rPr>
            <w:fldChar w:fldCharType="end"/>
          </w:r>
        </w:p>
      </w:sdtContent>
    </w:sdt>
    <w:p w14:paraId="4F121A74" w14:textId="46F356B4" w:rsidR="00044DD2" w:rsidRDefault="00044DD2" w:rsidP="0034351E">
      <w:pPr>
        <w:rPr>
          <w:rFonts w:asciiTheme="majorHAnsi" w:hAnsiTheme="majorHAnsi" w:cstheme="majorHAnsi"/>
          <w:b/>
          <w:bCs/>
          <w:sz w:val="24"/>
          <w:szCs w:val="24"/>
        </w:rPr>
      </w:pPr>
    </w:p>
    <w:p w14:paraId="41B89EE8" w14:textId="7F52976A" w:rsidR="00B82472" w:rsidRDefault="00B82472" w:rsidP="0034351E">
      <w:pPr>
        <w:rPr>
          <w:rFonts w:asciiTheme="majorHAnsi" w:hAnsiTheme="majorHAnsi" w:cstheme="majorHAnsi"/>
          <w:b/>
          <w:bCs/>
          <w:sz w:val="24"/>
          <w:szCs w:val="24"/>
        </w:rPr>
      </w:pPr>
    </w:p>
    <w:p w14:paraId="2FB28947" w14:textId="77777777" w:rsidR="00FF456D" w:rsidRDefault="00FF456D" w:rsidP="0034351E">
      <w:pPr>
        <w:rPr>
          <w:rFonts w:asciiTheme="majorHAnsi" w:hAnsiTheme="majorHAnsi" w:cstheme="majorHAnsi"/>
          <w:b/>
          <w:bCs/>
          <w:sz w:val="24"/>
          <w:szCs w:val="24"/>
        </w:rPr>
      </w:pPr>
    </w:p>
    <w:p w14:paraId="2386B215" w14:textId="3C556D04" w:rsidR="005A614B" w:rsidRDefault="005A614B" w:rsidP="0034351E">
      <w:pPr>
        <w:rPr>
          <w:rFonts w:asciiTheme="majorHAnsi" w:hAnsiTheme="majorHAnsi" w:cstheme="majorHAnsi"/>
          <w:b/>
          <w:bCs/>
          <w:sz w:val="24"/>
          <w:szCs w:val="24"/>
        </w:rPr>
      </w:pPr>
    </w:p>
    <w:p w14:paraId="3443F8E3" w14:textId="2EAFEC6A" w:rsidR="0096587B" w:rsidRDefault="0096587B" w:rsidP="0034351E">
      <w:pPr>
        <w:rPr>
          <w:rFonts w:asciiTheme="majorHAnsi" w:hAnsiTheme="majorHAnsi" w:cstheme="majorHAnsi"/>
          <w:b/>
          <w:bCs/>
          <w:sz w:val="24"/>
          <w:szCs w:val="24"/>
        </w:rPr>
      </w:pPr>
    </w:p>
    <w:p w14:paraId="2E0D7115" w14:textId="5FE6B9AB" w:rsidR="0096587B" w:rsidRDefault="0096587B" w:rsidP="0034351E">
      <w:pPr>
        <w:rPr>
          <w:rFonts w:asciiTheme="majorHAnsi" w:hAnsiTheme="majorHAnsi" w:cstheme="majorHAnsi"/>
          <w:b/>
          <w:bCs/>
          <w:sz w:val="24"/>
          <w:szCs w:val="24"/>
        </w:rPr>
      </w:pPr>
    </w:p>
    <w:p w14:paraId="316DC391" w14:textId="45BDFE2A" w:rsidR="0096587B" w:rsidRDefault="0096587B" w:rsidP="0034351E">
      <w:pPr>
        <w:rPr>
          <w:rFonts w:asciiTheme="majorHAnsi" w:hAnsiTheme="majorHAnsi" w:cstheme="majorHAnsi"/>
          <w:b/>
          <w:bCs/>
          <w:sz w:val="24"/>
          <w:szCs w:val="24"/>
        </w:rPr>
      </w:pPr>
    </w:p>
    <w:p w14:paraId="24CC7A16" w14:textId="471083A4" w:rsidR="0096587B" w:rsidRDefault="0096587B" w:rsidP="0034351E">
      <w:pPr>
        <w:rPr>
          <w:rFonts w:asciiTheme="majorHAnsi" w:hAnsiTheme="majorHAnsi" w:cstheme="majorHAnsi"/>
          <w:b/>
          <w:bCs/>
          <w:sz w:val="24"/>
          <w:szCs w:val="24"/>
        </w:rPr>
      </w:pPr>
    </w:p>
    <w:p w14:paraId="5F970EE8" w14:textId="2580C614" w:rsidR="0096587B" w:rsidRDefault="0096587B" w:rsidP="0034351E">
      <w:pPr>
        <w:rPr>
          <w:rFonts w:asciiTheme="majorHAnsi" w:hAnsiTheme="majorHAnsi" w:cstheme="majorHAnsi"/>
          <w:b/>
          <w:bCs/>
          <w:sz w:val="24"/>
          <w:szCs w:val="24"/>
        </w:rPr>
      </w:pPr>
    </w:p>
    <w:p w14:paraId="583BBEB6" w14:textId="30C3206B" w:rsidR="0096587B" w:rsidRDefault="0096587B" w:rsidP="0034351E">
      <w:pPr>
        <w:rPr>
          <w:rFonts w:asciiTheme="majorHAnsi" w:hAnsiTheme="majorHAnsi" w:cstheme="majorHAnsi"/>
          <w:b/>
          <w:bCs/>
          <w:sz w:val="24"/>
          <w:szCs w:val="24"/>
        </w:rPr>
      </w:pPr>
    </w:p>
    <w:p w14:paraId="48BF7F6A" w14:textId="12ED3050" w:rsidR="0096587B" w:rsidRDefault="0096587B" w:rsidP="0034351E">
      <w:pPr>
        <w:rPr>
          <w:rFonts w:asciiTheme="majorHAnsi" w:hAnsiTheme="majorHAnsi" w:cstheme="majorHAnsi"/>
          <w:b/>
          <w:bCs/>
          <w:sz w:val="24"/>
          <w:szCs w:val="24"/>
        </w:rPr>
      </w:pPr>
    </w:p>
    <w:p w14:paraId="30631AFF" w14:textId="0F377F4B" w:rsidR="0096587B" w:rsidRDefault="0096587B" w:rsidP="0034351E">
      <w:pPr>
        <w:rPr>
          <w:rFonts w:asciiTheme="majorHAnsi" w:hAnsiTheme="majorHAnsi" w:cstheme="majorHAnsi"/>
          <w:b/>
          <w:bCs/>
          <w:sz w:val="24"/>
          <w:szCs w:val="24"/>
        </w:rPr>
      </w:pPr>
    </w:p>
    <w:p w14:paraId="5F1B240E" w14:textId="1594726B" w:rsidR="0096587B" w:rsidRDefault="0096587B" w:rsidP="0034351E">
      <w:pPr>
        <w:rPr>
          <w:rFonts w:asciiTheme="majorHAnsi" w:hAnsiTheme="majorHAnsi" w:cstheme="majorHAnsi"/>
          <w:b/>
          <w:bCs/>
          <w:sz w:val="24"/>
          <w:szCs w:val="24"/>
        </w:rPr>
      </w:pPr>
    </w:p>
    <w:p w14:paraId="7AF63E2C" w14:textId="6B1823D1" w:rsidR="0096587B" w:rsidRDefault="0096587B" w:rsidP="0034351E">
      <w:pPr>
        <w:rPr>
          <w:rFonts w:asciiTheme="majorHAnsi" w:hAnsiTheme="majorHAnsi" w:cstheme="majorHAnsi"/>
          <w:b/>
          <w:bCs/>
          <w:sz w:val="24"/>
          <w:szCs w:val="24"/>
        </w:rPr>
      </w:pPr>
    </w:p>
    <w:p w14:paraId="1822F3DA" w14:textId="05CEA18E" w:rsidR="0096587B" w:rsidRDefault="0096587B" w:rsidP="0034351E">
      <w:pPr>
        <w:rPr>
          <w:rFonts w:asciiTheme="majorHAnsi" w:hAnsiTheme="majorHAnsi" w:cstheme="majorHAnsi"/>
          <w:b/>
          <w:bCs/>
          <w:sz w:val="24"/>
          <w:szCs w:val="24"/>
        </w:rPr>
      </w:pPr>
    </w:p>
    <w:p w14:paraId="63186D0C" w14:textId="33D2061B" w:rsidR="0096587B" w:rsidRDefault="0096587B" w:rsidP="0034351E">
      <w:pPr>
        <w:rPr>
          <w:rFonts w:asciiTheme="majorHAnsi" w:hAnsiTheme="majorHAnsi" w:cstheme="majorHAnsi"/>
          <w:b/>
          <w:bCs/>
          <w:sz w:val="24"/>
          <w:szCs w:val="24"/>
        </w:rPr>
      </w:pPr>
    </w:p>
    <w:p w14:paraId="15F3D235" w14:textId="2351EC07" w:rsidR="0096587B" w:rsidRDefault="0096587B" w:rsidP="0034351E">
      <w:pPr>
        <w:rPr>
          <w:rFonts w:asciiTheme="majorHAnsi" w:hAnsiTheme="majorHAnsi" w:cstheme="majorHAnsi"/>
          <w:b/>
          <w:bCs/>
          <w:sz w:val="24"/>
          <w:szCs w:val="24"/>
        </w:rPr>
      </w:pPr>
    </w:p>
    <w:p w14:paraId="18D888C2" w14:textId="08D97654" w:rsidR="0096587B" w:rsidRDefault="0096587B" w:rsidP="0034351E">
      <w:pPr>
        <w:rPr>
          <w:rFonts w:asciiTheme="majorHAnsi" w:hAnsiTheme="majorHAnsi" w:cstheme="majorHAnsi"/>
          <w:b/>
          <w:bCs/>
          <w:sz w:val="24"/>
          <w:szCs w:val="24"/>
        </w:rPr>
      </w:pPr>
    </w:p>
    <w:p w14:paraId="199D1749" w14:textId="2731016A" w:rsidR="004A44C4" w:rsidRDefault="004A44C4" w:rsidP="0034351E">
      <w:pPr>
        <w:rPr>
          <w:rFonts w:asciiTheme="majorHAnsi" w:hAnsiTheme="majorHAnsi" w:cstheme="majorHAnsi"/>
          <w:b/>
          <w:bCs/>
          <w:sz w:val="24"/>
          <w:szCs w:val="24"/>
        </w:rPr>
      </w:pPr>
    </w:p>
    <w:p w14:paraId="1E100259" w14:textId="1C221417" w:rsidR="00091386" w:rsidRDefault="00091386" w:rsidP="0034351E">
      <w:pPr>
        <w:rPr>
          <w:rFonts w:asciiTheme="majorHAnsi" w:hAnsiTheme="majorHAnsi" w:cstheme="majorHAnsi"/>
          <w:b/>
          <w:bCs/>
          <w:sz w:val="24"/>
          <w:szCs w:val="24"/>
        </w:rPr>
      </w:pPr>
    </w:p>
    <w:p w14:paraId="62698913" w14:textId="77777777" w:rsidR="00091386" w:rsidRDefault="00091386" w:rsidP="0034351E">
      <w:pPr>
        <w:rPr>
          <w:rFonts w:asciiTheme="majorHAnsi" w:hAnsiTheme="majorHAnsi" w:cstheme="majorHAnsi"/>
          <w:b/>
          <w:bCs/>
          <w:sz w:val="24"/>
          <w:szCs w:val="24"/>
        </w:rPr>
      </w:pPr>
    </w:p>
    <w:p w14:paraId="1D457513" w14:textId="5EDC456C" w:rsidR="0096587B" w:rsidRDefault="0096587B" w:rsidP="0034351E">
      <w:pPr>
        <w:rPr>
          <w:rFonts w:asciiTheme="majorHAnsi" w:hAnsiTheme="majorHAnsi" w:cstheme="majorHAnsi"/>
          <w:b/>
          <w:bCs/>
          <w:sz w:val="24"/>
          <w:szCs w:val="24"/>
        </w:rPr>
      </w:pPr>
    </w:p>
    <w:p w14:paraId="1A194033" w14:textId="6D9B747E" w:rsidR="0061078A" w:rsidRDefault="004163DE" w:rsidP="00F35504">
      <w:pPr>
        <w:pStyle w:val="Heading1"/>
        <w:rPr>
          <w:b w:val="0"/>
          <w:bCs w:val="0"/>
        </w:rPr>
      </w:pPr>
      <w:bookmarkStart w:id="2" w:name="_Toc16262314"/>
      <w:r w:rsidRPr="00B709C1">
        <w:rPr>
          <w:noProof/>
          <w:lang w:val="en-US"/>
        </w:rPr>
        <w:lastRenderedPageBreak/>
        <mc:AlternateContent>
          <mc:Choice Requires="wpg">
            <w:drawing>
              <wp:anchor distT="0" distB="0" distL="114300" distR="114300" simplePos="0" relativeHeight="256345600" behindDoc="0" locked="0" layoutInCell="1" allowOverlap="1" wp14:anchorId="283A1D7D" wp14:editId="63C63B0A">
                <wp:simplePos x="0" y="0"/>
                <wp:positionH relativeFrom="margin">
                  <wp:posOffset>5419725</wp:posOffset>
                </wp:positionH>
                <wp:positionV relativeFrom="margin">
                  <wp:posOffset>-114300</wp:posOffset>
                </wp:positionV>
                <wp:extent cx="1469390" cy="8917940"/>
                <wp:effectExtent l="0" t="0" r="0" b="0"/>
                <wp:wrapSquare wrapText="bothSides"/>
                <wp:docPr id="541" name="Group 541"/>
                <wp:cNvGraphicFramePr/>
                <a:graphic xmlns:a="http://schemas.openxmlformats.org/drawingml/2006/main">
                  <a:graphicData uri="http://schemas.microsoft.com/office/word/2010/wordprocessingGroup">
                    <wpg:wgp>
                      <wpg:cNvGrpSpPr/>
                      <wpg:grpSpPr>
                        <a:xfrm>
                          <a:off x="0" y="0"/>
                          <a:ext cx="1469390" cy="8917940"/>
                          <a:chOff x="39832" y="-130382"/>
                          <a:chExt cx="2048256" cy="9283234"/>
                        </a:xfrm>
                      </wpg:grpSpPr>
                      <wps:wsp>
                        <wps:cNvPr id="542" name="Rectangle 18"/>
                        <wps:cNvSpPr>
                          <a:spLocks noChangeArrowheads="1"/>
                        </wps:cNvSpPr>
                        <wps:spPr bwMode="auto">
                          <a:xfrm>
                            <a:off x="53108" y="7400194"/>
                            <a:ext cx="2034979" cy="1752658"/>
                          </a:xfrm>
                          <a:prstGeom prst="rect">
                            <a:avLst/>
                          </a:prstGeom>
                          <a:solidFill>
                            <a:schemeClr val="bg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17"/>
                        <wps:cNvSpPr>
                          <a:spLocks noChangeArrowheads="1"/>
                        </wps:cNvSpPr>
                        <wps:spPr bwMode="auto">
                          <a:xfrm>
                            <a:off x="39832" y="0"/>
                            <a:ext cx="2048256" cy="7815073"/>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Text Box 14"/>
                        <wps:cNvSpPr txBox="1">
                          <a:spLocks noChangeArrowheads="1"/>
                        </wps:cNvSpPr>
                        <wps:spPr bwMode="auto">
                          <a:xfrm>
                            <a:off x="145597" y="-130382"/>
                            <a:ext cx="1780032" cy="919196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574B4" w14:textId="77777777" w:rsidR="00A56EB4" w:rsidRDefault="00A56EB4" w:rsidP="00733658">
                              <w:pP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Key Findings</w:t>
                              </w:r>
                            </w:p>
                            <w:p w14:paraId="37C43672" w14:textId="77777777" w:rsidR="00A56EB4" w:rsidRDefault="00A56EB4" w:rsidP="00733658">
                              <w:pPr>
                                <w:rPr>
                                  <w:color w:val="FFFFFF" w:themeColor="background1"/>
                                </w:rPr>
                              </w:pPr>
                              <w:r>
                                <w:rPr>
                                  <w:color w:val="FFFFFF" w:themeColor="background1"/>
                                </w:rPr>
                                <w:t>Indigenous youth had the most support in court, and newcomers the least.</w:t>
                              </w:r>
                            </w:p>
                            <w:p w14:paraId="24468A04" w14:textId="19122690" w:rsidR="00A56EB4" w:rsidRDefault="00A56EB4" w:rsidP="00733658">
                              <w:pPr>
                                <w:rPr>
                                  <w:color w:val="FFFFFF" w:themeColor="background1"/>
                                </w:rPr>
                              </w:pPr>
                              <w:r>
                                <w:rPr>
                                  <w:color w:val="FFFFFF" w:themeColor="background1"/>
                                </w:rPr>
                                <w:t>Criminal charges usually preceded administration charges.</w:t>
                              </w:r>
                            </w:p>
                            <w:p w14:paraId="372070D0" w14:textId="77777777" w:rsidR="00A56EB4" w:rsidRDefault="00A56EB4" w:rsidP="00733658">
                              <w:pPr>
                                <w:rPr>
                                  <w:color w:val="FFFFFF" w:themeColor="background1"/>
                                </w:rPr>
                              </w:pPr>
                              <w:r>
                                <w:rPr>
                                  <w:color w:val="FFFFFF" w:themeColor="background1"/>
                                </w:rPr>
                                <w:t>Failure to appear was the most common administration charge.</w:t>
                              </w:r>
                            </w:p>
                            <w:p w14:paraId="6FF93425" w14:textId="2B83C7C1" w:rsidR="00A56EB4" w:rsidRDefault="00A56EB4" w:rsidP="00733658">
                              <w:pPr>
                                <w:rPr>
                                  <w:color w:val="FFFFFF" w:themeColor="background1"/>
                                </w:rPr>
                              </w:pPr>
                              <w:r>
                                <w:rPr>
                                  <w:color w:val="FFFFFF" w:themeColor="background1"/>
                                </w:rPr>
                                <w:t xml:space="preserve">Speeding was the most common Traffic charge. </w:t>
                              </w:r>
                            </w:p>
                            <w:p w14:paraId="64FA64AE" w14:textId="7F5F45CF" w:rsidR="00A56EB4" w:rsidRDefault="00A56EB4" w:rsidP="00733658">
                              <w:pPr>
                                <w:rPr>
                                  <w:color w:val="FFFFFF" w:themeColor="background1"/>
                                </w:rPr>
                              </w:pPr>
                              <w:r>
                                <w:rPr>
                                  <w:color w:val="FFFFFF" w:themeColor="background1"/>
                                </w:rPr>
                                <w:t xml:space="preserve">Newcomers were overrepresented in Traffic courts, with higher odds of having several offence types. This is less true of Indigenous attendees. </w:t>
                              </w:r>
                            </w:p>
                            <w:p w14:paraId="480326A8" w14:textId="13383E20" w:rsidR="00A56EB4" w:rsidRPr="00733658" w:rsidRDefault="00A56EB4" w:rsidP="00733658">
                              <w:pPr>
                                <w:rPr>
                                  <w:color w:val="FFFFFF" w:themeColor="background1"/>
                                </w:rPr>
                              </w:pPr>
                              <w:r>
                                <w:rPr>
                                  <w:color w:val="FFFFFF" w:themeColor="background1"/>
                                </w:rPr>
                                <w:t>Most attendees presented for a first appearance, lacked a legal representative, and received services for &lt;4 minutes.</w:t>
                              </w: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83A1D7D" id="Group 541" o:spid="_x0000_s1029" style="position:absolute;left:0;text-align:left;margin-left:426.75pt;margin-top:-9pt;width:115.7pt;height:702.2pt;z-index:256345600;mso-position-horizontal-relative:margin;mso-position-vertical-relative:margin;mso-height-relative:margin" coordorigin="398,-1303" coordsize="20482,9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">
                <v:rect id="Rectangle 18" o:spid="_x0000_s1030" style="position:absolute;left:531;top:74001;width:20349;height:17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" fillcolor="#369 [3214]" stroked="f"/>
                <v:rect id="Rectangle 17" o:spid="_x0000_s1031" style="position:absolute;left:398;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" fillcolor="#595959 [3215]" stroked="f"/>
                <v:shape id="Text Box 14" o:spid="_x0000_s1032" type="#_x0000_t202" style="position:absolute;left:1455;top:-1303;width:17801;height:9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" filled="f" fillcolor="white [3212]" stroked="f">
                  <v:textbox inset=",21.6pt">
                    <w:txbxContent>
                      <w:p w14:paraId="271574B4" w14:textId="77777777" w:rsidR="00A56EB4" w:rsidRDefault="00A56EB4" w:rsidP="00733658">
                        <w:pP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Key Findings</w:t>
                        </w:r>
                      </w:p>
                      <w:p w14:paraId="37C43672" w14:textId="77777777" w:rsidR="00A56EB4" w:rsidRDefault="00A56EB4" w:rsidP="00733658">
                        <w:pPr>
                          <w:rPr>
                            <w:color w:val="FFFFFF" w:themeColor="background1"/>
                          </w:rPr>
                        </w:pPr>
                        <w:r>
                          <w:rPr>
                            <w:color w:val="FFFFFF" w:themeColor="background1"/>
                          </w:rPr>
                          <w:t>Indigenous youth had the most support in court, and newcomers the least.</w:t>
                        </w:r>
                      </w:p>
                      <w:p w14:paraId="24468A04" w14:textId="19122690" w:rsidR="00A56EB4" w:rsidRDefault="00A56EB4" w:rsidP="00733658">
                        <w:pPr>
                          <w:rPr>
                            <w:color w:val="FFFFFF" w:themeColor="background1"/>
                          </w:rPr>
                        </w:pPr>
                        <w:r>
                          <w:rPr>
                            <w:color w:val="FFFFFF" w:themeColor="background1"/>
                          </w:rPr>
                          <w:t>Criminal charges usually preceded administration charges.</w:t>
                        </w:r>
                      </w:p>
                      <w:p w14:paraId="372070D0" w14:textId="77777777" w:rsidR="00A56EB4" w:rsidRDefault="00A56EB4" w:rsidP="00733658">
                        <w:pPr>
                          <w:rPr>
                            <w:color w:val="FFFFFF" w:themeColor="background1"/>
                          </w:rPr>
                        </w:pPr>
                        <w:r>
                          <w:rPr>
                            <w:color w:val="FFFFFF" w:themeColor="background1"/>
                          </w:rPr>
                          <w:t>Failure to appear was the most common administration charge.</w:t>
                        </w:r>
                      </w:p>
                      <w:p w14:paraId="6FF93425" w14:textId="2B83C7C1" w:rsidR="00A56EB4" w:rsidRDefault="00A56EB4" w:rsidP="00733658">
                        <w:pPr>
                          <w:rPr>
                            <w:color w:val="FFFFFF" w:themeColor="background1"/>
                          </w:rPr>
                        </w:pPr>
                        <w:r>
                          <w:rPr>
                            <w:color w:val="FFFFFF" w:themeColor="background1"/>
                          </w:rPr>
                          <w:t xml:space="preserve">Speeding was the most common Traffic charge. </w:t>
                        </w:r>
                      </w:p>
                      <w:p w14:paraId="64FA64AE" w14:textId="7F5F45CF" w:rsidR="00A56EB4" w:rsidRDefault="00A56EB4" w:rsidP="00733658">
                        <w:pPr>
                          <w:rPr>
                            <w:color w:val="FFFFFF" w:themeColor="background1"/>
                          </w:rPr>
                        </w:pPr>
                        <w:r>
                          <w:rPr>
                            <w:color w:val="FFFFFF" w:themeColor="background1"/>
                          </w:rPr>
                          <w:t xml:space="preserve">Newcomers were overrepresented in Traffic courts, with higher odds of having several offence types. This is less true of Indigenous attendees. </w:t>
                        </w:r>
                      </w:p>
                      <w:p w14:paraId="480326A8" w14:textId="13383E20" w:rsidR="00A56EB4" w:rsidRPr="00733658" w:rsidRDefault="00A56EB4" w:rsidP="00733658">
                        <w:pPr>
                          <w:rPr>
                            <w:color w:val="FFFFFF" w:themeColor="background1"/>
                          </w:rPr>
                        </w:pPr>
                        <w:r>
                          <w:rPr>
                            <w:color w:val="FFFFFF" w:themeColor="background1"/>
                          </w:rPr>
                          <w:t>Most attendees presented for a first appearance, lacked a legal representative, and received services for &lt;4 minutes.</w:t>
                        </w:r>
                      </w:p>
                    </w:txbxContent>
                  </v:textbox>
                </v:shape>
                <w10:wrap type="square" anchorx="margin" anchory="margin"/>
              </v:group>
            </w:pict>
          </mc:Fallback>
        </mc:AlternateContent>
      </w:r>
      <w:r w:rsidR="0061078A">
        <w:rPr>
          <w:b w:val="0"/>
          <w:bCs w:val="0"/>
        </w:rPr>
        <w:t>Executive Summary</w:t>
      </w:r>
      <w:bookmarkEnd w:id="2"/>
    </w:p>
    <w:p w14:paraId="63D3C1DE" w14:textId="2478A540" w:rsidR="0061078A" w:rsidRDefault="00B709C1" w:rsidP="00E64BE4">
      <w:pPr>
        <w:pStyle w:val="Heading2"/>
      </w:pPr>
      <w:bookmarkStart w:id="3" w:name="_Toc16262315"/>
      <w:r w:rsidRPr="00B709C1">
        <w:rPr>
          <w:noProof/>
          <w:lang w:val="en-US"/>
        </w:rPr>
        <mc:AlternateContent>
          <mc:Choice Requires="wpg">
            <w:drawing>
              <wp:anchor distT="0" distB="0" distL="114300" distR="114300" simplePos="0" relativeHeight="248319488" behindDoc="0" locked="0" layoutInCell="1" allowOverlap="1" wp14:anchorId="5D78F141" wp14:editId="46D3DDD4">
                <wp:simplePos x="0" y="0"/>
                <wp:positionH relativeFrom="margin">
                  <wp:posOffset>5417185</wp:posOffset>
                </wp:positionH>
                <wp:positionV relativeFrom="margin">
                  <wp:posOffset>425450</wp:posOffset>
                </wp:positionV>
                <wp:extent cx="1469390" cy="8381365"/>
                <wp:effectExtent l="0" t="0" r="0" b="635"/>
                <wp:wrapSquare wrapText="bothSides"/>
                <wp:docPr id="34" name="Group 34"/>
                <wp:cNvGraphicFramePr/>
                <a:graphic xmlns:a="http://schemas.openxmlformats.org/drawingml/2006/main">
                  <a:graphicData uri="http://schemas.microsoft.com/office/word/2010/wordprocessingGroup">
                    <wpg:wgp>
                      <wpg:cNvGrpSpPr/>
                      <wpg:grpSpPr>
                        <a:xfrm>
                          <a:off x="0" y="0"/>
                          <a:ext cx="1469390" cy="8381365"/>
                          <a:chOff x="0" y="0"/>
                          <a:chExt cx="2048256" cy="9152852"/>
                        </a:xfrm>
                      </wpg:grpSpPr>
                      <wps:wsp>
                        <wps:cNvPr id="35" name="Rectangle 18"/>
                        <wps:cNvSpPr>
                          <a:spLocks noChangeArrowheads="1"/>
                        </wps:cNvSpPr>
                        <wps:spPr bwMode="auto">
                          <a:xfrm>
                            <a:off x="0" y="7400194"/>
                            <a:ext cx="2048256" cy="1752658"/>
                          </a:xfrm>
                          <a:prstGeom prst="rect">
                            <a:avLst/>
                          </a:prstGeom>
                          <a:solidFill>
                            <a:schemeClr val="bg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7"/>
                        <wps:cNvSpPr>
                          <a:spLocks noChangeArrowheads="1"/>
                        </wps:cNvSpPr>
                        <wps:spPr bwMode="auto">
                          <a:xfrm>
                            <a:off x="0" y="0"/>
                            <a:ext cx="2048256" cy="7815073"/>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Text Box 14"/>
                        <wps:cNvSpPr txBox="1">
                          <a:spLocks noChangeArrowheads="1"/>
                        </wps:cNvSpPr>
                        <wps:spPr bwMode="auto">
                          <a:xfrm>
                            <a:off x="145597" y="37378"/>
                            <a:ext cx="1780032" cy="89776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1D9B" w14:textId="272E4CFE" w:rsidR="00A56EB4" w:rsidRDefault="00A56EB4">
                              <w:pP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Key Findings</w:t>
                              </w:r>
                            </w:p>
                            <w:p w14:paraId="554C1902" w14:textId="400506F4" w:rsidR="00A56EB4" w:rsidRDefault="00A56EB4" w:rsidP="00733658">
                              <w:pPr>
                                <w:rPr>
                                  <w:color w:val="FFFFFF" w:themeColor="background1"/>
                                </w:rPr>
                              </w:pPr>
                              <w:r w:rsidRPr="00733658">
                                <w:rPr>
                                  <w:color w:val="FFFFFF" w:themeColor="background1"/>
                                </w:rPr>
                                <w:t>Men were broadly overrepresented</w:t>
                              </w:r>
                              <w:r>
                                <w:rPr>
                                  <w:color w:val="FFFFFF" w:themeColor="background1"/>
                                </w:rPr>
                                <w:t>.</w:t>
                              </w:r>
                            </w:p>
                            <w:p w14:paraId="1BE89F9A" w14:textId="7DAC3A80" w:rsidR="00A56EB4" w:rsidRDefault="00A56EB4" w:rsidP="00733658">
                              <w:pPr>
                                <w:rPr>
                                  <w:color w:val="FFFFFF" w:themeColor="background1"/>
                                </w:rPr>
                              </w:pPr>
                              <w:r>
                                <w:rPr>
                                  <w:color w:val="FFFFFF" w:themeColor="background1"/>
                                </w:rPr>
                                <w:t>Indigenous women were similarly overrepresented.</w:t>
                              </w:r>
                            </w:p>
                            <w:p w14:paraId="7279882A" w14:textId="033C9C0D" w:rsidR="00A56EB4" w:rsidRDefault="00A56EB4" w:rsidP="00733658">
                              <w:pPr>
                                <w:rPr>
                                  <w:color w:val="FFFFFF" w:themeColor="background1"/>
                                </w:rPr>
                              </w:pPr>
                              <w:r>
                                <w:rPr>
                                  <w:color w:val="FFFFFF" w:themeColor="background1"/>
                                </w:rPr>
                                <w:t>Adult court attendees were generally  younger. Youth court attendees were generally older adolescents.</w:t>
                              </w:r>
                            </w:p>
                            <w:p w14:paraId="78DBF488" w14:textId="6AD76CC6" w:rsidR="00A56EB4" w:rsidRDefault="00A56EB4" w:rsidP="00733658">
                              <w:pPr>
                                <w:rPr>
                                  <w:color w:val="FFFFFF" w:themeColor="background1"/>
                                </w:rPr>
                              </w:pPr>
                              <w:r>
                                <w:rPr>
                                  <w:color w:val="FFFFFF" w:themeColor="background1"/>
                                </w:rPr>
                                <w:t xml:space="preserve">Indigenous attendees were broadly overrepresented in many courts, and newcomers underrepresented outside of Traffic courts . </w:t>
                              </w:r>
                            </w:p>
                            <w:p w14:paraId="1018CC50" w14:textId="34595620" w:rsidR="00A56EB4" w:rsidRDefault="00A56EB4" w:rsidP="00733658">
                              <w:pPr>
                                <w:rPr>
                                  <w:color w:val="FFFFFF" w:themeColor="background1"/>
                                </w:rPr>
                              </w:pPr>
                              <w:r>
                                <w:rPr>
                                  <w:color w:val="FFFFFF" w:themeColor="background1"/>
                                </w:rPr>
                                <w:t>Smaller attendee family sizes were often noted.</w:t>
                              </w:r>
                            </w:p>
                            <w:p w14:paraId="6249E57C" w14:textId="1FE51F44" w:rsidR="00A56EB4" w:rsidRPr="00733658" w:rsidRDefault="00A56EB4" w:rsidP="00733658">
                              <w:pPr>
                                <w:rPr>
                                  <w:color w:val="FFFFFF" w:themeColor="background1"/>
                                </w:rPr>
                              </w:pPr>
                              <w:r>
                                <w:rPr>
                                  <w:color w:val="FFFFFF" w:themeColor="background1"/>
                                </w:rPr>
                                <w:t xml:space="preserve">Attendees with minority status were financially worse off on average. </w:t>
                              </w: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D78F141" id="Group 34" o:spid="_x0000_s1033" style="position:absolute;left:0;text-align:left;margin-left:426.55pt;margin-top:33.5pt;width:115.7pt;height:659.95pt;z-index:248319488;mso-position-horizontal-relative:margin;mso-position-vertical-relative:margin;mso-height-relative:margin" coordsize="20482,9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">
                <v:rect id="Rectangle 18" o:spid="_x0000_s1034" style="position:absolute;top:74001;width:20482;height:17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" fillcolor="#369 [3214]" stroked="f"/>
                <v:rect id="Rectangle 17" o:spid="_x0000_s1035" style="position:absolute;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" fillcolor="#595959 [3215]" stroked="f"/>
                <v:shape id="Text Box 14" o:spid="_x0000_s1036" type="#_x0000_t202" style="position:absolute;left:1455;top:373;width:17801;height:89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" filled="f" fillcolor="white [3212]" stroked="f">
                  <v:textbox inset=",21.6pt">
                    <w:txbxContent>
                      <w:p w14:paraId="35E41D9B" w14:textId="272E4CFE" w:rsidR="00A56EB4" w:rsidRDefault="00A56EB4">
                        <w:pP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Key Findings</w:t>
                        </w:r>
                      </w:p>
                      <w:p w14:paraId="554C1902" w14:textId="400506F4" w:rsidR="00A56EB4" w:rsidRDefault="00A56EB4" w:rsidP="00733658">
                        <w:pPr>
                          <w:rPr>
                            <w:color w:val="FFFFFF" w:themeColor="background1"/>
                          </w:rPr>
                        </w:pPr>
                        <w:r w:rsidRPr="00733658">
                          <w:rPr>
                            <w:color w:val="FFFFFF" w:themeColor="background1"/>
                          </w:rPr>
                          <w:t>Men were broadly overrepresented</w:t>
                        </w:r>
                        <w:r>
                          <w:rPr>
                            <w:color w:val="FFFFFF" w:themeColor="background1"/>
                          </w:rPr>
                          <w:t>.</w:t>
                        </w:r>
                      </w:p>
                      <w:p w14:paraId="1BE89F9A" w14:textId="7DAC3A80" w:rsidR="00A56EB4" w:rsidRDefault="00A56EB4" w:rsidP="00733658">
                        <w:pPr>
                          <w:rPr>
                            <w:color w:val="FFFFFF" w:themeColor="background1"/>
                          </w:rPr>
                        </w:pPr>
                        <w:r>
                          <w:rPr>
                            <w:color w:val="FFFFFF" w:themeColor="background1"/>
                          </w:rPr>
                          <w:t>Indigenous women were similarly overrepresented.</w:t>
                        </w:r>
                      </w:p>
                      <w:p w14:paraId="7279882A" w14:textId="033C9C0D" w:rsidR="00A56EB4" w:rsidRDefault="00A56EB4" w:rsidP="00733658">
                        <w:pPr>
                          <w:rPr>
                            <w:color w:val="FFFFFF" w:themeColor="background1"/>
                          </w:rPr>
                        </w:pPr>
                        <w:r>
                          <w:rPr>
                            <w:color w:val="FFFFFF" w:themeColor="background1"/>
                          </w:rPr>
                          <w:t>Adult court attendees were generally  younger. Youth court attendees were generally older adolescents.</w:t>
                        </w:r>
                      </w:p>
                      <w:p w14:paraId="78DBF488" w14:textId="6AD76CC6" w:rsidR="00A56EB4" w:rsidRDefault="00A56EB4" w:rsidP="00733658">
                        <w:pPr>
                          <w:rPr>
                            <w:color w:val="FFFFFF" w:themeColor="background1"/>
                          </w:rPr>
                        </w:pPr>
                        <w:r>
                          <w:rPr>
                            <w:color w:val="FFFFFF" w:themeColor="background1"/>
                          </w:rPr>
                          <w:t xml:space="preserve">Indigenous attendees were broadly overrepresented in many courts, and newcomers underrepresented outside of Traffic courts . </w:t>
                        </w:r>
                      </w:p>
                      <w:p w14:paraId="1018CC50" w14:textId="34595620" w:rsidR="00A56EB4" w:rsidRDefault="00A56EB4" w:rsidP="00733658">
                        <w:pPr>
                          <w:rPr>
                            <w:color w:val="FFFFFF" w:themeColor="background1"/>
                          </w:rPr>
                        </w:pPr>
                        <w:r>
                          <w:rPr>
                            <w:color w:val="FFFFFF" w:themeColor="background1"/>
                          </w:rPr>
                          <w:t>Smaller attendee family sizes were often noted.</w:t>
                        </w:r>
                      </w:p>
                      <w:p w14:paraId="6249E57C" w14:textId="1FE51F44" w:rsidR="00A56EB4" w:rsidRPr="00733658" w:rsidRDefault="00A56EB4" w:rsidP="00733658">
                        <w:pPr>
                          <w:rPr>
                            <w:color w:val="FFFFFF" w:themeColor="background1"/>
                          </w:rPr>
                        </w:pPr>
                        <w:r>
                          <w:rPr>
                            <w:color w:val="FFFFFF" w:themeColor="background1"/>
                          </w:rPr>
                          <w:t xml:space="preserve">Attendees with minority status were financially worse off on average. </w:t>
                        </w:r>
                      </w:p>
                    </w:txbxContent>
                  </v:textbox>
                </v:shape>
                <w10:wrap type="square" anchorx="margin" anchory="margin"/>
              </v:group>
            </w:pict>
          </mc:Fallback>
        </mc:AlternateContent>
      </w:r>
      <w:r w:rsidR="00C30BE4">
        <w:t>Background</w:t>
      </w:r>
      <w:bookmarkEnd w:id="3"/>
    </w:p>
    <w:p w14:paraId="43683E93" w14:textId="1F677654" w:rsidR="00EB3A63" w:rsidRPr="00EB3A63" w:rsidRDefault="00EB3A63" w:rsidP="00EB3A63">
      <w:r>
        <w:t>The composition of court attendees nationally reflects longstanding, well-documented trends.</w:t>
      </w:r>
      <w:r w:rsidR="00BF59D1">
        <w:t xml:space="preserve"> </w:t>
      </w:r>
      <w:r w:rsidR="003773EE">
        <w:t>At this time, it is unknown</w:t>
      </w:r>
      <w:r w:rsidR="00BF59D1">
        <w:t xml:space="preserve"> whether these same trends are observed in the population supported by the Elizabeth Fry Society of Calgary.  </w:t>
      </w:r>
      <w:r>
        <w:t xml:space="preserve"> </w:t>
      </w:r>
    </w:p>
    <w:p w14:paraId="247DCE92" w14:textId="5F5E8972" w:rsidR="00C30BE4" w:rsidRDefault="00C30BE4" w:rsidP="00C30BE4">
      <w:pPr>
        <w:pStyle w:val="Heading3"/>
      </w:pPr>
      <w:bookmarkStart w:id="4" w:name="_Toc16262316"/>
      <w:r>
        <w:t>Objective</w:t>
      </w:r>
      <w:bookmarkEnd w:id="4"/>
    </w:p>
    <w:p w14:paraId="0F7E59D1" w14:textId="0399821A" w:rsidR="00EB3A63" w:rsidRPr="00EB3A63" w:rsidRDefault="00982107" w:rsidP="00EB3A63">
      <w:r>
        <w:rPr>
          <w:rFonts w:asciiTheme="majorHAnsi" w:hAnsiTheme="majorHAnsi" w:cstheme="majorHAnsi"/>
        </w:rPr>
        <w:t xml:space="preserve">This </w:t>
      </w:r>
      <w:r w:rsidR="00894A25">
        <w:rPr>
          <w:rFonts w:asciiTheme="majorHAnsi" w:hAnsiTheme="majorHAnsi" w:cstheme="majorHAnsi"/>
        </w:rPr>
        <w:t>report</w:t>
      </w:r>
      <w:r w:rsidR="00EC3FEF">
        <w:rPr>
          <w:rFonts w:asciiTheme="majorHAnsi" w:hAnsiTheme="majorHAnsi" w:cstheme="majorHAnsi"/>
        </w:rPr>
        <w:t xml:space="preserve"> </w:t>
      </w:r>
      <w:r w:rsidR="00C04659">
        <w:rPr>
          <w:rFonts w:asciiTheme="majorHAnsi" w:hAnsiTheme="majorHAnsi" w:cstheme="majorHAnsi"/>
        </w:rPr>
        <w:t>endeavours</w:t>
      </w:r>
      <w:r>
        <w:rPr>
          <w:rFonts w:asciiTheme="majorHAnsi" w:hAnsiTheme="majorHAnsi" w:cstheme="majorHAnsi"/>
        </w:rPr>
        <w:t xml:space="preserve"> to explore</w:t>
      </w:r>
      <w:r w:rsidR="00894A25">
        <w:rPr>
          <w:rFonts w:asciiTheme="majorHAnsi" w:hAnsiTheme="majorHAnsi" w:cstheme="majorHAnsi"/>
        </w:rPr>
        <w:t xml:space="preserve"> </w:t>
      </w:r>
      <w:r w:rsidR="00E56FC3">
        <w:rPr>
          <w:rFonts w:asciiTheme="majorHAnsi" w:hAnsiTheme="majorHAnsi" w:cstheme="majorHAnsi"/>
        </w:rPr>
        <w:t>trend</w:t>
      </w:r>
      <w:r>
        <w:rPr>
          <w:rFonts w:asciiTheme="majorHAnsi" w:hAnsiTheme="majorHAnsi" w:cstheme="majorHAnsi"/>
        </w:rPr>
        <w:t xml:space="preserve">s </w:t>
      </w:r>
      <w:r w:rsidR="00894A25">
        <w:rPr>
          <w:rFonts w:asciiTheme="majorHAnsi" w:hAnsiTheme="majorHAnsi" w:cstheme="majorHAnsi"/>
        </w:rPr>
        <w:t>observed</w:t>
      </w:r>
      <w:r>
        <w:rPr>
          <w:rFonts w:asciiTheme="majorHAnsi" w:hAnsiTheme="majorHAnsi" w:cstheme="majorHAnsi"/>
        </w:rPr>
        <w:t xml:space="preserve"> in</w:t>
      </w:r>
      <w:r w:rsidR="00EC3FEF">
        <w:rPr>
          <w:rFonts w:asciiTheme="majorHAnsi" w:hAnsiTheme="majorHAnsi" w:cstheme="majorHAnsi"/>
        </w:rPr>
        <w:t xml:space="preserve"> the</w:t>
      </w:r>
      <w:r>
        <w:rPr>
          <w:rFonts w:asciiTheme="majorHAnsi" w:hAnsiTheme="majorHAnsi" w:cstheme="majorHAnsi"/>
        </w:rPr>
        <w:t xml:space="preserve"> </w:t>
      </w:r>
      <w:r w:rsidR="00EC3FEF">
        <w:rPr>
          <w:rFonts w:asciiTheme="majorHAnsi" w:hAnsiTheme="majorHAnsi" w:cstheme="majorHAnsi"/>
        </w:rPr>
        <w:t xml:space="preserve">Calgary, </w:t>
      </w:r>
      <w:r w:rsidR="007952BD">
        <w:rPr>
          <w:rFonts w:asciiTheme="majorHAnsi" w:hAnsiTheme="majorHAnsi" w:cstheme="majorHAnsi"/>
        </w:rPr>
        <w:t>North</w:t>
      </w:r>
      <w:r w:rsidR="00EC3FEF">
        <w:rPr>
          <w:rFonts w:asciiTheme="majorHAnsi" w:hAnsiTheme="majorHAnsi" w:cstheme="majorHAnsi"/>
        </w:rPr>
        <w:t xml:space="preserve">, and </w:t>
      </w:r>
      <w:r w:rsidR="007952BD">
        <w:rPr>
          <w:rFonts w:asciiTheme="majorHAnsi" w:hAnsiTheme="majorHAnsi" w:cstheme="majorHAnsi"/>
        </w:rPr>
        <w:t>South</w:t>
      </w:r>
      <w:r w:rsidR="00EC3FEF">
        <w:rPr>
          <w:rFonts w:asciiTheme="majorHAnsi" w:hAnsiTheme="majorHAnsi" w:cstheme="majorHAnsi"/>
        </w:rPr>
        <w:t xml:space="preserve"> </w:t>
      </w:r>
      <w:r>
        <w:rPr>
          <w:rFonts w:asciiTheme="majorHAnsi" w:hAnsiTheme="majorHAnsi" w:cstheme="majorHAnsi"/>
        </w:rPr>
        <w:t xml:space="preserve">court attendees supported by </w:t>
      </w:r>
      <w:r w:rsidR="00EC3FEF">
        <w:rPr>
          <w:rFonts w:asciiTheme="majorHAnsi" w:hAnsiTheme="majorHAnsi" w:cstheme="majorHAnsi"/>
        </w:rPr>
        <w:t xml:space="preserve">the </w:t>
      </w:r>
      <w:r>
        <w:rPr>
          <w:rFonts w:asciiTheme="majorHAnsi" w:hAnsiTheme="majorHAnsi" w:cstheme="majorHAnsi"/>
        </w:rPr>
        <w:t>Elizabeth Fry</w:t>
      </w:r>
      <w:r w:rsidR="00EC3FEF">
        <w:rPr>
          <w:rFonts w:asciiTheme="majorHAnsi" w:hAnsiTheme="majorHAnsi" w:cstheme="majorHAnsi"/>
        </w:rPr>
        <w:t xml:space="preserve"> Society of Calgary.</w:t>
      </w:r>
    </w:p>
    <w:p w14:paraId="020D1DB4" w14:textId="20F96059" w:rsidR="00E64BE4" w:rsidRDefault="00E64BE4" w:rsidP="00E64BE4">
      <w:pPr>
        <w:pStyle w:val="Heading2"/>
      </w:pPr>
      <w:bookmarkStart w:id="5" w:name="_Toc16262317"/>
      <w:r>
        <w:t>Method</w:t>
      </w:r>
      <w:r w:rsidR="00562C35">
        <w:t>ology</w:t>
      </w:r>
      <w:bookmarkEnd w:id="5"/>
    </w:p>
    <w:p w14:paraId="19F1F6FF" w14:textId="449AA88F" w:rsidR="000D57DD" w:rsidRPr="000D57DD" w:rsidRDefault="00F12F0A" w:rsidP="000D57DD">
      <w:pPr>
        <w:rPr>
          <w:rFonts w:asciiTheme="majorHAnsi" w:hAnsiTheme="majorHAnsi" w:cstheme="majorHAnsi"/>
        </w:rPr>
      </w:pPr>
      <w:r>
        <w:rPr>
          <w:rFonts w:asciiTheme="majorHAnsi" w:hAnsiTheme="majorHAnsi" w:cstheme="majorHAnsi"/>
        </w:rPr>
        <w:t>Q</w:t>
      </w:r>
      <w:r w:rsidR="000D57DD">
        <w:rPr>
          <w:rFonts w:asciiTheme="majorHAnsi" w:hAnsiTheme="majorHAnsi" w:cstheme="majorHAnsi"/>
        </w:rPr>
        <w:t>ualitative</w:t>
      </w:r>
      <w:r>
        <w:rPr>
          <w:rFonts w:asciiTheme="majorHAnsi" w:hAnsiTheme="majorHAnsi" w:cstheme="majorHAnsi"/>
        </w:rPr>
        <w:t xml:space="preserve"> and </w:t>
      </w:r>
      <w:r w:rsidR="000D57DD">
        <w:rPr>
          <w:rFonts w:asciiTheme="majorHAnsi" w:hAnsiTheme="majorHAnsi" w:cstheme="majorHAnsi"/>
        </w:rPr>
        <w:t xml:space="preserve">quantitative </w:t>
      </w:r>
      <w:r>
        <w:rPr>
          <w:rFonts w:asciiTheme="majorHAnsi" w:hAnsiTheme="majorHAnsi" w:cstheme="majorHAnsi"/>
        </w:rPr>
        <w:t>data collected from</w:t>
      </w:r>
      <w:r w:rsidR="000D57DD">
        <w:rPr>
          <w:rFonts w:asciiTheme="majorHAnsi" w:hAnsiTheme="majorHAnsi" w:cstheme="majorHAnsi"/>
        </w:rPr>
        <w:t xml:space="preserve"> attendees receiving </w:t>
      </w:r>
      <w:r>
        <w:rPr>
          <w:rFonts w:asciiTheme="majorHAnsi" w:hAnsiTheme="majorHAnsi" w:cstheme="majorHAnsi"/>
        </w:rPr>
        <w:t xml:space="preserve">in-person </w:t>
      </w:r>
      <w:r w:rsidR="000D57DD">
        <w:rPr>
          <w:rFonts w:asciiTheme="majorHAnsi" w:hAnsiTheme="majorHAnsi" w:cstheme="majorHAnsi"/>
        </w:rPr>
        <w:t>support from Elizabeth Fry</w:t>
      </w:r>
      <w:r w:rsidR="005A3D7E">
        <w:rPr>
          <w:rFonts w:asciiTheme="majorHAnsi" w:hAnsiTheme="majorHAnsi" w:cstheme="majorHAnsi"/>
        </w:rPr>
        <w:t xml:space="preserve"> court floor</w:t>
      </w:r>
      <w:r w:rsidR="000D57DD">
        <w:rPr>
          <w:rFonts w:asciiTheme="majorHAnsi" w:hAnsiTheme="majorHAnsi" w:cstheme="majorHAnsi"/>
        </w:rPr>
        <w:t xml:space="preserve"> representatives </w:t>
      </w:r>
      <w:r>
        <w:rPr>
          <w:rFonts w:asciiTheme="majorHAnsi" w:hAnsiTheme="majorHAnsi" w:cstheme="majorHAnsi"/>
        </w:rPr>
        <w:t xml:space="preserve">between </w:t>
      </w:r>
      <w:r w:rsidR="00907763">
        <w:rPr>
          <w:rFonts w:asciiTheme="majorHAnsi" w:hAnsiTheme="majorHAnsi" w:cstheme="majorHAnsi"/>
        </w:rPr>
        <w:t>January 2017</w:t>
      </w:r>
      <w:r>
        <w:rPr>
          <w:rFonts w:asciiTheme="majorHAnsi" w:hAnsiTheme="majorHAnsi" w:cstheme="majorHAnsi"/>
        </w:rPr>
        <w:t xml:space="preserve"> and </w:t>
      </w:r>
      <w:r w:rsidR="00907763">
        <w:rPr>
          <w:rFonts w:asciiTheme="majorHAnsi" w:hAnsiTheme="majorHAnsi" w:cstheme="majorHAnsi"/>
        </w:rPr>
        <w:t>December 2018</w:t>
      </w:r>
      <w:r w:rsidR="005A3D7E">
        <w:rPr>
          <w:rFonts w:asciiTheme="majorHAnsi" w:hAnsiTheme="majorHAnsi" w:cstheme="majorHAnsi"/>
        </w:rPr>
        <w:t xml:space="preserve"> </w:t>
      </w:r>
      <w:r w:rsidR="000D57DD">
        <w:rPr>
          <w:rFonts w:asciiTheme="majorHAnsi" w:hAnsiTheme="majorHAnsi" w:cstheme="majorHAnsi"/>
        </w:rPr>
        <w:t xml:space="preserve">was assessed for </w:t>
      </w:r>
      <w:r w:rsidR="00907763">
        <w:rPr>
          <w:rFonts w:asciiTheme="majorHAnsi" w:hAnsiTheme="majorHAnsi" w:cstheme="majorHAnsi"/>
        </w:rPr>
        <w:t>relationships between demographic factors</w:t>
      </w:r>
      <w:r w:rsidR="000D57DD">
        <w:rPr>
          <w:rFonts w:asciiTheme="majorHAnsi" w:hAnsiTheme="majorHAnsi" w:cstheme="majorHAnsi"/>
        </w:rPr>
        <w:t xml:space="preserve">. </w:t>
      </w:r>
      <w:r w:rsidR="00907763">
        <w:rPr>
          <w:rFonts w:asciiTheme="majorHAnsi" w:hAnsiTheme="majorHAnsi" w:cstheme="majorHAnsi"/>
        </w:rPr>
        <w:t>Statistical a</w:t>
      </w:r>
      <w:r w:rsidR="000D57DD">
        <w:rPr>
          <w:rFonts w:asciiTheme="majorHAnsi" w:hAnsiTheme="majorHAnsi" w:cstheme="majorHAnsi"/>
        </w:rPr>
        <w:t xml:space="preserve">nalysis was carried out </w:t>
      </w:r>
      <w:r w:rsidR="00907763">
        <w:rPr>
          <w:rFonts w:asciiTheme="majorHAnsi" w:hAnsiTheme="majorHAnsi" w:cstheme="majorHAnsi"/>
        </w:rPr>
        <w:t>using</w:t>
      </w:r>
      <w:r w:rsidR="005A3D7E">
        <w:rPr>
          <w:rFonts w:asciiTheme="majorHAnsi" w:hAnsiTheme="majorHAnsi" w:cstheme="majorHAnsi"/>
        </w:rPr>
        <w:t xml:space="preserve"> </w:t>
      </w:r>
      <w:r w:rsidR="000D57DD">
        <w:rPr>
          <w:rFonts w:asciiTheme="majorHAnsi" w:hAnsiTheme="majorHAnsi" w:cstheme="majorHAnsi"/>
        </w:rPr>
        <w:t>SPSS software.</w:t>
      </w:r>
    </w:p>
    <w:p w14:paraId="74EC2B68" w14:textId="425C488E" w:rsidR="00E64BE4" w:rsidRDefault="00E64BE4" w:rsidP="00E64BE4">
      <w:pPr>
        <w:pStyle w:val="Heading2"/>
      </w:pPr>
      <w:bookmarkStart w:id="6" w:name="_Toc16262318"/>
      <w:r>
        <w:t>Results</w:t>
      </w:r>
      <w:bookmarkEnd w:id="6"/>
    </w:p>
    <w:p w14:paraId="6958374A" w14:textId="02ED6B2E" w:rsidR="00562C35" w:rsidRDefault="00562C35" w:rsidP="00562C35">
      <w:pPr>
        <w:pStyle w:val="Heading3"/>
      </w:pPr>
      <w:bookmarkStart w:id="7" w:name="_Toc16262319"/>
      <w:r>
        <w:t>Gender Distribution</w:t>
      </w:r>
      <w:bookmarkEnd w:id="7"/>
    </w:p>
    <w:p w14:paraId="6935692C" w14:textId="749E942D" w:rsidR="00102F30" w:rsidRPr="00102F30" w:rsidRDefault="00102F30" w:rsidP="00102F30">
      <w:r>
        <w:t>Men were overrepresented across all courts examined</w:t>
      </w:r>
      <w:r w:rsidR="00465329">
        <w:t xml:space="preserve">, particularly in </w:t>
      </w:r>
      <w:r w:rsidR="007952BD">
        <w:t>Domestic Court</w:t>
      </w:r>
      <w:r>
        <w:t>.</w:t>
      </w:r>
      <w:r w:rsidR="00465329">
        <w:t xml:space="preserve"> Gender distribution was most even in the </w:t>
      </w:r>
      <w:r w:rsidR="007952BD">
        <w:t xml:space="preserve">Traffic </w:t>
      </w:r>
      <w:r w:rsidR="0000706C">
        <w:t>courts.</w:t>
      </w:r>
      <w:r>
        <w:t xml:space="preserve"> </w:t>
      </w:r>
      <w:r w:rsidR="00465329">
        <w:t>Newcomer and Indigenous attendees had the most and least divergent gender distributions, respectively</w:t>
      </w:r>
      <w:r>
        <w:t>. Indigenous women were overrepresented</w:t>
      </w:r>
      <w:r w:rsidR="00465329">
        <w:t xml:space="preserve"> in most courts.</w:t>
      </w:r>
      <w:r w:rsidR="00A25662">
        <w:t xml:space="preserve"> Th</w:t>
      </w:r>
      <w:r w:rsidR="00907763">
        <w:t>ese observations are</w:t>
      </w:r>
      <w:r w:rsidR="00A25662">
        <w:t xml:space="preserve"> consistent with existing literature.</w:t>
      </w:r>
    </w:p>
    <w:p w14:paraId="7568BD30" w14:textId="482296FA" w:rsidR="00562C35" w:rsidRDefault="00562C35" w:rsidP="00562C35">
      <w:pPr>
        <w:pStyle w:val="Heading3"/>
      </w:pPr>
      <w:bookmarkStart w:id="8" w:name="_Toc16262320"/>
      <w:r>
        <w:t>Age Distribution</w:t>
      </w:r>
      <w:bookmarkEnd w:id="8"/>
    </w:p>
    <w:p w14:paraId="7206E0DD" w14:textId="4D5ED9EB" w:rsidR="00715882" w:rsidRPr="00715882" w:rsidRDefault="00DF0268" w:rsidP="00715882">
      <w:r>
        <w:t>Younger adults were overrepresented in most courts, particularly young men. This relationship was less prominent in</w:t>
      </w:r>
      <w:r w:rsidR="00907763">
        <w:t xml:space="preserve"> the</w:t>
      </w:r>
      <w:r>
        <w:t xml:space="preserve"> </w:t>
      </w:r>
      <w:r w:rsidR="007952BD">
        <w:t xml:space="preserve">Traffic </w:t>
      </w:r>
      <w:r w:rsidR="00B23591">
        <w:t>courts.</w:t>
      </w:r>
      <w:r>
        <w:t xml:space="preserve"> In</w:t>
      </w:r>
      <w:r w:rsidR="00907763">
        <w:t xml:space="preserve"> the</w:t>
      </w:r>
      <w:r>
        <w:t xml:space="preserve"> </w:t>
      </w:r>
      <w:r w:rsidR="007952BD">
        <w:t xml:space="preserve">youth </w:t>
      </w:r>
      <w:r w:rsidR="00B23591">
        <w:t>courts,</w:t>
      </w:r>
      <w:r>
        <w:t xml:space="preserve"> older adolescents represented the most contributory age strata.</w:t>
      </w:r>
      <w:r w:rsidR="00A25662">
        <w:t xml:space="preserve"> This is consistent with existing literature.</w:t>
      </w:r>
    </w:p>
    <w:p w14:paraId="0D9AAF1C" w14:textId="3CEFAE6B" w:rsidR="00562C35" w:rsidRDefault="00562C35" w:rsidP="00562C35">
      <w:pPr>
        <w:pStyle w:val="Heading3"/>
        <w:rPr>
          <w:color w:val="auto"/>
        </w:rPr>
      </w:pPr>
      <w:bookmarkStart w:id="9" w:name="_Toc16262321"/>
      <w:r w:rsidRPr="00D350B2">
        <w:rPr>
          <w:color w:val="auto"/>
        </w:rPr>
        <w:t>Minority Status</w:t>
      </w:r>
      <w:bookmarkEnd w:id="9"/>
    </w:p>
    <w:p w14:paraId="5E5C9879" w14:textId="0C166974" w:rsidR="00937F66" w:rsidRPr="00D350B2" w:rsidRDefault="00D350B2" w:rsidP="00D350B2">
      <w:r>
        <w:t xml:space="preserve">Indigenous attendees were overrepresented in all but Calgary’s </w:t>
      </w:r>
      <w:r w:rsidR="007952BD">
        <w:t>Traffic Court</w:t>
      </w:r>
      <w:r>
        <w:t xml:space="preserve">. This is especially true of the </w:t>
      </w:r>
      <w:r w:rsidR="007952BD">
        <w:t>North Adult</w:t>
      </w:r>
      <w:r>
        <w:t xml:space="preserve"> and </w:t>
      </w:r>
      <w:r w:rsidR="00B23591">
        <w:t>Y</w:t>
      </w:r>
      <w:r w:rsidR="007952BD">
        <w:t xml:space="preserve">outh </w:t>
      </w:r>
      <w:r w:rsidR="00B23591">
        <w:t>courts,</w:t>
      </w:r>
      <w:r>
        <w:t xml:space="preserve"> which </w:t>
      </w:r>
      <w:r w:rsidR="00460F73">
        <w:t>served</w:t>
      </w:r>
      <w:r>
        <w:t xml:space="preserve"> the </w:t>
      </w:r>
      <w:r w:rsidR="006B5A0C">
        <w:t>First Nation community</w:t>
      </w:r>
      <w:r>
        <w:t xml:space="preserve"> of Morley</w:t>
      </w:r>
      <w:r w:rsidR="00937F66">
        <w:t>, and had larger young adult populations</w:t>
      </w:r>
      <w:r>
        <w:t xml:space="preserve">. This trend is congruent with existing literature </w:t>
      </w:r>
      <w:r w:rsidR="00937F66">
        <w:t>on</w:t>
      </w:r>
      <w:r>
        <w:t xml:space="preserve"> the effects of social determinants, discrimination, the legacy of colonization, and intergenerational trauma</w:t>
      </w:r>
      <w:r w:rsidR="00937F66">
        <w:t xml:space="preserve"> on </w:t>
      </w:r>
      <w:r w:rsidR="006B5A0C">
        <w:t>the</w:t>
      </w:r>
      <w:r w:rsidR="00937F66">
        <w:t xml:space="preserve"> population. Newcomer attendees were broadly underrepresented in the few courts for which appropriate data for comparison was available, but were overwhelmingly overrepresented in the </w:t>
      </w:r>
      <w:r w:rsidR="007952BD">
        <w:t>Traffic courts</w:t>
      </w:r>
      <w:r w:rsidR="00937F66">
        <w:t>.</w:t>
      </w:r>
    </w:p>
    <w:p w14:paraId="09CFF7D9" w14:textId="51313F3F" w:rsidR="00562C35" w:rsidRDefault="00562C35" w:rsidP="00562C35">
      <w:pPr>
        <w:pStyle w:val="Heading3"/>
      </w:pPr>
      <w:bookmarkStart w:id="10" w:name="_Toc16262322"/>
      <w:r>
        <w:t>Family Size</w:t>
      </w:r>
      <w:bookmarkEnd w:id="10"/>
    </w:p>
    <w:p w14:paraId="69542E06" w14:textId="187EA6E8" w:rsidR="00567720" w:rsidRPr="00567720" w:rsidRDefault="00460F73" w:rsidP="00567720">
      <w:r>
        <w:t>A</w:t>
      </w:r>
      <w:r w:rsidR="00567720">
        <w:t>cross all courts</w:t>
      </w:r>
      <w:r>
        <w:t>, attendees</w:t>
      </w:r>
      <w:r w:rsidR="00567720">
        <w:t xml:space="preserve"> were </w:t>
      </w:r>
      <w:r>
        <w:t xml:space="preserve">most often </w:t>
      </w:r>
      <w:r w:rsidR="00567720">
        <w:t>part of smaller families of 1-2</w:t>
      </w:r>
      <w:r w:rsidR="005A6803">
        <w:t xml:space="preserve"> individuals</w:t>
      </w:r>
      <w:r w:rsidR="00567720">
        <w:t xml:space="preserve">. </w:t>
      </w:r>
      <w:r>
        <w:t xml:space="preserve">However, </w:t>
      </w:r>
      <w:r w:rsidR="008D12A5">
        <w:t>North Adult Court</w:t>
      </w:r>
      <w:r w:rsidR="00567720">
        <w:t xml:space="preserve"> demonstrated more even distribution across family</w:t>
      </w:r>
      <w:r w:rsidR="006365C7">
        <w:t xml:space="preserve"> </w:t>
      </w:r>
      <w:r w:rsidR="00567720">
        <w:t xml:space="preserve">sizes; Indigenous attendee families were larger, and </w:t>
      </w:r>
      <w:r>
        <w:t xml:space="preserve">more </w:t>
      </w:r>
      <w:r w:rsidR="00567720">
        <w:t xml:space="preserve">significantly represented in this court.  </w:t>
      </w:r>
    </w:p>
    <w:p w14:paraId="73E2E3CE" w14:textId="4E214686" w:rsidR="00DD3B77" w:rsidRDefault="00562C35" w:rsidP="00DD3B77">
      <w:pPr>
        <w:pStyle w:val="Heading3"/>
        <w:rPr>
          <w:color w:val="auto"/>
        </w:rPr>
      </w:pPr>
      <w:bookmarkStart w:id="11" w:name="_Toc16262323"/>
      <w:r w:rsidRPr="00937F66">
        <w:rPr>
          <w:color w:val="auto"/>
        </w:rPr>
        <w:t>Annual Household Income</w:t>
      </w:r>
      <w:bookmarkEnd w:id="11"/>
    </w:p>
    <w:p w14:paraId="640969AB" w14:textId="5EF483A2" w:rsidR="00937F66" w:rsidRPr="00937F66" w:rsidRDefault="00937F66" w:rsidP="00937F66">
      <w:r>
        <w:lastRenderedPageBreak/>
        <w:t xml:space="preserve">Across all courts, a greater proportion of household incomes </w:t>
      </w:r>
      <w:r w:rsidR="00460F73">
        <w:t xml:space="preserve">of </w:t>
      </w:r>
      <w:r>
        <w:t>&lt;$15,000, and a lesser proportion of those &gt;$55,000, w</w:t>
      </w:r>
      <w:r w:rsidR="00460F73">
        <w:t>ere</w:t>
      </w:r>
      <w:r>
        <w:t xml:space="preserve"> observed in attendees with minority status. Across </w:t>
      </w:r>
      <w:r w:rsidR="007952BD">
        <w:t>adult courts</w:t>
      </w:r>
      <w:r>
        <w:t xml:space="preserve">, Indigenous attendee families </w:t>
      </w:r>
      <w:r w:rsidR="00460F73">
        <w:t xml:space="preserve">consistently </w:t>
      </w:r>
      <w:r>
        <w:t>had higher odds of falling below Market Basket Measure</w:t>
      </w:r>
      <w:r w:rsidR="00460F73">
        <w:t xml:space="preserve"> values </w:t>
      </w:r>
      <w:r>
        <w:t>than attendees without minority status</w:t>
      </w:r>
      <w:r w:rsidR="0067431F">
        <w:t xml:space="preserve">, especially in </w:t>
      </w:r>
      <w:r w:rsidR="008D12A5">
        <w:t>North Adult Court</w:t>
      </w:r>
      <w:r w:rsidR="0067431F">
        <w:t xml:space="preserve">. </w:t>
      </w:r>
      <w:r>
        <w:t xml:space="preserve">Newcomers appeared to demonstrate a similar </w:t>
      </w:r>
      <w:r w:rsidR="0067431F">
        <w:t xml:space="preserve">trend, </w:t>
      </w:r>
      <w:r>
        <w:t>however data was considerably</w:t>
      </w:r>
      <w:r w:rsidR="0067431F">
        <w:t xml:space="preserve"> l</w:t>
      </w:r>
      <w:r>
        <w:t xml:space="preserve">imited. These observations are consistent with existing literature. </w:t>
      </w:r>
    </w:p>
    <w:p w14:paraId="57D0DB05" w14:textId="41A9924B" w:rsidR="00DD3B77" w:rsidRDefault="00DD3B77" w:rsidP="00DD3B77">
      <w:pPr>
        <w:pStyle w:val="Heading3"/>
      </w:pPr>
      <w:bookmarkStart w:id="12" w:name="_Toc16262324"/>
      <w:r>
        <w:t>Support</w:t>
      </w:r>
      <w:bookmarkEnd w:id="12"/>
    </w:p>
    <w:p w14:paraId="215E0CDB" w14:textId="7C1F5115" w:rsidR="00DD3B77" w:rsidRPr="00DD3B77" w:rsidRDefault="00DD3B77" w:rsidP="00DD3B77">
      <w:r>
        <w:t xml:space="preserve">Indigenous attendees and newcomer attendees had the highest and lowest rates of support in the </w:t>
      </w:r>
      <w:r w:rsidR="007952BD">
        <w:t xml:space="preserve">youth </w:t>
      </w:r>
      <w:r w:rsidR="00D32E95">
        <w:t>courts,</w:t>
      </w:r>
      <w:r>
        <w:t xml:space="preserve"> respectively.</w:t>
      </w:r>
      <w:r w:rsidR="00D32E95">
        <w:t xml:space="preserve"> The nature of the types of supports present represents a promising area for future study.</w:t>
      </w:r>
    </w:p>
    <w:p w14:paraId="5FA17AD6" w14:textId="668F3F98" w:rsidR="00562C35" w:rsidRPr="0067431F" w:rsidRDefault="00562C35" w:rsidP="00562C35">
      <w:pPr>
        <w:pStyle w:val="Heading3"/>
        <w:rPr>
          <w:color w:val="auto"/>
        </w:rPr>
      </w:pPr>
      <w:bookmarkStart w:id="13" w:name="_Toc16262325"/>
      <w:r w:rsidRPr="0067431F">
        <w:rPr>
          <w:color w:val="auto"/>
        </w:rPr>
        <w:t>Offences</w:t>
      </w:r>
      <w:bookmarkEnd w:id="13"/>
    </w:p>
    <w:p w14:paraId="526A4804" w14:textId="530316C8" w:rsidR="0067431F" w:rsidRPr="0067431F" w:rsidRDefault="0067431F" w:rsidP="0067431F">
      <w:r>
        <w:t xml:space="preserve">Charges preceding administration offences in all </w:t>
      </w:r>
      <w:r w:rsidR="004405B6">
        <w:t>A</w:t>
      </w:r>
      <w:r w:rsidR="007952BD">
        <w:t>dult courts</w:t>
      </w:r>
      <w:r>
        <w:t xml:space="preserve"> were overwhelmingly criminal, while the most common administration charge was failure to appear. The most common bylaw offences for all groups included Calgary </w:t>
      </w:r>
      <w:r w:rsidR="00620910">
        <w:t>traffic offences</w:t>
      </w:r>
      <w:r>
        <w:t xml:space="preserve"> and other bylaw offences. The most common offence in all </w:t>
      </w:r>
      <w:r w:rsidR="007952BD">
        <w:t>Traffic courts</w:t>
      </w:r>
      <w:r>
        <w:t xml:space="preserve">, in all minority status groups, was speeding. Indigenous attendees had higher odds of having several </w:t>
      </w:r>
      <w:r w:rsidR="00620910">
        <w:t>traffic offence</w:t>
      </w:r>
      <w:r>
        <w:t xml:space="preserve"> types, </w:t>
      </w:r>
      <w:r w:rsidR="00460F73">
        <w:t>and</w:t>
      </w:r>
      <w:r>
        <w:t xml:space="preserve"> newcomers higher o</w:t>
      </w:r>
      <w:r w:rsidR="00460F73">
        <w:t>dd</w:t>
      </w:r>
      <w:r>
        <w:t xml:space="preserve">s of nearly every </w:t>
      </w:r>
      <w:r w:rsidR="00620910">
        <w:t>traffic offence</w:t>
      </w:r>
      <w:r>
        <w:t xml:space="preserve"> type, than individuals without minority status. Newcomers conversely had lower odds of having </w:t>
      </w:r>
      <w:r w:rsidR="00460F73">
        <w:t>offences related to</w:t>
      </w:r>
      <w:r>
        <w:t xml:space="preserve"> careless driving, or failure to provide a licence or registration. </w:t>
      </w:r>
    </w:p>
    <w:p w14:paraId="15C09365" w14:textId="6C85CBA6" w:rsidR="00562C35" w:rsidRDefault="00562C35" w:rsidP="00562C35">
      <w:pPr>
        <w:pStyle w:val="Heading3"/>
      </w:pPr>
      <w:bookmarkStart w:id="14" w:name="_Toc16262326"/>
      <w:r>
        <w:t>Appearances</w:t>
      </w:r>
      <w:bookmarkEnd w:id="14"/>
      <w:r>
        <w:t xml:space="preserve"> </w:t>
      </w:r>
    </w:p>
    <w:p w14:paraId="63E29B89" w14:textId="2CE54728" w:rsidR="00850A7C" w:rsidRPr="00850A7C" w:rsidRDefault="00850A7C" w:rsidP="00850A7C">
      <w:r>
        <w:t xml:space="preserve">Across all courts for which data was available, attendees were most commonly </w:t>
      </w:r>
      <w:r w:rsidR="00460F73">
        <w:t>present for</w:t>
      </w:r>
      <w:r>
        <w:t xml:space="preserve"> a first appearance.</w:t>
      </w:r>
    </w:p>
    <w:p w14:paraId="009A8805" w14:textId="6A9F4933" w:rsidR="00562C35" w:rsidRDefault="00562C35" w:rsidP="00562C35">
      <w:pPr>
        <w:pStyle w:val="Heading3"/>
      </w:pPr>
      <w:bookmarkStart w:id="15" w:name="_Toc16262327"/>
      <w:r>
        <w:t>Legal Representation</w:t>
      </w:r>
      <w:bookmarkEnd w:id="15"/>
    </w:p>
    <w:p w14:paraId="7BC81067" w14:textId="452E1BAB" w:rsidR="001E1802" w:rsidRPr="001E1802" w:rsidRDefault="001E1802" w:rsidP="001E1802">
      <w:r>
        <w:t>Overwhelmingly, attendees did not have legal representation</w:t>
      </w:r>
      <w:r w:rsidR="002D22D4">
        <w:t xml:space="preserve">, save for in </w:t>
      </w:r>
      <w:r w:rsidR="008D12A5">
        <w:t>Calgary’s Youth Court</w:t>
      </w:r>
      <w:r w:rsidR="005A5DC1">
        <w:t>; as per the Youth Criminal Defence Act, all youth are required to have legal representation in court</w:t>
      </w:r>
      <w:r w:rsidR="002D22D4">
        <w:t xml:space="preserve">. </w:t>
      </w:r>
      <w:r w:rsidR="007952BD">
        <w:t xml:space="preserve">Youth </w:t>
      </w:r>
      <w:r w:rsidR="004405B6">
        <w:t>courts demonstrated</w:t>
      </w:r>
      <w:r w:rsidR="002D22D4">
        <w:t xml:space="preserve"> the highest proportion of attendees with legal representation</w:t>
      </w:r>
      <w:r w:rsidR="002648B0">
        <w:t xml:space="preserve"> overall,</w:t>
      </w:r>
      <w:r w:rsidR="005A5DC1">
        <w:t xml:space="preserve"> as would be expected,</w:t>
      </w:r>
      <w:r w:rsidR="002D22D4">
        <w:t xml:space="preserve"> while </w:t>
      </w:r>
      <w:r w:rsidR="007952BD">
        <w:t xml:space="preserve">Traffic courts </w:t>
      </w:r>
      <w:r w:rsidR="002D22D4">
        <w:t xml:space="preserve">demonstrated the </w:t>
      </w:r>
      <w:r w:rsidR="00460F73">
        <w:t>lowest</w:t>
      </w:r>
      <w:r w:rsidR="002D22D4">
        <w:t>.</w:t>
      </w:r>
    </w:p>
    <w:p w14:paraId="32801D8C" w14:textId="7E2A7D90" w:rsidR="00562C35" w:rsidRDefault="00562C35" w:rsidP="00562C35">
      <w:pPr>
        <w:pStyle w:val="Heading3"/>
      </w:pPr>
      <w:bookmarkStart w:id="16" w:name="_Toc16262328"/>
      <w:r>
        <w:t>Service Provision</w:t>
      </w:r>
      <w:bookmarkEnd w:id="16"/>
    </w:p>
    <w:p w14:paraId="4598D3CC" w14:textId="3ED0669C" w:rsidR="001E1802" w:rsidRPr="00F10D1D" w:rsidRDefault="001E1802" w:rsidP="001E1802">
      <w:pPr>
        <w:rPr>
          <w:color w:val="FF0000"/>
        </w:rPr>
      </w:pPr>
      <w:r>
        <w:t>On average, attendees received support services for a duration of &lt;4 minutes.</w:t>
      </w:r>
      <w:r w:rsidR="00FA7B97">
        <w:t xml:space="preserve"> This was especially true of Calgary’s </w:t>
      </w:r>
      <w:r w:rsidR="007952BD">
        <w:t>Domestic Court</w:t>
      </w:r>
      <w:r w:rsidR="00FA7B97">
        <w:t xml:space="preserve">, while the </w:t>
      </w:r>
      <w:r w:rsidR="007952BD">
        <w:t>North</w:t>
      </w:r>
      <w:r w:rsidR="00FA7B97">
        <w:t xml:space="preserve"> and </w:t>
      </w:r>
      <w:r w:rsidR="008D12A5">
        <w:t>South Youth Court</w:t>
      </w:r>
      <w:r w:rsidR="007952BD">
        <w:t>s</w:t>
      </w:r>
      <w:r w:rsidR="00FA7B97">
        <w:t xml:space="preserve">, and </w:t>
      </w:r>
      <w:r w:rsidR="008D12A5">
        <w:t>South Adult Court</w:t>
      </w:r>
      <w:r w:rsidR="00FA7B97">
        <w:t>, demonstrated higher proportions of individuals requiring longer term supports</w:t>
      </w:r>
      <w:r w:rsidR="009500C8">
        <w:t xml:space="preserve"> of ≥15 minutes</w:t>
      </w:r>
      <w:r w:rsidR="00FA7B97">
        <w:t xml:space="preserve">. </w:t>
      </w:r>
      <w:r w:rsidR="00466DAB">
        <w:t>This is believed to reflect</w:t>
      </w:r>
      <w:r w:rsidR="00B430FC">
        <w:t xml:space="preserve"> </w:t>
      </w:r>
      <w:r w:rsidR="00466DAB">
        <w:t>the differing processes and organization of</w:t>
      </w:r>
      <w:r w:rsidR="00B430FC">
        <w:t xml:space="preserve"> </w:t>
      </w:r>
      <w:r w:rsidR="00466DAB">
        <w:t>the courts</w:t>
      </w:r>
      <w:r w:rsidR="00B430FC">
        <w:t xml:space="preserve">, </w:t>
      </w:r>
      <w:r w:rsidR="009500C8">
        <w:t xml:space="preserve">their volume, the experience and expertise of court floor representatives, </w:t>
      </w:r>
      <w:r w:rsidR="00B430FC">
        <w:t xml:space="preserve">as well as the demographics </w:t>
      </w:r>
      <w:r w:rsidR="009500C8">
        <w:t>served by each court</w:t>
      </w:r>
      <w:r w:rsidR="00466DAB">
        <w:t>.</w:t>
      </w:r>
    </w:p>
    <w:p w14:paraId="5543450A" w14:textId="6678EC97" w:rsidR="000A4DDE" w:rsidRPr="00C30BE4" w:rsidRDefault="00562C35" w:rsidP="0034351E">
      <w:pPr>
        <w:pStyle w:val="Heading2"/>
      </w:pPr>
      <w:bookmarkStart w:id="17" w:name="_Toc16262329"/>
      <w:r>
        <w:t>Conclusions</w:t>
      </w:r>
      <w:bookmarkEnd w:id="17"/>
      <w:r>
        <w:t xml:space="preserve"> </w:t>
      </w:r>
    </w:p>
    <w:p w14:paraId="7750B1C4" w14:textId="62CAAE3B" w:rsidR="00D61C71" w:rsidRDefault="008E1A4D" w:rsidP="004163DE">
      <w:r>
        <w:t xml:space="preserve">Overall, </w:t>
      </w:r>
      <w:r w:rsidR="0087796E">
        <w:t>the trends</w:t>
      </w:r>
      <w:r>
        <w:t xml:space="preserve"> observed</w:t>
      </w:r>
      <w:r w:rsidR="005A3D7E">
        <w:t xml:space="preserve"> in attendees receiving services through the Elizabeth Fry Society</w:t>
      </w:r>
      <w:r>
        <w:t xml:space="preserve"> </w:t>
      </w:r>
      <w:r w:rsidR="00460F73">
        <w:t xml:space="preserve">of Calgary </w:t>
      </w:r>
      <w:r w:rsidR="0087796E">
        <w:t xml:space="preserve">largely </w:t>
      </w:r>
      <w:r w:rsidR="005A3D7E">
        <w:t>mirrored those cited in</w:t>
      </w:r>
      <w:r w:rsidR="00460F73">
        <w:t xml:space="preserve"> existing</w:t>
      </w:r>
      <w:r w:rsidR="005A3D7E">
        <w:t xml:space="preserve"> literature, and regional statistics. </w:t>
      </w:r>
      <w:r>
        <w:t>Familiarity with the population</w:t>
      </w:r>
      <w:r w:rsidR="0087796E">
        <w:t xml:space="preserve"> </w:t>
      </w:r>
      <w:r>
        <w:t xml:space="preserve">served may </w:t>
      </w:r>
      <w:r w:rsidR="0087796E">
        <w:t>help direct</w:t>
      </w:r>
      <w:r>
        <w:t xml:space="preserve"> service</w:t>
      </w:r>
      <w:r w:rsidR="0087796E">
        <w:t xml:space="preserve"> approaches</w:t>
      </w:r>
      <w:r>
        <w:t xml:space="preserve">. Several areas for future exploration were noted that may </w:t>
      </w:r>
      <w:r w:rsidR="0087796E">
        <w:t>uncover</w:t>
      </w:r>
      <w:r>
        <w:t xml:space="preserve"> more nuanced relationships</w:t>
      </w:r>
      <w:r w:rsidR="00FE6224">
        <w:t>, particularly those</w:t>
      </w:r>
      <w:r>
        <w:t xml:space="preserve"> </w:t>
      </w:r>
      <w:r w:rsidR="0087796E">
        <w:t>involving</w:t>
      </w:r>
      <w:r>
        <w:t xml:space="preserve"> minority status, and fill in </w:t>
      </w:r>
      <w:r w:rsidR="0087796E">
        <w:t xml:space="preserve">existing </w:t>
      </w:r>
      <w:r>
        <w:t>information deficits.</w:t>
      </w:r>
    </w:p>
    <w:p w14:paraId="2D586285" w14:textId="32C85951" w:rsidR="00091386" w:rsidRDefault="00091386" w:rsidP="0034351E"/>
    <w:p w14:paraId="4B173977" w14:textId="404743D0" w:rsidR="00091386" w:rsidRDefault="00091386" w:rsidP="0034351E"/>
    <w:p w14:paraId="09015D14" w14:textId="77777777" w:rsidR="00091386" w:rsidRPr="0093015F" w:rsidRDefault="00091386" w:rsidP="0034351E"/>
    <w:p w14:paraId="09E012E7" w14:textId="0F84D4DE" w:rsidR="0061078A" w:rsidRDefault="00133894" w:rsidP="00F35504">
      <w:pPr>
        <w:pStyle w:val="Heading1"/>
        <w:rPr>
          <w:b w:val="0"/>
          <w:bCs w:val="0"/>
        </w:rPr>
      </w:pPr>
      <w:bookmarkStart w:id="18" w:name="_Toc16262330"/>
      <w:r>
        <w:rPr>
          <w:b w:val="0"/>
          <w:bCs w:val="0"/>
        </w:rPr>
        <w:lastRenderedPageBreak/>
        <w:t>Background</w:t>
      </w:r>
      <w:bookmarkEnd w:id="18"/>
      <w:r w:rsidR="0061078A">
        <w:rPr>
          <w:b w:val="0"/>
          <w:bCs w:val="0"/>
        </w:rPr>
        <w:t xml:space="preserve"> </w:t>
      </w:r>
    </w:p>
    <w:p w14:paraId="109A7FF6" w14:textId="421E6CDB" w:rsidR="001F0DF7" w:rsidRPr="00C06D53" w:rsidRDefault="001F0DF7" w:rsidP="001F0DF7">
      <w:pPr>
        <w:pStyle w:val="Heading2"/>
        <w:rPr>
          <w:shd w:val="clear" w:color="auto" w:fill="FFFFFF"/>
        </w:rPr>
      </w:pPr>
      <w:bookmarkStart w:id="19" w:name="_Toc16262331"/>
      <w:r>
        <w:rPr>
          <w:shd w:val="clear" w:color="auto" w:fill="FFFFFF"/>
        </w:rPr>
        <w:t>Demographics of Corrections in Canada</w:t>
      </w:r>
      <w:bookmarkEnd w:id="19"/>
    </w:p>
    <w:p w14:paraId="32C18A14" w14:textId="3AC53618" w:rsidR="001F0DF7" w:rsidRDefault="00531AE9" w:rsidP="004163DE">
      <w:r>
        <w:t xml:space="preserve">The </w:t>
      </w:r>
      <w:r w:rsidR="00547370">
        <w:t xml:space="preserve">current </w:t>
      </w:r>
      <w:r>
        <w:t xml:space="preserve">composition of court attendees at a national level </w:t>
      </w:r>
      <w:r w:rsidR="00547370">
        <w:t>reflects longstanding, well-documented trends</w:t>
      </w:r>
      <w:r w:rsidR="005168A9">
        <w:t xml:space="preserve">. Overrepresentation of certain demographic groups has been attributed to a variety of factors, including but not limited to poverty, discrimination, and the enduring effects of </w:t>
      </w:r>
      <w:r w:rsidR="005168A9" w:rsidRPr="00063851">
        <w:t>colonization (</w:t>
      </w:r>
      <w:r w:rsidR="00063851" w:rsidRPr="00063851">
        <w:t>Kanters, 2018</w:t>
      </w:r>
      <w:r w:rsidR="005168A9" w:rsidRPr="00063851">
        <w:t xml:space="preserve">). </w:t>
      </w:r>
      <w:r w:rsidR="00C31A43" w:rsidRPr="00063851">
        <w:t>However, patterns observed at a national level do not always reflect those apparent l</w:t>
      </w:r>
      <w:r w:rsidR="00C31A43">
        <w:t xml:space="preserve">ocally. This report aims to explore the </w:t>
      </w:r>
      <w:r w:rsidR="009E5190">
        <w:t>trends</w:t>
      </w:r>
      <w:r w:rsidR="00C31A43">
        <w:t xml:space="preserve"> apparent in attendees at Calgary’s, </w:t>
      </w:r>
      <w:r w:rsidR="007952BD">
        <w:t>North</w:t>
      </w:r>
      <w:r w:rsidR="00C31A43">
        <w:t xml:space="preserve"> (Cochrane, Didsbury, and Canmore), and </w:t>
      </w:r>
      <w:r w:rsidR="007952BD">
        <w:t>South</w:t>
      </w:r>
      <w:r w:rsidR="00C31A43">
        <w:t xml:space="preserve"> (Airdrie and Okotoks) courts – specifically, in defendants receiving support services through the Elizabeth Fry Society of Calgary. Trends in demographic distribution </w:t>
      </w:r>
      <w:r w:rsidR="00AE1C23">
        <w:t>were</w:t>
      </w:r>
      <w:r w:rsidR="00C31A43">
        <w:t xml:space="preserve"> assessed for congruency with existing </w:t>
      </w:r>
      <w:r w:rsidR="00950363">
        <w:t xml:space="preserve">data and </w:t>
      </w:r>
      <w:r w:rsidR="00C31A43">
        <w:t>literature.</w:t>
      </w:r>
    </w:p>
    <w:p w14:paraId="7DAC234B" w14:textId="4028E5AB" w:rsidR="001F0DF7" w:rsidRDefault="001F0DF7" w:rsidP="001F0DF7">
      <w:pPr>
        <w:pStyle w:val="Heading2"/>
      </w:pPr>
      <w:bookmarkStart w:id="20" w:name="_Toc16262332"/>
      <w:r>
        <w:t>Poverty</w:t>
      </w:r>
      <w:bookmarkEnd w:id="20"/>
    </w:p>
    <w:p w14:paraId="2CCB6594" w14:textId="11FB316C" w:rsidR="006B651B" w:rsidRPr="004163DE" w:rsidRDefault="004163DE" w:rsidP="004163DE">
      <w:r w:rsidRPr="004163DE">
        <w:rPr>
          <w:rFonts w:cs="Arial"/>
          <w:noProof/>
          <w:lang w:val="en-US"/>
        </w:rPr>
        <mc:AlternateContent>
          <mc:Choice Requires="wps">
            <w:drawing>
              <wp:anchor distT="228600" distB="228600" distL="228600" distR="228600" simplePos="0" relativeHeight="256220672" behindDoc="0" locked="0" layoutInCell="1" allowOverlap="1" wp14:anchorId="23836890" wp14:editId="48F1D6C5">
                <wp:simplePos x="0" y="0"/>
                <wp:positionH relativeFrom="margin">
                  <wp:posOffset>0</wp:posOffset>
                </wp:positionH>
                <wp:positionV relativeFrom="margin">
                  <wp:posOffset>6106795</wp:posOffset>
                </wp:positionV>
                <wp:extent cx="3476625" cy="2002155"/>
                <wp:effectExtent l="0" t="0" r="0" b="0"/>
                <wp:wrapSquare wrapText="bothSides"/>
                <wp:docPr id="469" name="Rectangle 469"/>
                <wp:cNvGraphicFramePr/>
                <a:graphic xmlns:a="http://schemas.openxmlformats.org/drawingml/2006/main">
                  <a:graphicData uri="http://schemas.microsoft.com/office/word/2010/wordprocessingShape">
                    <wps:wsp>
                      <wps:cNvSpPr/>
                      <wps:spPr>
                        <a:xfrm>
                          <a:off x="0" y="0"/>
                          <a:ext cx="3476625" cy="200215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49E9F779" w14:textId="3618671D" w:rsidR="00A56EB4" w:rsidRDefault="00A56EB4" w:rsidP="00547370">
                            <w:pPr>
                              <w:rPr>
                                <w:color w:val="FFFFFF" w:themeColor="background1"/>
                                <w:sz w:val="28"/>
                                <w:szCs w:val="28"/>
                              </w:rPr>
                            </w:pPr>
                            <w:r>
                              <w:rPr>
                                <w:color w:val="FFFFFF" w:themeColor="background1"/>
                                <w:sz w:val="28"/>
                                <w:szCs w:val="28"/>
                              </w:rPr>
                              <w:t>Individuals with criminal records face unique challenges securing housing and employment.</w:t>
                            </w:r>
                          </w:p>
                          <w:p w14:paraId="2FC7C15D" w14:textId="7784A3CC" w:rsidR="00A56EB4" w:rsidRDefault="00A56EB4" w:rsidP="00547370">
                            <w:pPr>
                              <w:pStyle w:val="NoSpacing"/>
                              <w:ind w:left="360"/>
                              <w:rPr>
                                <w:caps/>
                                <w:color w:val="FFFFFF" w:themeColor="background1"/>
                              </w:rPr>
                            </w:pPr>
                            <w:r>
                              <w:rPr>
                                <w:caps/>
                                <w:color w:val="FFFFFF" w:themeColor="background1"/>
                              </w:rPr>
                              <w:t>Statistics canada, 2017; Kanters, 2018</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rect w14:anchorId="23836890" id="Rectangle 469" o:spid="_x0000_s1037" style="position:absolute;margin-left:0;margin-top:480.85pt;width:273.75pt;height:157.65pt;z-index:256220672;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" fillcolor="#7cca62 [3208]" stroked="f">
                <v:textbox style="mso-fit-shape-to-text:t" inset="18pt,18pt,18pt,18pt">
                  <w:txbxContent>
                    <w:p w14:paraId="49E9F779" w14:textId="3618671D" w:rsidR="00A56EB4" w:rsidRDefault="00A56EB4" w:rsidP="00547370">
                      <w:pPr>
                        <w:rPr>
                          <w:color w:val="FFFFFF" w:themeColor="background1"/>
                          <w:sz w:val="28"/>
                          <w:szCs w:val="28"/>
                        </w:rPr>
                      </w:pPr>
                      <w:r>
                        <w:rPr>
                          <w:color w:val="FFFFFF" w:themeColor="background1"/>
                          <w:sz w:val="28"/>
                          <w:szCs w:val="28"/>
                        </w:rPr>
                        <w:t>Individuals with criminal records face unique challenges securing housing and employment.</w:t>
                      </w:r>
                    </w:p>
                    <w:p w14:paraId="2FC7C15D" w14:textId="7784A3CC" w:rsidR="00A56EB4" w:rsidRDefault="00A56EB4" w:rsidP="00547370">
                      <w:pPr>
                        <w:pStyle w:val="NoSpacing"/>
                        <w:ind w:left="360"/>
                        <w:rPr>
                          <w:caps/>
                          <w:color w:val="FFFFFF" w:themeColor="background1"/>
                        </w:rPr>
                      </w:pPr>
                      <w:r>
                        <w:rPr>
                          <w:caps/>
                          <w:color w:val="FFFFFF" w:themeColor="background1"/>
                        </w:rPr>
                        <w:t>Statistics canada, 2017; Kanters, 2018</w:t>
                      </w:r>
                    </w:p>
                  </w:txbxContent>
                </v:textbox>
                <w10:wrap type="square" anchorx="margin" anchory="margin"/>
              </v:rect>
            </w:pict>
          </mc:Fallback>
        </mc:AlternateContent>
      </w:r>
      <w:r w:rsidRPr="004163DE">
        <w:rPr>
          <w:rFonts w:cs="Arial"/>
          <w:noProof/>
          <w:lang w:val="en-US"/>
        </w:rPr>
        <mc:AlternateContent>
          <mc:Choice Requires="wps">
            <w:drawing>
              <wp:anchor distT="228600" distB="228600" distL="228600" distR="228600" simplePos="0" relativeHeight="256258560" behindDoc="0" locked="0" layoutInCell="1" allowOverlap="1" wp14:anchorId="0C739AAB" wp14:editId="00C92BB9">
                <wp:simplePos x="0" y="0"/>
                <wp:positionH relativeFrom="margin">
                  <wp:posOffset>2743200</wp:posOffset>
                </wp:positionH>
                <wp:positionV relativeFrom="margin">
                  <wp:posOffset>3221990</wp:posOffset>
                </wp:positionV>
                <wp:extent cx="3476625" cy="2002536"/>
                <wp:effectExtent l="0" t="0" r="0" b="1270"/>
                <wp:wrapSquare wrapText="bothSides"/>
                <wp:docPr id="473" name="Rectangle 473"/>
                <wp:cNvGraphicFramePr/>
                <a:graphic xmlns:a="http://schemas.openxmlformats.org/drawingml/2006/main">
                  <a:graphicData uri="http://schemas.microsoft.com/office/word/2010/wordprocessingShape">
                    <wps:wsp>
                      <wps:cNvSpPr/>
                      <wps:spPr>
                        <a:xfrm>
                          <a:off x="0" y="0"/>
                          <a:ext cx="3476625" cy="2002536"/>
                        </a:xfrm>
                        <a:prstGeom prst="rect">
                          <a:avLst/>
                        </a:prstGeom>
                        <a:solidFill>
                          <a:sysClr val="windowText" lastClr="000000">
                            <a:alpha val="50000"/>
                          </a:sysClr>
                        </a:solidFill>
                        <a:ln>
                          <a:noFill/>
                        </a:ln>
                        <a:effectLst/>
                      </wps:spPr>
                      <wps:txbx>
                        <w:txbxContent>
                          <w:p w14:paraId="1D51CF8C" w14:textId="2E564810" w:rsidR="00A56EB4" w:rsidRDefault="00A56EB4" w:rsidP="00547370">
                            <w:pPr>
                              <w:rPr>
                                <w:color w:val="FFFFFF" w:themeColor="background1"/>
                                <w:sz w:val="28"/>
                                <w:szCs w:val="28"/>
                              </w:rPr>
                            </w:pPr>
                            <w:r>
                              <w:rPr>
                                <w:color w:val="FFFFFF" w:themeColor="background1"/>
                                <w:sz w:val="28"/>
                                <w:szCs w:val="28"/>
                              </w:rPr>
                              <w:t>Homelessness is a well recognized predictor for participation in illegal activity, as a means of survival.</w:t>
                            </w:r>
                          </w:p>
                          <w:p w14:paraId="669401A1" w14:textId="35D53A88" w:rsidR="00A56EB4" w:rsidRDefault="00A56EB4" w:rsidP="00547370">
                            <w:pPr>
                              <w:pStyle w:val="NoSpacing"/>
                              <w:ind w:left="360"/>
                              <w:rPr>
                                <w:caps/>
                                <w:color w:val="FFFFFF" w:themeColor="background1"/>
                              </w:rPr>
                            </w:pPr>
                            <w:r>
                              <w:rPr>
                                <w:caps/>
                                <w:color w:val="FFFFFF" w:themeColor="background1"/>
                              </w:rPr>
                              <w:t>Roebuck, 2008</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rect w14:anchorId="0C739AAB" id="Rectangle 473" o:spid="_x0000_s1038" style="position:absolute;margin-left:3in;margin-top:253.7pt;width:273.75pt;height:157.7pt;z-index:256258560;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" fillcolor="windowText" stroked="f">
                <v:fill opacity="32896f"/>
                <v:textbox style="mso-fit-shape-to-text:t" inset="18pt,18pt,18pt,18pt">
                  <w:txbxContent>
                    <w:p w14:paraId="1D51CF8C" w14:textId="2E564810" w:rsidR="00A56EB4" w:rsidRDefault="00A56EB4" w:rsidP="00547370">
                      <w:pPr>
                        <w:rPr>
                          <w:color w:val="FFFFFF" w:themeColor="background1"/>
                          <w:sz w:val="28"/>
                          <w:szCs w:val="28"/>
                        </w:rPr>
                      </w:pPr>
                      <w:r>
                        <w:rPr>
                          <w:color w:val="FFFFFF" w:themeColor="background1"/>
                          <w:sz w:val="28"/>
                          <w:szCs w:val="28"/>
                        </w:rPr>
                        <w:t>Homelessness is a well recognized predictor for participation in illegal activity, as a means of survival.</w:t>
                      </w:r>
                    </w:p>
                    <w:p w14:paraId="669401A1" w14:textId="35D53A88" w:rsidR="00A56EB4" w:rsidRDefault="00A56EB4" w:rsidP="00547370">
                      <w:pPr>
                        <w:pStyle w:val="NoSpacing"/>
                        <w:ind w:left="360"/>
                        <w:rPr>
                          <w:caps/>
                          <w:color w:val="FFFFFF" w:themeColor="background1"/>
                        </w:rPr>
                      </w:pPr>
                      <w:r>
                        <w:rPr>
                          <w:caps/>
                          <w:color w:val="FFFFFF" w:themeColor="background1"/>
                        </w:rPr>
                        <w:t>Roebuck, 2008</w:t>
                      </w:r>
                    </w:p>
                  </w:txbxContent>
                </v:textbox>
                <w10:wrap type="square" anchorx="margin" anchory="margin"/>
              </v:rect>
            </w:pict>
          </mc:Fallback>
        </mc:AlternateContent>
      </w:r>
      <w:r w:rsidR="006533E8" w:rsidRPr="004163DE">
        <w:rPr>
          <w:shd w:val="clear" w:color="auto" w:fill="FCFCFC"/>
        </w:rPr>
        <w:t>There exists a large body of literature substantiating that individuals living in poverty</w:t>
      </w:r>
      <w:r w:rsidR="003035E9" w:rsidRPr="004163DE">
        <w:rPr>
          <w:shd w:val="clear" w:color="auto" w:fill="FCFCFC"/>
        </w:rPr>
        <w:t xml:space="preserve"> are at a greater risk of engaging in criminal activities </w:t>
      </w:r>
      <w:r w:rsidR="000C4F29" w:rsidRPr="004163DE">
        <w:rPr>
          <w:shd w:val="clear" w:color="auto" w:fill="FCFCFC"/>
        </w:rPr>
        <w:t>(McFarlane and Milaney, 2008)</w:t>
      </w:r>
      <w:r w:rsidR="003035E9" w:rsidRPr="004163DE">
        <w:rPr>
          <w:shd w:val="clear" w:color="auto" w:fill="FCFCFC"/>
        </w:rPr>
        <w:t>. In fact, within Alberta’s correctional system, a documented 74% of women lacked the financial resources to meet their basic needs</w:t>
      </w:r>
      <w:r w:rsidR="00AE1C23" w:rsidRPr="004163DE">
        <w:rPr>
          <w:shd w:val="clear" w:color="auto" w:fill="FCFCFC"/>
        </w:rPr>
        <w:t xml:space="preserve"> at the time of their conviction</w:t>
      </w:r>
      <w:r w:rsidR="003035E9" w:rsidRPr="004163DE">
        <w:rPr>
          <w:shd w:val="clear" w:color="auto" w:fill="FCFCFC"/>
        </w:rPr>
        <w:t xml:space="preserve"> (</w:t>
      </w:r>
      <w:r w:rsidR="000C4F29" w:rsidRPr="004163DE">
        <w:rPr>
          <w:shd w:val="clear" w:color="auto" w:fill="FCFCFC"/>
        </w:rPr>
        <w:t>McFarlane and Milaney, 2008</w:t>
      </w:r>
      <w:r w:rsidR="003035E9" w:rsidRPr="004163DE">
        <w:rPr>
          <w:shd w:val="clear" w:color="auto" w:fill="FCFCFC"/>
        </w:rPr>
        <w:t>).</w:t>
      </w:r>
      <w:r w:rsidR="009D304C" w:rsidRPr="004163DE">
        <w:rPr>
          <w:shd w:val="clear" w:color="auto" w:fill="FCFCFC"/>
        </w:rPr>
        <w:t xml:space="preserve"> Across Canada, r</w:t>
      </w:r>
      <w:r w:rsidR="003035E9" w:rsidRPr="004163DE">
        <w:rPr>
          <w:shd w:val="clear" w:color="auto" w:fill="FCFCFC"/>
        </w:rPr>
        <w:t>oughly 80% of incarcerated Canadian women have been imprisoned for charges relating to poverty, in particular failure to pay fines (</w:t>
      </w:r>
      <w:r w:rsidR="000C4F29" w:rsidRPr="004163DE">
        <w:rPr>
          <w:shd w:val="clear" w:color="auto" w:fill="FCFCFC"/>
        </w:rPr>
        <w:t>McFarlane and Milaney, 2008</w:t>
      </w:r>
      <w:r w:rsidR="003035E9" w:rsidRPr="004163DE">
        <w:rPr>
          <w:shd w:val="clear" w:color="auto" w:fill="FCFCFC"/>
        </w:rPr>
        <w:t>).</w:t>
      </w:r>
      <w:r w:rsidR="009D304C" w:rsidRPr="004163DE">
        <w:rPr>
          <w:shd w:val="clear" w:color="auto" w:fill="FCFCFC"/>
        </w:rPr>
        <w:t xml:space="preserve"> </w:t>
      </w:r>
      <w:r w:rsidRPr="004163DE">
        <w:rPr>
          <w:shd w:val="clear" w:color="auto" w:fill="FCFCFC"/>
        </w:rPr>
        <w:t xml:space="preserve">Homelessness is a recognized predictor for participation in illegal activity, as a means of survival (Roebuck, 2008). </w:t>
      </w:r>
      <w:r w:rsidR="009D304C" w:rsidRPr="004163DE">
        <w:rPr>
          <w:shd w:val="clear" w:color="auto" w:fill="FCFCFC"/>
        </w:rPr>
        <w:t xml:space="preserve">The deleterious effects of poverty-related incarceration are </w:t>
      </w:r>
      <w:r w:rsidR="00AE1C23" w:rsidRPr="004163DE">
        <w:rPr>
          <w:shd w:val="clear" w:color="auto" w:fill="FCFCFC"/>
        </w:rPr>
        <w:t>understood to perpetuate</w:t>
      </w:r>
      <w:r w:rsidR="009D304C" w:rsidRPr="004163DE">
        <w:rPr>
          <w:shd w:val="clear" w:color="auto" w:fill="FCFCFC"/>
        </w:rPr>
        <w:t xml:space="preserve"> the cycle of poverty (</w:t>
      </w:r>
      <w:r w:rsidR="000C4F29" w:rsidRPr="004163DE">
        <w:rPr>
          <w:shd w:val="clear" w:color="auto" w:fill="FCFCFC"/>
        </w:rPr>
        <w:t>McFarlane and Milaney, 2008).</w:t>
      </w:r>
      <w:r w:rsidR="00681FE2" w:rsidRPr="004163DE">
        <w:rPr>
          <w:shd w:val="clear" w:color="auto" w:fill="FCFCFC"/>
        </w:rPr>
        <w:t xml:space="preserve"> </w:t>
      </w:r>
      <w:r w:rsidR="00AE1C23" w:rsidRPr="004163DE">
        <w:rPr>
          <w:shd w:val="clear" w:color="auto" w:fill="FCFCFC"/>
        </w:rPr>
        <w:t>A</w:t>
      </w:r>
      <w:r w:rsidR="009D304C" w:rsidRPr="004163DE">
        <w:rPr>
          <w:shd w:val="clear" w:color="auto" w:fill="FCFCFC"/>
        </w:rPr>
        <w:t xml:space="preserve"> </w:t>
      </w:r>
      <w:r w:rsidR="00AE1C23" w:rsidRPr="004163DE">
        <w:rPr>
          <w:shd w:val="clear" w:color="auto" w:fill="FCFCFC"/>
        </w:rPr>
        <w:t>charge on a</w:t>
      </w:r>
      <w:r w:rsidRPr="004163DE">
        <w:rPr>
          <w:shd w:val="clear" w:color="auto" w:fill="FCFCFC"/>
        </w:rPr>
        <w:t xml:space="preserve"> police</w:t>
      </w:r>
      <w:r w:rsidR="00AE1C23" w:rsidRPr="004163DE">
        <w:rPr>
          <w:shd w:val="clear" w:color="auto" w:fill="FCFCFC"/>
        </w:rPr>
        <w:t xml:space="preserve"> information check</w:t>
      </w:r>
      <w:r w:rsidR="009D304C" w:rsidRPr="004163DE">
        <w:rPr>
          <w:shd w:val="clear" w:color="auto" w:fill="FCFCFC"/>
        </w:rPr>
        <w:t>, frequently re</w:t>
      </w:r>
      <w:r w:rsidR="00AE1C23" w:rsidRPr="004163DE">
        <w:rPr>
          <w:shd w:val="clear" w:color="auto" w:fill="FCFCFC"/>
        </w:rPr>
        <w:t>quested</w:t>
      </w:r>
      <w:r w:rsidR="009D304C" w:rsidRPr="004163DE">
        <w:rPr>
          <w:shd w:val="clear" w:color="auto" w:fill="FCFCFC"/>
        </w:rPr>
        <w:t xml:space="preserve"> by employers </w:t>
      </w:r>
      <w:r w:rsidR="004B6032" w:rsidRPr="004163DE">
        <w:rPr>
          <w:shd w:val="clear" w:color="auto" w:fill="FCFCFC"/>
        </w:rPr>
        <w:t>(</w:t>
      </w:r>
      <w:r w:rsidR="004B6032" w:rsidRPr="004163DE">
        <w:rPr>
          <w:shd w:val="clear" w:color="auto" w:fill="FFFFFF"/>
        </w:rPr>
        <w:t>Centre for Public Legal Education of Alberta, 2015</w:t>
      </w:r>
      <w:r w:rsidR="009D304C" w:rsidRPr="004163DE">
        <w:rPr>
          <w:shd w:val="clear" w:color="auto" w:fill="FCFCFC"/>
        </w:rPr>
        <w:t xml:space="preserve">), </w:t>
      </w:r>
      <w:r w:rsidR="009D304C" w:rsidRPr="004163DE">
        <w:t>has the potential to affect an individual’s earning potential and employability in a significant way (</w:t>
      </w:r>
      <w:r w:rsidR="00063851" w:rsidRPr="004163DE">
        <w:t>Brown, 2019</w:t>
      </w:r>
      <w:r w:rsidR="009D304C" w:rsidRPr="004163DE">
        <w:t>).</w:t>
      </w:r>
      <w:r w:rsidR="00317DDA" w:rsidRPr="004163DE">
        <w:t xml:space="preserve"> Few jurisdictions offer protections against employment discrimination for individuals with criminal records (</w:t>
      </w:r>
      <w:r w:rsidR="003D1282" w:rsidRPr="004163DE">
        <w:t>Statistics Canada, 2017)</w:t>
      </w:r>
      <w:r w:rsidR="00317DDA" w:rsidRPr="004163DE">
        <w:t>.</w:t>
      </w:r>
      <w:r w:rsidR="009D304C" w:rsidRPr="004163DE">
        <w:t xml:space="preserve"> Similarly, </w:t>
      </w:r>
      <w:r w:rsidR="00317DDA" w:rsidRPr="004163DE">
        <w:t xml:space="preserve">individuals with criminal records face unique challenges securing housing </w:t>
      </w:r>
      <w:r w:rsidR="000B504E" w:rsidRPr="004163DE">
        <w:rPr>
          <w:rFonts w:cs="Arial"/>
          <w:shd w:val="clear" w:color="auto" w:fill="FFFFFF"/>
        </w:rPr>
        <w:t>(Kanters, 2018</w:t>
      </w:r>
      <w:r w:rsidRPr="004163DE">
        <w:rPr>
          <w:rFonts w:cs="Arial"/>
          <w:shd w:val="clear" w:color="auto" w:fill="FFFFFF"/>
        </w:rPr>
        <w:t xml:space="preserve">). </w:t>
      </w:r>
      <w:r w:rsidR="00317DDA" w:rsidRPr="004163DE">
        <w:t xml:space="preserve">A criminal record can prove a barrier to obtaining approval for social housing, while landlords reserve the right to require background checks as part of the process of applying for tenancy </w:t>
      </w:r>
      <w:r w:rsidR="003D1282" w:rsidRPr="004163DE">
        <w:t>(Statistics Canada, 2017)</w:t>
      </w:r>
      <w:r w:rsidR="00317DDA" w:rsidRPr="004163DE">
        <w:t>. Both the Alberta Human Right</w:t>
      </w:r>
      <w:r w:rsidR="00AE1C23" w:rsidRPr="004163DE">
        <w:t>s</w:t>
      </w:r>
      <w:r w:rsidR="00317DDA" w:rsidRPr="004163DE">
        <w:t xml:space="preserve"> Act (</w:t>
      </w:r>
      <w:r w:rsidR="00C22A7D" w:rsidRPr="004163DE">
        <w:t>Government of Alberta, 2000</w:t>
      </w:r>
      <w:r w:rsidR="00317DDA" w:rsidRPr="004163DE">
        <w:t>), and Residential Tenancies Act, fail to offer protections against housing discrimination on the grounds of a criminal record (</w:t>
      </w:r>
      <w:r w:rsidR="00F949E4" w:rsidRPr="004163DE">
        <w:rPr>
          <w:shd w:val="clear" w:color="auto" w:fill="FFFFFF"/>
        </w:rPr>
        <w:t>McKay-Panos, 2017</w:t>
      </w:r>
      <w:r w:rsidR="00317DDA" w:rsidRPr="004163DE">
        <w:t xml:space="preserve">). It is perhaps </w:t>
      </w:r>
      <w:r w:rsidR="009500A2" w:rsidRPr="004163DE">
        <w:t>un</w:t>
      </w:r>
      <w:r w:rsidR="00317DDA" w:rsidRPr="004163DE">
        <w:t xml:space="preserve">surprising to learn then, that incarceration is a strong predictor of homelessness </w:t>
      </w:r>
      <w:r w:rsidR="007C5213" w:rsidRPr="004163DE">
        <w:rPr>
          <w:shd w:val="clear" w:color="auto" w:fill="FCFCFC"/>
        </w:rPr>
        <w:t>(Roebuck, 2008)</w:t>
      </w:r>
      <w:r w:rsidR="00317DDA" w:rsidRPr="004163DE">
        <w:t>.</w:t>
      </w:r>
      <w:r w:rsidR="00EF4F09" w:rsidRPr="004163DE">
        <w:rPr>
          <w:u w:val="single"/>
        </w:rPr>
        <w:t xml:space="preserve"> </w:t>
      </w:r>
    </w:p>
    <w:p w14:paraId="4CA6AAAD" w14:textId="5FF6C110" w:rsidR="001F0DF7" w:rsidRDefault="001F0DF7" w:rsidP="001F0DF7">
      <w:pPr>
        <w:pStyle w:val="Heading2"/>
      </w:pPr>
      <w:bookmarkStart w:id="21" w:name="_Toc16262333"/>
      <w:r>
        <w:t>Gender</w:t>
      </w:r>
      <w:bookmarkEnd w:id="21"/>
    </w:p>
    <w:p w14:paraId="19A30AE2" w14:textId="2E2D084F" w:rsidR="006B651B" w:rsidRPr="00321C2C" w:rsidRDefault="00480CCD" w:rsidP="00480CCD">
      <w:pPr>
        <w:rPr>
          <w:color w:val="E0E012"/>
        </w:rPr>
      </w:pPr>
      <w:r w:rsidRPr="00D55688">
        <w:rPr>
          <w:rFonts w:ascii="Arial" w:hAnsi="Arial" w:cs="Arial"/>
          <w:noProof/>
          <w:color w:val="FF6600"/>
          <w:lang w:val="en-US"/>
        </w:rPr>
        <w:lastRenderedPageBreak/>
        <mc:AlternateContent>
          <mc:Choice Requires="wps">
            <w:drawing>
              <wp:anchor distT="228600" distB="228600" distL="228600" distR="228600" simplePos="0" relativeHeight="256288256" behindDoc="0" locked="0" layoutInCell="1" allowOverlap="1" wp14:anchorId="2F05B9AB" wp14:editId="409EF7C1">
                <wp:simplePos x="0" y="0"/>
                <wp:positionH relativeFrom="margin">
                  <wp:posOffset>2743200</wp:posOffset>
                </wp:positionH>
                <wp:positionV relativeFrom="margin">
                  <wp:posOffset>4008755</wp:posOffset>
                </wp:positionV>
                <wp:extent cx="3476625" cy="2002155"/>
                <wp:effectExtent l="0" t="0" r="19050" b="21590"/>
                <wp:wrapSquare wrapText="bothSides"/>
                <wp:docPr id="474" name="Rectangle 474"/>
                <wp:cNvGraphicFramePr/>
                <a:graphic xmlns:a="http://schemas.openxmlformats.org/drawingml/2006/main">
                  <a:graphicData uri="http://schemas.microsoft.com/office/word/2010/wordprocessingShape">
                    <wps:wsp>
                      <wps:cNvSpPr/>
                      <wps:spPr>
                        <a:xfrm>
                          <a:off x="0" y="0"/>
                          <a:ext cx="3476625" cy="20021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570F5A2C" w14:textId="493F39C9" w:rsidR="00A56EB4" w:rsidRDefault="00A56EB4" w:rsidP="00547370">
                            <w:pPr>
                              <w:rPr>
                                <w:color w:val="FFFFFF" w:themeColor="background1"/>
                                <w:sz w:val="28"/>
                                <w:szCs w:val="28"/>
                              </w:rPr>
                            </w:pPr>
                            <w:r>
                              <w:rPr>
                                <w:color w:val="FFFFFF" w:themeColor="background1"/>
                                <w:sz w:val="28"/>
                                <w:szCs w:val="28"/>
                              </w:rPr>
                              <w:t>The economic status of Indigenous Albertans is poorer than that of the general population.</w:t>
                            </w:r>
                          </w:p>
                          <w:p w14:paraId="03033E47" w14:textId="690CECE0" w:rsidR="00A56EB4" w:rsidRDefault="00A56EB4" w:rsidP="00547370">
                            <w:pPr>
                              <w:pStyle w:val="NoSpacing"/>
                              <w:ind w:left="360"/>
                              <w:rPr>
                                <w:caps/>
                                <w:color w:val="FFFFFF" w:themeColor="background1"/>
                              </w:rPr>
                            </w:pPr>
                            <w:r>
                              <w:rPr>
                                <w:caps/>
                                <w:color w:val="FFFFFF" w:themeColor="background1"/>
                              </w:rPr>
                              <w:t>Statistics Canada, 2013</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rect w14:anchorId="2F05B9AB" id="Rectangle 474" o:spid="_x0000_s1039" style="position:absolute;margin-left:3in;margin-top:315.65pt;width:273.75pt;height:157.65pt;z-index:256288256;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" fillcolor="#369 [3204]" strokecolor="white [3201]" strokeweight="2pt">
                <v:stroke endcap="round"/>
                <v:textbox style="mso-fit-shape-to-text:t" inset="18pt,18pt,18pt,18pt">
                  <w:txbxContent>
                    <w:p w14:paraId="570F5A2C" w14:textId="493F39C9" w:rsidR="00A56EB4" w:rsidRDefault="00A56EB4" w:rsidP="00547370">
                      <w:pPr>
                        <w:rPr>
                          <w:color w:val="FFFFFF" w:themeColor="background1"/>
                          <w:sz w:val="28"/>
                          <w:szCs w:val="28"/>
                        </w:rPr>
                      </w:pPr>
                      <w:r>
                        <w:rPr>
                          <w:color w:val="FFFFFF" w:themeColor="background1"/>
                          <w:sz w:val="28"/>
                          <w:szCs w:val="28"/>
                        </w:rPr>
                        <w:t>The economic status of Indigenous Albertans is poorer than that of the general population.</w:t>
                      </w:r>
                    </w:p>
                    <w:p w14:paraId="03033E47" w14:textId="690CECE0" w:rsidR="00A56EB4" w:rsidRDefault="00A56EB4" w:rsidP="00547370">
                      <w:pPr>
                        <w:pStyle w:val="NoSpacing"/>
                        <w:ind w:left="360"/>
                        <w:rPr>
                          <w:caps/>
                          <w:color w:val="FFFFFF" w:themeColor="background1"/>
                        </w:rPr>
                      </w:pPr>
                      <w:r>
                        <w:rPr>
                          <w:caps/>
                          <w:color w:val="FFFFFF" w:themeColor="background1"/>
                        </w:rPr>
                        <w:t>Statistics Canada, 2013</w:t>
                      </w:r>
                    </w:p>
                  </w:txbxContent>
                </v:textbox>
                <w10:wrap type="square" anchorx="margin" anchory="margin"/>
              </v:rect>
            </w:pict>
          </mc:Fallback>
        </mc:AlternateContent>
      </w:r>
      <w:r w:rsidR="005F64EA" w:rsidRPr="00480CCD">
        <w:t>It has been</w:t>
      </w:r>
      <w:r w:rsidR="00364163" w:rsidRPr="00480CCD">
        <w:t xml:space="preserve"> observed that on a national level the number of completed cases in </w:t>
      </w:r>
      <w:r>
        <w:t>A</w:t>
      </w:r>
      <w:r w:rsidR="00364163" w:rsidRPr="00480CCD">
        <w:t>dult court</w:t>
      </w:r>
      <w:r>
        <w:t>s</w:t>
      </w:r>
      <w:r w:rsidR="00364163" w:rsidRPr="00480CCD">
        <w:t xml:space="preserve"> involving a male defendant </w:t>
      </w:r>
      <w:r w:rsidR="005F64EA" w:rsidRPr="00480CCD">
        <w:t xml:space="preserve">are </w:t>
      </w:r>
      <w:r w:rsidR="00364163" w:rsidRPr="00480CCD">
        <w:t xml:space="preserve">greater than the number of cases involving a female defendant, for all offence types </w:t>
      </w:r>
      <w:r w:rsidR="003D1282" w:rsidRPr="00480CCD">
        <w:t>(Statistics Canada, 2017)</w:t>
      </w:r>
      <w:r w:rsidR="005F64EA" w:rsidRPr="00480CCD">
        <w:t xml:space="preserve">. In </w:t>
      </w:r>
      <w:r w:rsidR="00364163" w:rsidRPr="00480CCD">
        <w:t>fact, as per the findings of the Integrated Criminal Court Survey, in 2014/2015 only one in five adult</w:t>
      </w:r>
      <w:r w:rsidR="00364163">
        <w:t xml:space="preserve"> court cases in Canada involved a female attendee </w:t>
      </w:r>
      <w:r w:rsidR="007418B0">
        <w:rPr>
          <w:rFonts w:ascii="Arial" w:hAnsi="Arial" w:cs="Arial"/>
          <w:color w:val="000000"/>
          <w:sz w:val="20"/>
          <w:szCs w:val="20"/>
          <w:shd w:val="clear" w:color="auto" w:fill="FFFFFF"/>
        </w:rPr>
        <w:t>(Statistics Canada, 2017)</w:t>
      </w:r>
      <w:r w:rsidR="00364163">
        <w:t xml:space="preserve">. </w:t>
      </w:r>
      <w:r w:rsidR="009C0343" w:rsidRPr="00480CCD">
        <w:t>Young men</w:t>
      </w:r>
      <w:r w:rsidR="0095452E" w:rsidRPr="00480CCD">
        <w:t xml:space="preserve"> have historically experienced the most significant overrepresentation</w:t>
      </w:r>
      <w:r w:rsidR="009C0343" w:rsidRPr="00480CCD">
        <w:t xml:space="preserve"> in all </w:t>
      </w:r>
      <w:r>
        <w:t>A</w:t>
      </w:r>
      <w:r w:rsidR="007952BD" w:rsidRPr="00480CCD">
        <w:t xml:space="preserve">dult </w:t>
      </w:r>
      <w:r w:rsidRPr="00480CCD">
        <w:t>courts (</w:t>
      </w:r>
      <w:r w:rsidR="00E4533B" w:rsidRPr="00480CCD">
        <w:rPr>
          <w:rFonts w:cs="Arial"/>
          <w:color w:val="000000"/>
          <w:shd w:val="clear" w:color="auto" w:fill="FFFFFF"/>
        </w:rPr>
        <w:t>Statistics Canada, 2018)</w:t>
      </w:r>
      <w:r w:rsidR="009C0343" w:rsidRPr="00480CCD">
        <w:t xml:space="preserve">, while older male adolescents </w:t>
      </w:r>
      <w:r w:rsidR="00B42D25" w:rsidRPr="00480CCD">
        <w:t xml:space="preserve">have long been overrepresented across </w:t>
      </w:r>
      <w:r>
        <w:t>Y</w:t>
      </w:r>
      <w:r w:rsidR="007952BD" w:rsidRPr="00480CCD">
        <w:t xml:space="preserve">outh courts </w:t>
      </w:r>
      <w:r w:rsidR="00B42D25" w:rsidRPr="00480CCD">
        <w:t xml:space="preserve"> </w:t>
      </w:r>
      <w:r w:rsidR="007418B0" w:rsidRPr="00480CCD">
        <w:rPr>
          <w:rFonts w:cs="Arial"/>
          <w:color w:val="000000"/>
          <w:shd w:val="clear" w:color="auto" w:fill="FFFFFF"/>
        </w:rPr>
        <w:t>(Statistics Canada, 2017)</w:t>
      </w:r>
      <w:r w:rsidR="00B42D25" w:rsidRPr="00480CCD">
        <w:t xml:space="preserve">. In 2017/2018, male youth aged 16-17 accounted for 42% of youth admissions to correctional services </w:t>
      </w:r>
      <w:r w:rsidR="00E4533B" w:rsidRPr="00480CCD">
        <w:rPr>
          <w:rFonts w:cs="Arial"/>
          <w:color w:val="000000"/>
          <w:shd w:val="clear" w:color="auto" w:fill="FFFFFF"/>
        </w:rPr>
        <w:t>(Statistics Canada, 2018)</w:t>
      </w:r>
      <w:r w:rsidR="00B42D25" w:rsidRPr="00480CCD">
        <w:t>. Incarceration rates for male court attendees</w:t>
      </w:r>
      <w:r w:rsidR="00B42D25">
        <w:t xml:space="preserve"> </w:t>
      </w:r>
      <w:r w:rsidR="00765935">
        <w:t>are</w:t>
      </w:r>
      <w:r w:rsidR="00B42D25">
        <w:t xml:space="preserve"> also notably disproportionate; it is believed that this may be attributable </w:t>
      </w:r>
      <w:r w:rsidR="006617FF" w:rsidRPr="00B53B17">
        <w:rPr>
          <w:rFonts w:ascii="Arial" w:hAnsi="Arial" w:cs="Arial"/>
          <w:noProof/>
          <w:color w:val="00B050"/>
          <w:lang w:val="en-US"/>
        </w:rPr>
        <mc:AlternateContent>
          <mc:Choice Requires="wps">
            <w:drawing>
              <wp:anchor distT="228600" distB="228600" distL="228600" distR="228600" simplePos="0" relativeHeight="256182784" behindDoc="0" locked="0" layoutInCell="1" allowOverlap="1" wp14:anchorId="5D7E9243" wp14:editId="2D936CA6">
                <wp:simplePos x="0" y="0"/>
                <wp:positionH relativeFrom="margin">
                  <wp:align>left</wp:align>
                </wp:positionH>
                <wp:positionV relativeFrom="margin">
                  <wp:posOffset>684461</wp:posOffset>
                </wp:positionV>
                <wp:extent cx="3476625" cy="2002155"/>
                <wp:effectExtent l="0" t="0" r="0" b="8890"/>
                <wp:wrapSquare wrapText="bothSides"/>
                <wp:docPr id="45" name="Rectangle 45"/>
                <wp:cNvGraphicFramePr/>
                <a:graphic xmlns:a="http://schemas.openxmlformats.org/drawingml/2006/main">
                  <a:graphicData uri="http://schemas.microsoft.com/office/word/2010/wordprocessingShape">
                    <wps:wsp>
                      <wps:cNvSpPr/>
                      <wps:spPr>
                        <a:xfrm>
                          <a:off x="0" y="0"/>
                          <a:ext cx="3476625" cy="200215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EE00E17" w14:textId="703BB353" w:rsidR="00A56EB4" w:rsidRDefault="00A56EB4" w:rsidP="00547370">
                            <w:pPr>
                              <w:rPr>
                                <w:color w:val="FFFFFF" w:themeColor="background1"/>
                                <w:sz w:val="28"/>
                                <w:szCs w:val="28"/>
                              </w:rPr>
                            </w:pPr>
                            <w:r>
                              <w:rPr>
                                <w:color w:val="FFFFFF" w:themeColor="background1"/>
                                <w:sz w:val="28"/>
                                <w:szCs w:val="28"/>
                              </w:rPr>
                              <w:t>Indigenous women are broadly more likely to interact with the criminal justice system than women without minority status.</w:t>
                            </w:r>
                          </w:p>
                          <w:p w14:paraId="24897F6B" w14:textId="5F203BA0" w:rsidR="00A56EB4" w:rsidRDefault="00A56EB4" w:rsidP="00547370">
                            <w:pPr>
                              <w:pStyle w:val="NoSpacing"/>
                              <w:ind w:left="360"/>
                              <w:rPr>
                                <w:caps/>
                                <w:color w:val="FFFFFF" w:themeColor="background1"/>
                              </w:rPr>
                            </w:pPr>
                            <w:r>
                              <w:rPr>
                                <w:caps/>
                                <w:color w:val="FFFFFF" w:themeColor="background1"/>
                              </w:rPr>
                              <w:t>statistics canada, 2017</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rect w14:anchorId="5D7E9243" id="Rectangle 45" o:spid="_x0000_s1040" style="position:absolute;margin-left:0;margin-top:53.9pt;width:273.75pt;height:157.65pt;z-index:256182784;visibility:visible;mso-wrap-style:square;mso-width-percent:600;mso-height-percent:0;mso-wrap-distance-left:18pt;mso-wrap-distance-top:18pt;mso-wrap-distance-right:18pt;mso-wrap-distance-bottom:18pt;mso-position-horizontal:left;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" fillcolor="black [3200]" stroked="f">
                <v:fill opacity="32896f"/>
                <v:textbox style="mso-fit-shape-to-text:t" inset="18pt,18pt,18pt,18pt">
                  <w:txbxContent>
                    <w:p w14:paraId="6EE00E17" w14:textId="703BB353" w:rsidR="00A56EB4" w:rsidRDefault="00A56EB4" w:rsidP="00547370">
                      <w:pPr>
                        <w:rPr>
                          <w:color w:val="FFFFFF" w:themeColor="background1"/>
                          <w:sz w:val="28"/>
                          <w:szCs w:val="28"/>
                        </w:rPr>
                      </w:pPr>
                      <w:r>
                        <w:rPr>
                          <w:color w:val="FFFFFF" w:themeColor="background1"/>
                          <w:sz w:val="28"/>
                          <w:szCs w:val="28"/>
                        </w:rPr>
                        <w:t>Indigenous women are broadly more likely to interact with the criminal justice system than women without minority status.</w:t>
                      </w:r>
                    </w:p>
                    <w:p w14:paraId="24897F6B" w14:textId="5F203BA0" w:rsidR="00A56EB4" w:rsidRDefault="00A56EB4" w:rsidP="00547370">
                      <w:pPr>
                        <w:pStyle w:val="NoSpacing"/>
                        <w:ind w:left="360"/>
                        <w:rPr>
                          <w:caps/>
                          <w:color w:val="FFFFFF" w:themeColor="background1"/>
                        </w:rPr>
                      </w:pPr>
                      <w:r>
                        <w:rPr>
                          <w:caps/>
                          <w:color w:val="FFFFFF" w:themeColor="background1"/>
                        </w:rPr>
                        <w:t>statistics canada, 2017</w:t>
                      </w:r>
                    </w:p>
                  </w:txbxContent>
                </v:textbox>
                <w10:wrap type="square" anchorx="margin" anchory="margin"/>
              </v:rect>
            </w:pict>
          </mc:Fallback>
        </mc:AlternateContent>
      </w:r>
      <w:r w:rsidR="00B42D25">
        <w:t xml:space="preserve">to male attendees reporting a </w:t>
      </w:r>
      <w:r w:rsidR="00B42D25" w:rsidRPr="00480CCD">
        <w:t xml:space="preserve">greater number of charges on average than their female counterparts </w:t>
      </w:r>
      <w:r w:rsidR="007418B0" w:rsidRPr="00480CCD">
        <w:rPr>
          <w:rFonts w:cs="Arial"/>
          <w:color w:val="000000"/>
          <w:shd w:val="clear" w:color="auto" w:fill="FFFFFF"/>
        </w:rPr>
        <w:t>(Statistics Canada, 2017)</w:t>
      </w:r>
      <w:r w:rsidR="00B42D25" w:rsidRPr="00480CCD">
        <w:t>.</w:t>
      </w:r>
      <w:r w:rsidR="00F41760" w:rsidRPr="00480CCD">
        <w:t xml:space="preserve"> Despite making up a relatively small proportion of all attendees, nationally the number of female defendants across adult criminal courts continues to </w:t>
      </w:r>
      <w:r w:rsidR="001E002A" w:rsidRPr="00480CCD">
        <w:t>grow</w:t>
      </w:r>
      <w:r w:rsidR="00F41760" w:rsidRPr="00480CCD">
        <w:t xml:space="preserve"> </w:t>
      </w:r>
      <w:r w:rsidR="007418B0" w:rsidRPr="00480CCD">
        <w:rPr>
          <w:rFonts w:cs="Arial"/>
          <w:color w:val="000000"/>
          <w:shd w:val="clear" w:color="auto" w:fill="FFFFFF"/>
        </w:rPr>
        <w:t>(Statistics Canada, 2017)</w:t>
      </w:r>
      <w:r w:rsidR="00321C2C" w:rsidRPr="00480CCD">
        <w:t xml:space="preserve">; this trend is especially true of women with Indigenous status </w:t>
      </w:r>
      <w:r w:rsidR="007418B0" w:rsidRPr="00480CCD">
        <w:rPr>
          <w:rFonts w:cs="Arial"/>
          <w:color w:val="000000"/>
          <w:shd w:val="clear" w:color="auto" w:fill="FFFFFF"/>
        </w:rPr>
        <w:t>(Statistics Canada, 2017)</w:t>
      </w:r>
      <w:r w:rsidR="00F41760" w:rsidRPr="00480CCD">
        <w:t xml:space="preserve">. </w:t>
      </w:r>
      <w:r w:rsidR="00364163" w:rsidRPr="00480CCD">
        <w:t>Indigenous women are broadly more likely to interact with the criminal justice system than women without minority status</w:t>
      </w:r>
      <w:r w:rsidR="00F41760" w:rsidRPr="00480CCD">
        <w:t xml:space="preserve"> </w:t>
      </w:r>
      <w:r w:rsidR="007418B0" w:rsidRPr="00480CCD">
        <w:rPr>
          <w:rFonts w:cs="Arial"/>
          <w:color w:val="000000"/>
          <w:shd w:val="clear" w:color="auto" w:fill="FFFFFF"/>
        </w:rPr>
        <w:t>(Statistics Canada, 2017)</w:t>
      </w:r>
      <w:r w:rsidR="00321C2C" w:rsidRPr="00480CCD">
        <w:t xml:space="preserve">. In 2014/2015, Indigenous women made up 39% of admissions to federal custody, despite comprising less than 5% of the total population of women in Canada </w:t>
      </w:r>
      <w:r w:rsidR="007418B0" w:rsidRPr="00480CCD">
        <w:rPr>
          <w:rFonts w:cs="Arial"/>
          <w:color w:val="000000"/>
          <w:shd w:val="clear" w:color="auto" w:fill="FFFFFF"/>
        </w:rPr>
        <w:t>(Statistics Canada, 2017)</w:t>
      </w:r>
      <w:r w:rsidR="00321C2C" w:rsidRPr="00480CCD">
        <w:t>. I</w:t>
      </w:r>
      <w:r w:rsidR="00F41760" w:rsidRPr="00480CCD">
        <w:t xml:space="preserve">t is widely accepted that this </w:t>
      </w:r>
      <w:r w:rsidR="00235DDD" w:rsidRPr="00480CCD">
        <w:t>trend has its roots in</w:t>
      </w:r>
      <w:r w:rsidR="00364163" w:rsidRPr="00480CCD">
        <w:t xml:space="preserve"> </w:t>
      </w:r>
      <w:r w:rsidR="00321C2C" w:rsidRPr="00480CCD">
        <w:t xml:space="preserve">the effects of </w:t>
      </w:r>
      <w:r w:rsidR="00F41760" w:rsidRPr="00480CCD">
        <w:t xml:space="preserve">social determinants, discrimination, </w:t>
      </w:r>
      <w:r w:rsidR="00364163" w:rsidRPr="00480CCD">
        <w:t>the legacy of c</w:t>
      </w:r>
      <w:r w:rsidR="00235DDD" w:rsidRPr="00480CCD">
        <w:t>olonization, and intergenerational trauma</w:t>
      </w:r>
      <w:r w:rsidR="00364163" w:rsidRPr="00480CCD">
        <w:t xml:space="preserve"> </w:t>
      </w:r>
      <w:r w:rsidR="007418B0" w:rsidRPr="00480CCD">
        <w:rPr>
          <w:rFonts w:cs="Arial"/>
          <w:color w:val="000000"/>
          <w:shd w:val="clear" w:color="auto" w:fill="FFFFFF"/>
        </w:rPr>
        <w:t>(Statistics Canada, 2017)</w:t>
      </w:r>
      <w:r w:rsidR="00364163" w:rsidRPr="00480CCD">
        <w:t>.</w:t>
      </w:r>
      <w:r w:rsidR="00364163">
        <w:t xml:space="preserve"> </w:t>
      </w:r>
    </w:p>
    <w:p w14:paraId="4943C204" w14:textId="72F5D0F1" w:rsidR="001F0DF7" w:rsidRDefault="001F0DF7" w:rsidP="001F0DF7">
      <w:pPr>
        <w:pStyle w:val="Heading2"/>
      </w:pPr>
      <w:bookmarkStart w:id="22" w:name="_Toc16262334"/>
      <w:r>
        <w:t>Age</w:t>
      </w:r>
      <w:bookmarkEnd w:id="22"/>
    </w:p>
    <w:p w14:paraId="750F48CC" w14:textId="68A9CD70" w:rsidR="00364163" w:rsidRPr="00235CDB" w:rsidRDefault="00201027" w:rsidP="00235CDB">
      <w:r w:rsidRPr="00235CDB">
        <w:t xml:space="preserve">Nationally, both men and women of younger age groups have been overrepresented in </w:t>
      </w:r>
      <w:r w:rsidR="00235CDB">
        <w:t>A</w:t>
      </w:r>
      <w:r w:rsidR="007952BD" w:rsidRPr="00235CDB">
        <w:t xml:space="preserve">dult courts </w:t>
      </w:r>
      <w:r w:rsidR="007418B0" w:rsidRPr="00235CDB">
        <w:rPr>
          <w:rFonts w:cs="Arial"/>
          <w:color w:val="000000"/>
          <w:shd w:val="clear" w:color="auto" w:fill="FFFFFF"/>
        </w:rPr>
        <w:t xml:space="preserve">(Statistics Canada, 2017). </w:t>
      </w:r>
      <w:r w:rsidR="00E6314D" w:rsidRPr="00235CDB">
        <w:t>Aligned with this observation,</w:t>
      </w:r>
      <w:r w:rsidR="00364163" w:rsidRPr="00235CDB">
        <w:t xml:space="preserve"> women in provincial and federal custody are overwhelmingly younger than 35 years of age </w:t>
      </w:r>
      <w:r w:rsidR="007418B0" w:rsidRPr="00235CDB">
        <w:rPr>
          <w:rFonts w:cs="Arial"/>
          <w:color w:val="000000"/>
          <w:shd w:val="clear" w:color="auto" w:fill="FFFFFF"/>
        </w:rPr>
        <w:t>(Statistics Canada, 2017)</w:t>
      </w:r>
      <w:r w:rsidR="00364163" w:rsidRPr="00235CDB">
        <w:t>.</w:t>
      </w:r>
      <w:r w:rsidR="004B1B15" w:rsidRPr="00235CDB">
        <w:t xml:space="preserve"> Similarly, young men remain the most statistically overrepresented group within the criminal justice system </w:t>
      </w:r>
      <w:r w:rsidR="00E4533B" w:rsidRPr="00235CDB">
        <w:rPr>
          <w:rFonts w:cs="Arial"/>
          <w:color w:val="000000"/>
          <w:shd w:val="clear" w:color="auto" w:fill="FFFFFF"/>
        </w:rPr>
        <w:t>(Statistics Canada, 2018)</w:t>
      </w:r>
      <w:r w:rsidR="00740DB2" w:rsidRPr="00235CDB">
        <w:t xml:space="preserve">. Older adolescents – particularly male youth - make up the largest contributory age strata for both male and female defendants in </w:t>
      </w:r>
      <w:r w:rsidR="00235CDB">
        <w:t>Y</w:t>
      </w:r>
      <w:r w:rsidR="00740DB2" w:rsidRPr="00235CDB">
        <w:t>outh court</w:t>
      </w:r>
      <w:r w:rsidR="00235CDB">
        <w:t>s</w:t>
      </w:r>
      <w:r w:rsidR="00740DB2" w:rsidRPr="00235CDB">
        <w:t xml:space="preserve">, across Canada </w:t>
      </w:r>
      <w:r w:rsidR="007418B0" w:rsidRPr="00235CDB">
        <w:rPr>
          <w:rFonts w:cs="Arial"/>
          <w:color w:val="000000"/>
          <w:shd w:val="clear" w:color="auto" w:fill="FFFFFF"/>
        </w:rPr>
        <w:t>(Statistics Canada, 2017)</w:t>
      </w:r>
      <w:r w:rsidR="00740DB2" w:rsidRPr="00235CDB">
        <w:t xml:space="preserve">. </w:t>
      </w:r>
      <w:r w:rsidR="00D516E4" w:rsidRPr="00235CDB">
        <w:t>F</w:t>
      </w:r>
      <w:r w:rsidR="00000612" w:rsidRPr="00235CDB">
        <w:t xml:space="preserve">or many offences, </w:t>
      </w:r>
      <w:r w:rsidR="00740DB2" w:rsidRPr="00235CDB">
        <w:t xml:space="preserve">female </w:t>
      </w:r>
      <w:r w:rsidR="00235CDB">
        <w:t>Y</w:t>
      </w:r>
      <w:r w:rsidR="00740DB2" w:rsidRPr="00235CDB">
        <w:t xml:space="preserve">outh court attendees with Indigenous status outnumber </w:t>
      </w:r>
      <w:r w:rsidR="00235CDB">
        <w:t xml:space="preserve">the </w:t>
      </w:r>
      <w:r w:rsidR="00740DB2" w:rsidRPr="00235CDB">
        <w:t xml:space="preserve">women with Indigenous status appearing in </w:t>
      </w:r>
      <w:r w:rsidR="00235CDB">
        <w:t>A</w:t>
      </w:r>
      <w:r w:rsidR="007952BD" w:rsidRPr="00235CDB">
        <w:t>dult courts</w:t>
      </w:r>
      <w:r w:rsidR="007418B0" w:rsidRPr="00235CDB">
        <w:t xml:space="preserve"> </w:t>
      </w:r>
      <w:r w:rsidR="007418B0" w:rsidRPr="00235CDB">
        <w:rPr>
          <w:rFonts w:cs="Arial"/>
          <w:color w:val="000000"/>
          <w:shd w:val="clear" w:color="auto" w:fill="FFFFFF"/>
        </w:rPr>
        <w:t>(Statistics Canada, 2017)</w:t>
      </w:r>
      <w:r w:rsidR="00740DB2" w:rsidRPr="00235CDB">
        <w:t xml:space="preserve">. </w:t>
      </w:r>
    </w:p>
    <w:p w14:paraId="031A3399" w14:textId="74D60909" w:rsidR="0094279A" w:rsidRDefault="001F0DF7" w:rsidP="0094279A">
      <w:pPr>
        <w:pStyle w:val="Heading2"/>
      </w:pPr>
      <w:bookmarkStart w:id="23" w:name="_Toc16262335"/>
      <w:r>
        <w:t>Minority Status</w:t>
      </w:r>
      <w:bookmarkEnd w:id="23"/>
      <w:r w:rsidR="0094279A">
        <w:t xml:space="preserve"> </w:t>
      </w:r>
    </w:p>
    <w:p w14:paraId="4C47F7C7" w14:textId="47389004" w:rsidR="00EE56C5" w:rsidRPr="0092675D" w:rsidRDefault="00EE56C5" w:rsidP="007124F3">
      <w:pPr>
        <w:keepNext/>
        <w:autoSpaceDE w:val="0"/>
        <w:autoSpaceDN w:val="0"/>
        <w:adjustRightInd w:val="0"/>
        <w:spacing w:after="0" w:line="240" w:lineRule="auto"/>
        <w:rPr>
          <w:color w:val="E0E012"/>
        </w:rPr>
      </w:pPr>
      <w:r w:rsidRPr="0092675D">
        <w:t xml:space="preserve">The overrepresentation of individuals with Indigenous status </w:t>
      </w:r>
      <w:r w:rsidR="002E202F" w:rsidRPr="0092675D">
        <w:t>- First Nations, Métis, or Inuit (</w:t>
      </w:r>
      <w:r w:rsidR="00661EC0" w:rsidRPr="0092675D">
        <w:t>Statistics Canada, 2016</w:t>
      </w:r>
      <w:r w:rsidR="002E202F" w:rsidRPr="0092675D">
        <w:t xml:space="preserve">) - </w:t>
      </w:r>
      <w:r w:rsidRPr="0092675D">
        <w:t>in both courts and in correctional institutions is longstanding, and well-documented (</w:t>
      </w:r>
      <w:r w:rsidR="003D1282" w:rsidRPr="0092675D">
        <w:t>Statistics Canada, 2017;</w:t>
      </w:r>
      <w:r w:rsidR="002E202F" w:rsidRPr="0092675D">
        <w:rPr>
          <w:color w:val="336699" w:themeColor="background2"/>
        </w:rPr>
        <w:t xml:space="preserve"> </w:t>
      </w:r>
      <w:r w:rsidR="0003251E" w:rsidRPr="0092675D">
        <w:t>Statistics Canada, 2018</w:t>
      </w:r>
      <w:r w:rsidR="006A6D79" w:rsidRPr="0092675D">
        <w:rPr>
          <w:rFonts w:cs="Arial"/>
          <w:color w:val="000000"/>
          <w:shd w:val="clear" w:color="auto" w:fill="FFFFFF"/>
        </w:rPr>
        <w:t>; Perreault, 2009</w:t>
      </w:r>
      <w:r w:rsidRPr="0092675D">
        <w:t>)</w:t>
      </w:r>
      <w:r w:rsidR="00162DAC" w:rsidRPr="0092675D">
        <w:t xml:space="preserve">. For example, </w:t>
      </w:r>
      <w:r w:rsidR="00F6342E" w:rsidRPr="0092675D">
        <w:t>in</w:t>
      </w:r>
      <w:r w:rsidR="00162DAC" w:rsidRPr="0092675D">
        <w:t xml:space="preserve"> </w:t>
      </w:r>
      <w:r w:rsidR="00683603" w:rsidRPr="0092675D">
        <w:t>2016/2017, Indigenous youth made up 46% of admissions to correction</w:t>
      </w:r>
      <w:r w:rsidR="006A6D79" w:rsidRPr="0092675D">
        <w:t>a</w:t>
      </w:r>
      <w:r w:rsidR="00683603" w:rsidRPr="0092675D">
        <w:t xml:space="preserve">l services, while representing only 8% of the total population </w:t>
      </w:r>
      <w:r w:rsidR="00683603" w:rsidRPr="0092675D">
        <w:lastRenderedPageBreak/>
        <w:t xml:space="preserve">of Canadian youth </w:t>
      </w:r>
      <w:r w:rsidR="00E4533B" w:rsidRPr="0092675D">
        <w:rPr>
          <w:rFonts w:cs="Arial"/>
          <w:color w:val="000000"/>
          <w:shd w:val="clear" w:color="auto" w:fill="FFFFFF"/>
        </w:rPr>
        <w:t>(Statistics Canada, 2018)</w:t>
      </w:r>
      <w:r w:rsidR="00683603" w:rsidRPr="0092675D">
        <w:t>.</w:t>
      </w:r>
      <w:r w:rsidR="00162DAC" w:rsidRPr="0092675D">
        <w:t xml:space="preserve"> In recent years, this discrepancy in representation in custody by minority status has only been trending upwards </w:t>
      </w:r>
      <w:r w:rsidR="00E4533B" w:rsidRPr="0092675D">
        <w:rPr>
          <w:rFonts w:cs="Arial"/>
          <w:color w:val="000000"/>
          <w:shd w:val="clear" w:color="auto" w:fill="FFFFFF"/>
        </w:rPr>
        <w:t>(Statistics Canada, 2018)</w:t>
      </w:r>
      <w:r w:rsidR="00162DAC" w:rsidRPr="0092675D">
        <w:t>, despite national efforts to employ an increasing number of alternative and culturally specific sentences (</w:t>
      </w:r>
      <w:r w:rsidR="00752DC6" w:rsidRPr="0092675D">
        <w:t>Corrado et al., 2014</w:t>
      </w:r>
      <w:r w:rsidR="00162DAC" w:rsidRPr="0092675D">
        <w:t>).</w:t>
      </w:r>
      <w:r w:rsidR="00A50494" w:rsidRPr="0092675D">
        <w:t xml:space="preserve"> This </w:t>
      </w:r>
      <w:r w:rsidR="007124F3" w:rsidRPr="0092675D">
        <w:t xml:space="preserve">disproportionate representation has been well studied, and is understood to be rooted in effects of social determinants, discrimination, the legacy of colonization, and intergenerational trauma </w:t>
      </w:r>
      <w:r w:rsidR="007418B0" w:rsidRPr="0092675D">
        <w:rPr>
          <w:rFonts w:cs="Arial"/>
          <w:color w:val="000000"/>
          <w:shd w:val="clear" w:color="auto" w:fill="FFFFFF"/>
        </w:rPr>
        <w:t>(Statistics Canada, 2017)</w:t>
      </w:r>
      <w:r w:rsidR="007124F3" w:rsidRPr="0092675D">
        <w:t xml:space="preserve">. </w:t>
      </w:r>
    </w:p>
    <w:p w14:paraId="4B321017" w14:textId="77777777" w:rsidR="007124F3" w:rsidRPr="0092675D" w:rsidRDefault="007124F3" w:rsidP="007124F3">
      <w:pPr>
        <w:keepNext/>
        <w:autoSpaceDE w:val="0"/>
        <w:autoSpaceDN w:val="0"/>
        <w:adjustRightInd w:val="0"/>
        <w:spacing w:after="0" w:line="240" w:lineRule="auto"/>
        <w:rPr>
          <w:color w:val="E0E012"/>
        </w:rPr>
      </w:pPr>
    </w:p>
    <w:p w14:paraId="692B64DC" w14:textId="64C77A6E" w:rsidR="00547370" w:rsidRPr="0092675D" w:rsidRDefault="00206C26" w:rsidP="00547370">
      <w:r w:rsidRPr="0033563A">
        <w:rPr>
          <w:rFonts w:ascii="Arial" w:hAnsi="Arial" w:cs="Arial"/>
          <w:noProof/>
          <w:color w:val="333333"/>
          <w:lang w:val="en-US"/>
        </w:rPr>
        <mc:AlternateContent>
          <mc:Choice Requires="wps">
            <w:drawing>
              <wp:anchor distT="228600" distB="228600" distL="228600" distR="228600" simplePos="0" relativeHeight="256322048" behindDoc="1" locked="0" layoutInCell="1" allowOverlap="1" wp14:anchorId="0626D46E" wp14:editId="0BBBF0D4">
                <wp:simplePos x="0" y="0"/>
                <wp:positionH relativeFrom="margin">
                  <wp:posOffset>2742905</wp:posOffset>
                </wp:positionH>
                <wp:positionV relativeFrom="margin">
                  <wp:posOffset>2032739</wp:posOffset>
                </wp:positionV>
                <wp:extent cx="3476625" cy="2002155"/>
                <wp:effectExtent l="0" t="0" r="0" b="6985"/>
                <wp:wrapSquare wrapText="bothSides"/>
                <wp:docPr id="529" name="Rectangle 529"/>
                <wp:cNvGraphicFramePr/>
                <a:graphic xmlns:a="http://schemas.openxmlformats.org/drawingml/2006/main">
                  <a:graphicData uri="http://schemas.microsoft.com/office/word/2010/wordprocessingShape">
                    <wps:wsp>
                      <wps:cNvSpPr/>
                      <wps:spPr>
                        <a:xfrm>
                          <a:off x="0" y="0"/>
                          <a:ext cx="3476625" cy="200215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7776940C" w14:textId="409346B1" w:rsidR="00A56EB4" w:rsidRDefault="00A56EB4" w:rsidP="00557704">
                            <w:pPr>
                              <w:rPr>
                                <w:color w:val="FFFFFF" w:themeColor="background1"/>
                                <w:sz w:val="28"/>
                                <w:szCs w:val="28"/>
                              </w:rPr>
                            </w:pPr>
                            <w:r>
                              <w:rPr>
                                <w:color w:val="FFFFFF" w:themeColor="background1"/>
                                <w:sz w:val="28"/>
                                <w:szCs w:val="28"/>
                              </w:rPr>
                              <w:t>The Elizabeth Fry Society of Calgary aims to remove barriers, and to empower service recipients to develop the skills they need to create more hopeful futures.</w:t>
                            </w:r>
                          </w:p>
                          <w:p w14:paraId="1B1A9163" w14:textId="3CEBF724" w:rsidR="00A56EB4" w:rsidRPr="00A26C86" w:rsidRDefault="00A56EB4" w:rsidP="00557704">
                            <w:pPr>
                              <w:pStyle w:val="NoSpacing"/>
                              <w:ind w:left="360"/>
                              <w:rPr>
                                <w:caps/>
                              </w:rPr>
                            </w:pPr>
                            <w:r>
                              <w:rPr>
                                <w:caps/>
                              </w:rPr>
                              <w:t>The elizabeth fry society of calgary</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rect w14:anchorId="0626D46E" id="Rectangle 529" o:spid="_x0000_s1041" style="position:absolute;margin-left:3in;margin-top:160.05pt;width:273.75pt;height:157.65pt;z-index:-246994432;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" fillcolor="#7cca62 [3208]" stroked="f">
                <v:textbox style="mso-fit-shape-to-text:t" inset="18pt,18pt,18pt,18pt">
                  <w:txbxContent>
                    <w:p w14:paraId="7776940C" w14:textId="409346B1" w:rsidR="00A56EB4" w:rsidRDefault="00A56EB4" w:rsidP="00557704">
                      <w:pPr>
                        <w:rPr>
                          <w:color w:val="FFFFFF" w:themeColor="background1"/>
                          <w:sz w:val="28"/>
                          <w:szCs w:val="28"/>
                        </w:rPr>
                      </w:pPr>
                      <w:r>
                        <w:rPr>
                          <w:color w:val="FFFFFF" w:themeColor="background1"/>
                          <w:sz w:val="28"/>
                          <w:szCs w:val="28"/>
                        </w:rPr>
                        <w:t>The Elizabeth Fry Society of Calgary aims to remove barriers, and to empower service recipients to develop the skills they need to create more hopeful futures.</w:t>
                      </w:r>
                    </w:p>
                    <w:p w14:paraId="1B1A9163" w14:textId="3CEBF724" w:rsidR="00A56EB4" w:rsidRPr="00A26C86" w:rsidRDefault="00A56EB4" w:rsidP="00557704">
                      <w:pPr>
                        <w:pStyle w:val="NoSpacing"/>
                        <w:ind w:left="360"/>
                        <w:rPr>
                          <w:caps/>
                        </w:rPr>
                      </w:pPr>
                      <w:r>
                        <w:rPr>
                          <w:caps/>
                        </w:rPr>
                        <w:t>The elizabeth fry society of calgary</w:t>
                      </w:r>
                    </w:p>
                  </w:txbxContent>
                </v:textbox>
                <w10:wrap type="square" anchorx="margin" anchory="margin"/>
              </v:rect>
            </w:pict>
          </mc:Fallback>
        </mc:AlternateContent>
      </w:r>
      <w:r w:rsidR="0094279A" w:rsidRPr="0092675D">
        <w:t>It has been observed that the economic status of Indigenous</w:t>
      </w:r>
      <w:r w:rsidR="002E202F" w:rsidRPr="0092675D">
        <w:t xml:space="preserve"> </w:t>
      </w:r>
      <w:r w:rsidR="0094279A" w:rsidRPr="0092675D">
        <w:t>Albertans is poorer than that of the general populatio</w:t>
      </w:r>
      <w:r w:rsidR="00162DAC" w:rsidRPr="0092675D">
        <w:t>n</w:t>
      </w:r>
      <w:r w:rsidR="001854E0" w:rsidRPr="0092675D">
        <w:t xml:space="preserve"> </w:t>
      </w:r>
      <w:r w:rsidR="00FC6089" w:rsidRPr="0092675D">
        <w:rPr>
          <w:rFonts w:cs="Arial"/>
          <w:color w:val="000000"/>
          <w:shd w:val="clear" w:color="auto" w:fill="FFFFFF"/>
        </w:rPr>
        <w:t>(Statistics Canada, 2013)</w:t>
      </w:r>
      <w:r w:rsidR="002E202F" w:rsidRPr="0092675D">
        <w:t>.</w:t>
      </w:r>
      <w:r w:rsidR="00162DAC" w:rsidRPr="0092675D">
        <w:t xml:space="preserve"> </w:t>
      </w:r>
      <w:r w:rsidR="00A50494" w:rsidRPr="0092675D">
        <w:t>T</w:t>
      </w:r>
      <w:r w:rsidR="00162DAC" w:rsidRPr="0092675D">
        <w:t xml:space="preserve">his is significant, given that </w:t>
      </w:r>
      <w:r w:rsidR="00F77DFD" w:rsidRPr="0092675D">
        <w:t>poverty</w:t>
      </w:r>
      <w:r w:rsidR="00162DAC" w:rsidRPr="0092675D">
        <w:t xml:space="preserve"> </w:t>
      </w:r>
      <w:r w:rsidR="00586FBE" w:rsidRPr="0092675D">
        <w:t xml:space="preserve">is a risk factor for interaction with the criminal justice system </w:t>
      </w:r>
      <w:r w:rsidR="000B504E" w:rsidRPr="0092675D">
        <w:rPr>
          <w:rFonts w:cs="Arial"/>
          <w:color w:val="000000"/>
          <w:shd w:val="clear" w:color="auto" w:fill="FFFFFF"/>
        </w:rPr>
        <w:t>(Kanters, 2018)</w:t>
      </w:r>
      <w:r w:rsidR="0094279A" w:rsidRPr="0092675D">
        <w:t>. In 2016, 55% of Indigenous persons were in the bottom half of the Canadian income distribution, suggesting that th</w:t>
      </w:r>
      <w:r w:rsidR="006B5A0C" w:rsidRPr="0092675D">
        <w:t>e</w:t>
      </w:r>
      <w:r w:rsidR="0094279A" w:rsidRPr="0092675D">
        <w:t xml:space="preserve"> population has relatively lower incomes than Canada as a whole </w:t>
      </w:r>
      <w:r w:rsidR="00FC6089" w:rsidRPr="0092675D">
        <w:rPr>
          <w:rFonts w:cs="Arial"/>
          <w:color w:val="000000"/>
          <w:shd w:val="clear" w:color="auto" w:fill="FFFFFF"/>
        </w:rPr>
        <w:t>(Statistics Canada, 2013)</w:t>
      </w:r>
      <w:r w:rsidR="0094279A" w:rsidRPr="0092675D">
        <w:t xml:space="preserve">. In Calgary in 2016, the median household income for Indigenous individuals was $69,378 – a marked $12,000 lower than that of Calgarians overall – and 22% were considered low income </w:t>
      </w:r>
      <w:r w:rsidR="00FC6089" w:rsidRPr="0092675D">
        <w:rPr>
          <w:rFonts w:cs="Arial"/>
          <w:color w:val="000000"/>
          <w:shd w:val="clear" w:color="auto" w:fill="FFFFFF"/>
        </w:rPr>
        <w:t>(Statistics Canada, 2013)</w:t>
      </w:r>
      <w:r w:rsidR="0094279A" w:rsidRPr="0092675D">
        <w:t>. This is in part owing to differential rates of employment, educational attainment (</w:t>
      </w:r>
      <w:r w:rsidR="00745A8E" w:rsidRPr="0092675D">
        <w:t>Pager, 2003</w:t>
      </w:r>
      <w:r w:rsidR="0094279A" w:rsidRPr="0092675D">
        <w:t xml:space="preserve">), and the fields of employment in this group; in 2016, approximately half of Indigenous Calgarians were employed in sales and service positions, fields which demonstrate some of the lowest wages </w:t>
      </w:r>
      <w:r w:rsidR="00FC6089" w:rsidRPr="0092675D">
        <w:rPr>
          <w:rFonts w:cs="Arial"/>
          <w:color w:val="000000"/>
          <w:shd w:val="clear" w:color="auto" w:fill="FFFFFF"/>
        </w:rPr>
        <w:t>(Statistics Canada, 2013)</w:t>
      </w:r>
      <w:r w:rsidR="0094279A" w:rsidRPr="0092675D">
        <w:t>.</w:t>
      </w:r>
    </w:p>
    <w:p w14:paraId="37EC48D1" w14:textId="3180ACC7" w:rsidR="00930B4D" w:rsidRPr="00F77DFD" w:rsidRDefault="001F0DF7" w:rsidP="00F77DFD">
      <w:pPr>
        <w:pStyle w:val="Heading2"/>
      </w:pPr>
      <w:bookmarkStart w:id="24" w:name="_Toc16262336"/>
      <w:r>
        <w:t>The Elizabeth Fry Society of Calgary</w:t>
      </w:r>
      <w:bookmarkEnd w:id="24"/>
      <w:r>
        <w:t xml:space="preserve"> </w:t>
      </w:r>
    </w:p>
    <w:p w14:paraId="37DD67BB" w14:textId="67207F7B" w:rsidR="00273C75" w:rsidRDefault="009C4B47" w:rsidP="0034351E">
      <w:r>
        <w:t xml:space="preserve">The Elizabeth Fry Society of Calgary is a non-profit organization committed to </w:t>
      </w:r>
      <w:r w:rsidR="00A37622">
        <w:t>supporting the needs of</w:t>
      </w:r>
      <w:r>
        <w:t xml:space="preserve"> individuals involved in the criminal justice system. Offering practical programs,</w:t>
      </w:r>
      <w:r w:rsidR="00933A26">
        <w:t xml:space="preserve"> basic necessities, and valuable resources, the organization has been s</w:t>
      </w:r>
      <w:r>
        <w:t>erving Calgary and area for more than 50 years</w:t>
      </w:r>
      <w:r w:rsidR="00A37622">
        <w:t>,</w:t>
      </w:r>
      <w:r>
        <w:t xml:space="preserve"> </w:t>
      </w:r>
      <w:r w:rsidR="00933A26">
        <w:t>providing</w:t>
      </w:r>
      <w:r>
        <w:t xml:space="preserve"> a hand up to thousands of women, youth, and individuals from marginalized populations with complex needs. The Elizabeth Fry Society aims to remove barriers</w:t>
      </w:r>
      <w:r w:rsidR="00933A26">
        <w:t>,</w:t>
      </w:r>
      <w:r>
        <w:t xml:space="preserve"> and </w:t>
      </w:r>
      <w:r w:rsidR="00805B4E">
        <w:t xml:space="preserve">to </w:t>
      </w:r>
      <w:r>
        <w:t xml:space="preserve">empower </w:t>
      </w:r>
      <w:r w:rsidR="00C9058B">
        <w:t>individuals accessing services</w:t>
      </w:r>
      <w:r>
        <w:t xml:space="preserve"> to develop the skills they need to create more hopeful futures</w:t>
      </w:r>
      <w:r w:rsidR="00933A26">
        <w:t>.</w:t>
      </w:r>
      <w:r w:rsidR="006B21E7">
        <w:t xml:space="preserve"> A key service provided by the organization is support to court attendees</w:t>
      </w:r>
      <w:r w:rsidR="00412918">
        <w:t xml:space="preserve"> </w:t>
      </w:r>
      <w:r w:rsidR="006B21E7">
        <w:t xml:space="preserve">on the court floors, at several courts across </w:t>
      </w:r>
      <w:r w:rsidR="007952BD">
        <w:t>South</w:t>
      </w:r>
      <w:r w:rsidR="006B21E7">
        <w:t xml:space="preserve">ern Alberta; </w:t>
      </w:r>
      <w:r w:rsidR="00DA3D25">
        <w:t xml:space="preserve">the contents of this report reflect findings </w:t>
      </w:r>
      <w:r w:rsidR="00412918">
        <w:t xml:space="preserve">derived </w:t>
      </w:r>
      <w:r w:rsidR="00DA3D25">
        <w:t>from data collected through this service.</w:t>
      </w:r>
    </w:p>
    <w:p w14:paraId="50F69CD3" w14:textId="1FEB32A8" w:rsidR="00273C75" w:rsidRPr="004C43B7" w:rsidRDefault="00D96340" w:rsidP="0034351E">
      <w:r>
        <w:br w:type="page"/>
      </w:r>
    </w:p>
    <w:p w14:paraId="67B9E861" w14:textId="55C0A7BD" w:rsidR="0034351E" w:rsidRPr="00A8303E" w:rsidRDefault="0034351E" w:rsidP="00F35504">
      <w:pPr>
        <w:pStyle w:val="Heading1"/>
        <w:rPr>
          <w:b w:val="0"/>
          <w:bCs w:val="0"/>
        </w:rPr>
      </w:pPr>
      <w:bookmarkStart w:id="25" w:name="_Toc16262337"/>
      <w:r w:rsidRPr="00A8303E">
        <w:rPr>
          <w:b w:val="0"/>
          <w:bCs w:val="0"/>
        </w:rPr>
        <w:lastRenderedPageBreak/>
        <w:t>Methodology</w:t>
      </w:r>
      <w:bookmarkEnd w:id="25"/>
      <w:r w:rsidRPr="00A8303E">
        <w:rPr>
          <w:b w:val="0"/>
          <w:bCs w:val="0"/>
        </w:rPr>
        <w:t xml:space="preserve"> </w:t>
      </w:r>
    </w:p>
    <w:p w14:paraId="0AFAF898" w14:textId="6D3EF7B4" w:rsidR="00F35504" w:rsidRPr="00F35504" w:rsidRDefault="0034351E" w:rsidP="00F35504">
      <w:pPr>
        <w:pStyle w:val="Heading2"/>
      </w:pPr>
      <w:bookmarkStart w:id="26" w:name="_Toc16262338"/>
      <w:r w:rsidRPr="00B27272">
        <w:rPr>
          <w:b w:val="0"/>
          <w:bCs w:val="0"/>
        </w:rPr>
        <w:t>R</w:t>
      </w:r>
      <w:r w:rsidRPr="00A8303E">
        <w:rPr>
          <w:b w:val="0"/>
          <w:bCs w:val="0"/>
        </w:rPr>
        <w:t xml:space="preserve">esearch </w:t>
      </w:r>
      <w:r w:rsidR="007E30DA">
        <w:rPr>
          <w:b w:val="0"/>
          <w:bCs w:val="0"/>
        </w:rPr>
        <w:t>Question</w:t>
      </w:r>
      <w:bookmarkEnd w:id="26"/>
    </w:p>
    <w:p w14:paraId="50C56F7A" w14:textId="5E2BEDEC" w:rsidR="0034351E" w:rsidRPr="00A8303E" w:rsidRDefault="0034351E" w:rsidP="0034351E">
      <w:pPr>
        <w:rPr>
          <w:rFonts w:asciiTheme="majorHAnsi" w:hAnsiTheme="majorHAnsi" w:cstheme="majorHAnsi"/>
        </w:rPr>
      </w:pPr>
      <w:r>
        <w:rPr>
          <w:rFonts w:asciiTheme="majorHAnsi" w:hAnsiTheme="majorHAnsi" w:cstheme="majorHAnsi"/>
        </w:rPr>
        <w:t xml:space="preserve">“What relationships can be observed between </w:t>
      </w:r>
      <w:r w:rsidR="006A4DFB">
        <w:rPr>
          <w:rFonts w:asciiTheme="majorHAnsi" w:hAnsiTheme="majorHAnsi" w:cstheme="majorHAnsi"/>
        </w:rPr>
        <w:t xml:space="preserve">demographic factors in </w:t>
      </w:r>
      <w:r w:rsidR="00520EC8">
        <w:rPr>
          <w:rFonts w:asciiTheme="majorHAnsi" w:hAnsiTheme="majorHAnsi" w:cstheme="majorHAnsi"/>
        </w:rPr>
        <w:t xml:space="preserve">the </w:t>
      </w:r>
      <w:r w:rsidR="006A4DFB">
        <w:rPr>
          <w:rFonts w:asciiTheme="majorHAnsi" w:hAnsiTheme="majorHAnsi" w:cstheme="majorHAnsi"/>
        </w:rPr>
        <w:t>court attendee</w:t>
      </w:r>
      <w:r>
        <w:rPr>
          <w:rFonts w:asciiTheme="majorHAnsi" w:hAnsiTheme="majorHAnsi" w:cstheme="majorHAnsi"/>
        </w:rPr>
        <w:t>s supported by Elizabeth Fry?”</w:t>
      </w:r>
    </w:p>
    <w:p w14:paraId="41527622" w14:textId="77777777" w:rsidR="0034351E" w:rsidRDefault="0034351E" w:rsidP="00F35504">
      <w:pPr>
        <w:pStyle w:val="Heading2"/>
        <w:rPr>
          <w:b w:val="0"/>
          <w:bCs w:val="0"/>
        </w:rPr>
      </w:pPr>
      <w:bookmarkStart w:id="27" w:name="_Toc16262339"/>
      <w:r w:rsidRPr="00A8303E">
        <w:rPr>
          <w:b w:val="0"/>
          <w:bCs w:val="0"/>
        </w:rPr>
        <w:t>Research Design</w:t>
      </w:r>
      <w:bookmarkEnd w:id="27"/>
    </w:p>
    <w:p w14:paraId="110C12D1" w14:textId="77777777" w:rsidR="00C77082" w:rsidRDefault="0034351E" w:rsidP="0034351E">
      <w:pPr>
        <w:rPr>
          <w:rFonts w:asciiTheme="majorHAnsi" w:hAnsiTheme="majorHAnsi" w:cstheme="majorHAnsi"/>
        </w:rPr>
      </w:pPr>
      <w:r>
        <w:rPr>
          <w:rFonts w:asciiTheme="majorHAnsi" w:hAnsiTheme="majorHAnsi" w:cstheme="majorHAnsi"/>
        </w:rPr>
        <w:t xml:space="preserve">All data analysed in this report was generated </w:t>
      </w:r>
      <w:r w:rsidR="00F12F0A">
        <w:rPr>
          <w:rFonts w:asciiTheme="majorHAnsi" w:hAnsiTheme="majorHAnsi" w:cstheme="majorHAnsi"/>
        </w:rPr>
        <w:t>from discussion</w:t>
      </w:r>
      <w:r>
        <w:rPr>
          <w:rFonts w:asciiTheme="majorHAnsi" w:hAnsiTheme="majorHAnsi" w:cstheme="majorHAnsi"/>
        </w:rPr>
        <w:t xml:space="preserve"> with individuals receiving direct support from Elizabeth Fry staff and/or volunteers</w:t>
      </w:r>
      <w:r w:rsidR="00E3783B">
        <w:rPr>
          <w:rFonts w:asciiTheme="majorHAnsi" w:hAnsiTheme="majorHAnsi" w:cstheme="majorHAnsi"/>
        </w:rPr>
        <w:t xml:space="preserve">, </w:t>
      </w:r>
      <w:r w:rsidR="007D35AF">
        <w:rPr>
          <w:rFonts w:asciiTheme="majorHAnsi" w:hAnsiTheme="majorHAnsi" w:cstheme="majorHAnsi"/>
        </w:rPr>
        <w:t>on the</w:t>
      </w:r>
      <w:r w:rsidR="00E3783B">
        <w:rPr>
          <w:rFonts w:asciiTheme="majorHAnsi" w:hAnsiTheme="majorHAnsi" w:cstheme="majorHAnsi"/>
        </w:rPr>
        <w:t xml:space="preserve"> court floors.</w:t>
      </w:r>
    </w:p>
    <w:p w14:paraId="503C2FA5" w14:textId="056F11D7" w:rsidR="0034351E" w:rsidRPr="005409DF" w:rsidRDefault="0034351E" w:rsidP="0034351E">
      <w:pPr>
        <w:rPr>
          <w:rFonts w:asciiTheme="majorHAnsi" w:hAnsiTheme="majorHAnsi" w:cstheme="majorHAnsi"/>
        </w:rPr>
      </w:pPr>
      <w:r>
        <w:rPr>
          <w:rFonts w:asciiTheme="majorHAnsi" w:hAnsiTheme="majorHAnsi" w:cstheme="majorHAnsi"/>
        </w:rPr>
        <w:t xml:space="preserve">The information obtained through </w:t>
      </w:r>
      <w:r w:rsidR="00F12F0A">
        <w:rPr>
          <w:rFonts w:asciiTheme="majorHAnsi" w:hAnsiTheme="majorHAnsi" w:cstheme="majorHAnsi"/>
        </w:rPr>
        <w:t>this data collection process</w:t>
      </w:r>
      <w:r>
        <w:rPr>
          <w:rFonts w:asciiTheme="majorHAnsi" w:hAnsiTheme="majorHAnsi" w:cstheme="majorHAnsi"/>
        </w:rPr>
        <w:t xml:space="preserve"> is intended to identify potentially significant relationships between </w:t>
      </w:r>
      <w:r w:rsidR="007D35AF">
        <w:rPr>
          <w:rFonts w:asciiTheme="majorHAnsi" w:hAnsiTheme="majorHAnsi" w:cstheme="majorHAnsi"/>
        </w:rPr>
        <w:t>demographic factors, and to help inform future decisions surrounding service provision</w:t>
      </w:r>
      <w:r>
        <w:rPr>
          <w:rFonts w:asciiTheme="majorHAnsi" w:hAnsiTheme="majorHAnsi" w:cstheme="majorHAnsi"/>
        </w:rPr>
        <w:t xml:space="preserve">. For </w:t>
      </w:r>
      <w:r w:rsidR="003B2208">
        <w:rPr>
          <w:rFonts w:asciiTheme="majorHAnsi" w:hAnsiTheme="majorHAnsi" w:cstheme="majorHAnsi"/>
        </w:rPr>
        <w:t>the metrics assessed</w:t>
      </w:r>
      <w:r>
        <w:rPr>
          <w:rFonts w:asciiTheme="majorHAnsi" w:hAnsiTheme="majorHAnsi" w:cstheme="majorHAnsi"/>
        </w:rPr>
        <w:t xml:space="preserve">, please see Appendix </w:t>
      </w:r>
      <w:r w:rsidR="007D35AF">
        <w:rPr>
          <w:rFonts w:asciiTheme="majorHAnsi" w:hAnsiTheme="majorHAnsi" w:cstheme="majorHAnsi"/>
        </w:rPr>
        <w:t>9.5.</w:t>
      </w:r>
      <w:r>
        <w:rPr>
          <w:rFonts w:asciiTheme="majorHAnsi" w:hAnsiTheme="majorHAnsi" w:cstheme="majorHAnsi"/>
        </w:rPr>
        <w:t xml:space="preserve"> </w:t>
      </w:r>
    </w:p>
    <w:p w14:paraId="2FFCA00A" w14:textId="786B32E9" w:rsidR="0034351E" w:rsidRDefault="0034351E" w:rsidP="00F35504">
      <w:pPr>
        <w:pStyle w:val="Heading2"/>
        <w:rPr>
          <w:b w:val="0"/>
          <w:bCs w:val="0"/>
        </w:rPr>
      </w:pPr>
      <w:bookmarkStart w:id="28" w:name="_Toc16262340"/>
      <w:r w:rsidRPr="00A8303E">
        <w:rPr>
          <w:b w:val="0"/>
          <w:bCs w:val="0"/>
        </w:rPr>
        <w:t>Data Collection</w:t>
      </w:r>
      <w:bookmarkEnd w:id="28"/>
    </w:p>
    <w:p w14:paraId="099463F9" w14:textId="1C68A6AA" w:rsidR="0034351E" w:rsidRDefault="00C9058B" w:rsidP="00F55379">
      <w:r>
        <w:t>Quantitative</w:t>
      </w:r>
      <w:r w:rsidR="0034351E">
        <w:t xml:space="preserve"> data was collected by both staff members and highly skilled volunteers involved in direct service provision to individuals at the courthouse, from January 2017-</w:t>
      </w:r>
      <w:r w:rsidR="00520EC8">
        <w:t>December 2018</w:t>
      </w:r>
      <w:r w:rsidR="0034351E">
        <w:t xml:space="preserve">. Informed consent was secured prior to </w:t>
      </w:r>
      <w:r w:rsidR="00F12F0A">
        <w:t>data collection</w:t>
      </w:r>
      <w:r w:rsidR="0034351E">
        <w:t xml:space="preserve">, with participants informed that the </w:t>
      </w:r>
      <w:r w:rsidR="00F12F0A">
        <w:t>Elizabeth Fry representative</w:t>
      </w:r>
      <w:r w:rsidR="0034351E">
        <w:t xml:space="preserve"> was not associated with the legal system, information was being collected for the purposes of better understanding the population served by the organization, confidentiality would be maintained, and participation was voluntary. </w:t>
      </w:r>
    </w:p>
    <w:p w14:paraId="1CCBEDBF" w14:textId="6B057510" w:rsidR="0034351E" w:rsidRPr="00E04A39" w:rsidRDefault="00FC5F55" w:rsidP="00F55379">
      <w:pPr>
        <w:rPr>
          <w:color w:val="FF0000"/>
        </w:rPr>
      </w:pPr>
      <w:r>
        <w:rPr>
          <w:noProof/>
          <w:lang w:val="en-US"/>
        </w:rPr>
        <w:drawing>
          <wp:anchor distT="0" distB="0" distL="114300" distR="114300" simplePos="0" relativeHeight="247323136" behindDoc="1" locked="0" layoutInCell="1" allowOverlap="1" wp14:anchorId="70A1245B" wp14:editId="4412A44C">
            <wp:simplePos x="0" y="0"/>
            <wp:positionH relativeFrom="margin">
              <wp:posOffset>3009900</wp:posOffset>
            </wp:positionH>
            <wp:positionV relativeFrom="paragraph">
              <wp:posOffset>185730</wp:posOffset>
            </wp:positionV>
            <wp:extent cx="3615055" cy="2403475"/>
            <wp:effectExtent l="171450" t="171450" r="233045" b="225425"/>
            <wp:wrapSquare wrapText="bothSides"/>
            <wp:docPr id="470" name="Picture 470" descr="Image result for calgary cour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gary courthouse"/>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15055" cy="2403475"/>
                    </a:xfrm>
                    <a:prstGeom prst="rect">
                      <a:avLst/>
                    </a:prstGeom>
                    <a:ln w="127000" cap="sq">
                      <a:solidFill>
                        <a:schemeClr val="tx2"/>
                      </a:solidFill>
                      <a:miter lim="800000"/>
                    </a:ln>
                    <a:effectLst>
                      <a:outerShdw blurRad="57150" dist="50800" dir="2700000" algn="tl" rotWithShape="0">
                        <a:srgbClr val="000000">
                          <a:alpha val="40000"/>
                        </a:srgbClr>
                      </a:outerShdw>
                    </a:effectLst>
                  </pic:spPr>
                </pic:pic>
              </a:graphicData>
            </a:graphic>
          </wp:anchor>
        </w:drawing>
      </w:r>
      <w:r w:rsidR="0034351E">
        <w:t xml:space="preserve">All data acquisition occurred on-site </w:t>
      </w:r>
      <w:r w:rsidR="004B1AEC">
        <w:t xml:space="preserve">on </w:t>
      </w:r>
      <w:r w:rsidR="0034351E">
        <w:t>the courthouse</w:t>
      </w:r>
      <w:r w:rsidR="004B1AEC">
        <w:t xml:space="preserve"> floors</w:t>
      </w:r>
      <w:r w:rsidR="0034351E">
        <w:t xml:space="preserve">. </w:t>
      </w:r>
      <w:r w:rsidR="00F55379">
        <w:rPr>
          <w:rFonts w:asciiTheme="majorHAnsi" w:hAnsiTheme="majorHAnsi" w:cstheme="majorHAnsi"/>
        </w:rPr>
        <w:t>The statistical data collection method employed was informed and updated as needed, using information gathered throughout the process</w:t>
      </w:r>
      <w:r w:rsidR="00F55379">
        <w:t xml:space="preserve">. </w:t>
      </w:r>
      <w:r w:rsidR="0034351E">
        <w:t>Attention was taken to ensure the confidentiality and privacy of individuals’ responses was respected</w:t>
      </w:r>
      <w:r w:rsidR="004B1AEC">
        <w:t xml:space="preserve"> as much as possible</w:t>
      </w:r>
      <w:r w:rsidR="0034351E">
        <w:t xml:space="preserve">, and to facilitate a safe environment for sharing. </w:t>
      </w:r>
      <w:r w:rsidR="004B1AEC">
        <w:t>N</w:t>
      </w:r>
      <w:r w:rsidR="0034351E">
        <w:t>ames</w:t>
      </w:r>
      <w:r w:rsidR="004B1AEC">
        <w:t xml:space="preserve"> were</w:t>
      </w:r>
      <w:r w:rsidR="0034351E">
        <w:t xml:space="preserve"> omitted from</w:t>
      </w:r>
      <w:r w:rsidR="004B1AEC">
        <w:t xml:space="preserve"> the</w:t>
      </w:r>
      <w:r w:rsidR="0034351E">
        <w:t xml:space="preserve"> data sheets with the understanding that all data would be treated as aggregate. Completed data sheets were </w:t>
      </w:r>
      <w:r w:rsidR="004B1AEC">
        <w:t>kept private and</w:t>
      </w:r>
      <w:r w:rsidR="0034351E">
        <w:t xml:space="preserve"> transport</w:t>
      </w:r>
      <w:r w:rsidR="004B1AEC">
        <w:t xml:space="preserve">ed </w:t>
      </w:r>
      <w:r w:rsidR="0034351E">
        <w:t>to the main office</w:t>
      </w:r>
      <w:r w:rsidR="004B1AEC">
        <w:t xml:space="preserve"> following </w:t>
      </w:r>
      <w:r w:rsidR="002E1D94">
        <w:t>data collection</w:t>
      </w:r>
      <w:r w:rsidR="004B1AEC">
        <w:t xml:space="preserve">. </w:t>
      </w:r>
      <w:r w:rsidR="0034351E">
        <w:t>Questions with the potential to cause discomfort – such as those relating to income or charges – were addressed discretely</w:t>
      </w:r>
      <w:r w:rsidR="00C9058B">
        <w:t>,</w:t>
      </w:r>
      <w:r w:rsidR="0034351E">
        <w:t xml:space="preserve"> with participant</w:t>
      </w:r>
      <w:r w:rsidR="00C9058B">
        <w:t>s occasionally</w:t>
      </w:r>
      <w:r w:rsidR="0034351E">
        <w:t xml:space="preserve"> indicating their answer</w:t>
      </w:r>
      <w:r w:rsidR="00C9058B">
        <w:t>s</w:t>
      </w:r>
      <w:r w:rsidR="0034351E">
        <w:t xml:space="preserve"> themselves </w:t>
      </w:r>
      <w:r w:rsidR="00C9058B">
        <w:t xml:space="preserve">directly </w:t>
      </w:r>
      <w:r w:rsidR="0034351E">
        <w:t>on the data sheet, as appropriate. Court dockets were referenced to aid respondents as needed.</w:t>
      </w:r>
      <w:r w:rsidR="00E04A39">
        <w:rPr>
          <w:color w:val="FF0000"/>
        </w:rPr>
        <w:t xml:space="preserve"> </w:t>
      </w:r>
    </w:p>
    <w:p w14:paraId="566C8B42" w14:textId="6EAA9C2F" w:rsidR="0034351E" w:rsidRDefault="0034351E" w:rsidP="00F55379">
      <w:r>
        <w:t xml:space="preserve">To better ensure the accurate reporting of information, questions </w:t>
      </w:r>
      <w:r w:rsidR="00277209">
        <w:t xml:space="preserve">were short and specific, </w:t>
      </w:r>
      <w:r>
        <w:t xml:space="preserve">designed to accommodate variable levels of literacy and familiarity with the English language. </w:t>
      </w:r>
      <w:r w:rsidR="002602E1">
        <w:t xml:space="preserve">Elizabeth Fry representatives were provided multiple strategies to acquire this data. </w:t>
      </w:r>
    </w:p>
    <w:p w14:paraId="1D2738C6" w14:textId="77777777" w:rsidR="0034351E" w:rsidRDefault="0034351E" w:rsidP="00F35504">
      <w:pPr>
        <w:pStyle w:val="Heading2"/>
        <w:rPr>
          <w:b w:val="0"/>
          <w:bCs w:val="0"/>
        </w:rPr>
      </w:pPr>
      <w:bookmarkStart w:id="29" w:name="_Toc16262341"/>
      <w:r w:rsidRPr="00A8303E">
        <w:rPr>
          <w:b w:val="0"/>
          <w:bCs w:val="0"/>
        </w:rPr>
        <w:lastRenderedPageBreak/>
        <w:t>Data Analysis</w:t>
      </w:r>
      <w:bookmarkEnd w:id="29"/>
    </w:p>
    <w:p w14:paraId="04B9B696" w14:textId="4A4B96AB" w:rsidR="0034351E" w:rsidRPr="00F55379" w:rsidRDefault="001B6ADE" w:rsidP="0034351E">
      <w:pPr>
        <w:rPr>
          <w:rFonts w:asciiTheme="majorHAnsi" w:hAnsiTheme="majorHAnsi" w:cstheme="majorHAnsi"/>
        </w:rPr>
      </w:pPr>
      <w:r>
        <w:rPr>
          <w:rFonts w:asciiTheme="majorHAnsi" w:hAnsiTheme="majorHAnsi" w:cstheme="majorHAnsi"/>
        </w:rPr>
        <w:t xml:space="preserve">To facilitate ease of analysis, for the purposes of this report </w:t>
      </w:r>
      <w:r w:rsidR="007952BD">
        <w:rPr>
          <w:rFonts w:asciiTheme="majorHAnsi" w:hAnsiTheme="majorHAnsi" w:cstheme="majorHAnsi"/>
        </w:rPr>
        <w:t>North</w:t>
      </w:r>
      <w:r>
        <w:rPr>
          <w:rFonts w:asciiTheme="majorHAnsi" w:hAnsiTheme="majorHAnsi" w:cstheme="majorHAnsi"/>
        </w:rPr>
        <w:t xml:space="preserve"> court data refers to that which was collected from the Cochrane, Didsbury, and Canmore courts. Similarly, </w:t>
      </w:r>
      <w:r w:rsidR="007952BD">
        <w:rPr>
          <w:rFonts w:asciiTheme="majorHAnsi" w:hAnsiTheme="majorHAnsi" w:cstheme="majorHAnsi"/>
        </w:rPr>
        <w:t>South</w:t>
      </w:r>
      <w:r>
        <w:rPr>
          <w:rFonts w:asciiTheme="majorHAnsi" w:hAnsiTheme="majorHAnsi" w:cstheme="majorHAnsi"/>
        </w:rPr>
        <w:t xml:space="preserve"> court data refers to that which was collected from the Airdrie and Okotoks courts. </w:t>
      </w:r>
      <w:r w:rsidR="0034351E">
        <w:rPr>
          <w:rFonts w:asciiTheme="majorHAnsi" w:hAnsiTheme="majorHAnsi" w:cstheme="majorHAnsi"/>
        </w:rPr>
        <w:t xml:space="preserve">Data </w:t>
      </w:r>
      <w:r w:rsidR="00223C93">
        <w:rPr>
          <w:rFonts w:asciiTheme="majorHAnsi" w:hAnsiTheme="majorHAnsi" w:cstheme="majorHAnsi"/>
        </w:rPr>
        <w:t xml:space="preserve">was </w:t>
      </w:r>
      <w:r w:rsidR="002602E1">
        <w:rPr>
          <w:rFonts w:asciiTheme="majorHAnsi" w:hAnsiTheme="majorHAnsi" w:cstheme="majorHAnsi"/>
        </w:rPr>
        <w:t>reviewed for errors and inconsistencies,</w:t>
      </w:r>
      <w:r w:rsidR="00F55379">
        <w:rPr>
          <w:rFonts w:asciiTheme="majorHAnsi" w:hAnsiTheme="majorHAnsi" w:cstheme="majorHAnsi"/>
        </w:rPr>
        <w:t xml:space="preserve"> </w:t>
      </w:r>
      <w:r w:rsidR="0034351E">
        <w:rPr>
          <w:rFonts w:asciiTheme="majorHAnsi" w:hAnsiTheme="majorHAnsi" w:cstheme="majorHAnsi"/>
        </w:rPr>
        <w:t xml:space="preserve">transcribed into Microsoft Excel </w:t>
      </w:r>
      <w:r w:rsidR="001017A4">
        <w:rPr>
          <w:rFonts w:asciiTheme="majorHAnsi" w:hAnsiTheme="majorHAnsi" w:cstheme="majorHAnsi"/>
        </w:rPr>
        <w:t>365</w:t>
      </w:r>
      <w:r w:rsidR="0034351E">
        <w:rPr>
          <w:rFonts w:asciiTheme="majorHAnsi" w:hAnsiTheme="majorHAnsi" w:cstheme="majorHAnsi"/>
        </w:rPr>
        <w:t xml:space="preserve"> software</w:t>
      </w:r>
      <w:r w:rsidR="00F55379">
        <w:rPr>
          <w:rFonts w:asciiTheme="majorHAnsi" w:hAnsiTheme="majorHAnsi" w:cstheme="majorHAnsi"/>
        </w:rPr>
        <w:t xml:space="preserve"> </w:t>
      </w:r>
      <w:r w:rsidR="001017A4">
        <w:rPr>
          <w:rFonts w:asciiTheme="majorHAnsi" w:hAnsiTheme="majorHAnsi" w:cstheme="majorHAnsi"/>
        </w:rPr>
        <w:t xml:space="preserve">utilizing a binary coding system, </w:t>
      </w:r>
      <w:r w:rsidR="0034351E">
        <w:rPr>
          <w:rFonts w:asciiTheme="majorHAnsi" w:hAnsiTheme="majorHAnsi" w:cstheme="majorHAnsi"/>
        </w:rPr>
        <w:t xml:space="preserve">and </w:t>
      </w:r>
      <w:r w:rsidR="001017A4">
        <w:rPr>
          <w:rFonts w:asciiTheme="majorHAnsi" w:hAnsiTheme="majorHAnsi" w:cstheme="majorHAnsi"/>
        </w:rPr>
        <w:t xml:space="preserve">was </w:t>
      </w:r>
      <w:r w:rsidR="0034351E">
        <w:rPr>
          <w:rFonts w:asciiTheme="majorHAnsi" w:hAnsiTheme="majorHAnsi" w:cstheme="majorHAnsi"/>
        </w:rPr>
        <w:t xml:space="preserve">subsequently analysed using SPSS </w:t>
      </w:r>
      <w:r>
        <w:rPr>
          <w:rFonts w:asciiTheme="majorHAnsi" w:hAnsiTheme="majorHAnsi" w:cstheme="majorHAnsi"/>
        </w:rPr>
        <w:t>2019</w:t>
      </w:r>
      <w:r w:rsidR="0034351E">
        <w:rPr>
          <w:rFonts w:asciiTheme="majorHAnsi" w:hAnsiTheme="majorHAnsi" w:cstheme="majorHAnsi"/>
        </w:rPr>
        <w:t xml:space="preserve"> software. Analysis in</w:t>
      </w:r>
      <w:r>
        <w:rPr>
          <w:rFonts w:asciiTheme="majorHAnsi" w:hAnsiTheme="majorHAnsi" w:cstheme="majorHAnsi"/>
        </w:rPr>
        <w:t xml:space="preserve">volved </w:t>
      </w:r>
      <w:r w:rsidR="0034351E">
        <w:rPr>
          <w:rFonts w:asciiTheme="majorHAnsi" w:hAnsiTheme="majorHAnsi" w:cstheme="majorHAnsi"/>
        </w:rPr>
        <w:t>the computation of</w:t>
      </w:r>
      <w:r>
        <w:rPr>
          <w:rFonts w:asciiTheme="majorHAnsi" w:hAnsiTheme="majorHAnsi" w:cstheme="majorHAnsi"/>
        </w:rPr>
        <w:t xml:space="preserve"> several</w:t>
      </w:r>
      <w:r w:rsidR="0034351E">
        <w:rPr>
          <w:rFonts w:asciiTheme="majorHAnsi" w:hAnsiTheme="majorHAnsi" w:cstheme="majorHAnsi"/>
        </w:rPr>
        <w:t xml:space="preserve"> basic statistical measures, </w:t>
      </w:r>
      <w:r w:rsidRPr="001B6ADE">
        <w:rPr>
          <w:rFonts w:asciiTheme="majorHAnsi" w:hAnsiTheme="majorHAnsi" w:cstheme="majorHAnsi"/>
        </w:rPr>
        <w:t>chi</w:t>
      </w:r>
      <w:r w:rsidRPr="001B6ADE">
        <w:rPr>
          <w:rFonts w:asciiTheme="majorHAnsi" w:hAnsiTheme="majorHAnsi" w:cstheme="majorHAnsi"/>
          <w:vertAlign w:val="superscript"/>
        </w:rPr>
        <w:t>2</w:t>
      </w:r>
      <w:r>
        <w:rPr>
          <w:rFonts w:asciiTheme="majorHAnsi" w:hAnsiTheme="majorHAnsi" w:cstheme="majorHAnsi"/>
        </w:rPr>
        <w:t xml:space="preserve"> tests, </w:t>
      </w:r>
      <w:r w:rsidRPr="001B6ADE">
        <w:rPr>
          <w:rFonts w:asciiTheme="majorHAnsi" w:hAnsiTheme="majorHAnsi" w:cstheme="majorHAnsi"/>
        </w:rPr>
        <w:t>and</w:t>
      </w:r>
      <w:r>
        <w:rPr>
          <w:rFonts w:asciiTheme="majorHAnsi" w:hAnsiTheme="majorHAnsi" w:cstheme="majorHAnsi"/>
        </w:rPr>
        <w:t xml:space="preserve"> odds ratio calculations </w:t>
      </w:r>
      <w:r w:rsidR="0034351E">
        <w:rPr>
          <w:rFonts w:asciiTheme="majorHAnsi" w:hAnsiTheme="majorHAnsi" w:cstheme="majorHAnsi"/>
        </w:rPr>
        <w:t xml:space="preserve">to evaluate the relationship between </w:t>
      </w:r>
      <w:r>
        <w:rPr>
          <w:rFonts w:asciiTheme="majorHAnsi" w:hAnsiTheme="majorHAnsi" w:cstheme="majorHAnsi"/>
        </w:rPr>
        <w:t>demographic factors, and associations between demographic factors and specific outcomes (for example, having a given type of offence)</w:t>
      </w:r>
      <w:r w:rsidR="0034351E">
        <w:rPr>
          <w:rFonts w:asciiTheme="majorHAnsi" w:hAnsiTheme="majorHAnsi" w:cstheme="majorHAnsi"/>
        </w:rPr>
        <w:t xml:space="preserve">. </w:t>
      </w:r>
      <w:r w:rsidR="00B52694">
        <w:rPr>
          <w:rFonts w:asciiTheme="majorHAnsi" w:hAnsiTheme="majorHAnsi" w:cstheme="majorHAnsi"/>
        </w:rPr>
        <w:t>Trends drawn from smaller data sets of less than 50 individuals have been indicated. In keeping with standard practice, chi</w:t>
      </w:r>
      <w:r w:rsidR="00B52694" w:rsidRPr="00B52694">
        <w:rPr>
          <w:rFonts w:asciiTheme="majorHAnsi" w:hAnsiTheme="majorHAnsi" w:cstheme="majorHAnsi"/>
          <w:vertAlign w:val="superscript"/>
        </w:rPr>
        <w:t>2</w:t>
      </w:r>
      <w:r w:rsidR="00B52694">
        <w:rPr>
          <w:rFonts w:asciiTheme="majorHAnsi" w:hAnsiTheme="majorHAnsi" w:cstheme="majorHAnsi"/>
        </w:rPr>
        <w:t xml:space="preserve"> analysis was reserved for data sets that included at least 4 individuals per given category. </w:t>
      </w:r>
      <w:r w:rsidR="0034351E">
        <w:rPr>
          <w:rFonts w:asciiTheme="majorHAnsi" w:hAnsiTheme="majorHAnsi" w:cstheme="majorHAnsi"/>
        </w:rPr>
        <w:t>For the purposes of establishing the statistical significance of relationship</w:t>
      </w:r>
      <w:r>
        <w:rPr>
          <w:rFonts w:asciiTheme="majorHAnsi" w:hAnsiTheme="majorHAnsi" w:cstheme="majorHAnsi"/>
        </w:rPr>
        <w:t>s</w:t>
      </w:r>
      <w:r w:rsidR="0034351E">
        <w:rPr>
          <w:rFonts w:asciiTheme="majorHAnsi" w:hAnsiTheme="majorHAnsi" w:cstheme="majorHAnsi"/>
        </w:rPr>
        <w:t xml:space="preserve"> between </w:t>
      </w:r>
      <w:r>
        <w:rPr>
          <w:rFonts w:asciiTheme="majorHAnsi" w:hAnsiTheme="majorHAnsi" w:cstheme="majorHAnsi"/>
        </w:rPr>
        <w:t xml:space="preserve">these variables, </w:t>
      </w:r>
      <w:r w:rsidR="0034351E">
        <w:rPr>
          <w:rFonts w:asciiTheme="majorHAnsi" w:hAnsiTheme="majorHAnsi" w:cstheme="majorHAnsi"/>
        </w:rPr>
        <w:t>a p-value of</w:t>
      </w:r>
      <w:r>
        <w:rPr>
          <w:rFonts w:asciiTheme="majorHAnsi" w:hAnsiTheme="majorHAnsi" w:cstheme="majorHAnsi"/>
        </w:rPr>
        <w:t xml:space="preserve"> </w:t>
      </w:r>
      <w:r w:rsidR="0034351E">
        <w:rPr>
          <w:rFonts w:asciiTheme="majorHAnsi" w:hAnsiTheme="majorHAnsi" w:cstheme="majorHAnsi"/>
        </w:rPr>
        <w:t>0.05 was used.</w:t>
      </w:r>
      <w:r>
        <w:rPr>
          <w:rFonts w:asciiTheme="majorHAnsi" w:hAnsiTheme="majorHAnsi" w:cstheme="majorHAnsi"/>
        </w:rPr>
        <w:t xml:space="preserve"> </w:t>
      </w:r>
      <w:r w:rsidR="0034351E">
        <w:rPr>
          <w:rFonts w:asciiTheme="majorHAnsi" w:hAnsiTheme="majorHAnsi" w:cstheme="majorHAnsi"/>
        </w:rPr>
        <w:t xml:space="preserve">For a complete list of formulas used, please see Appendix </w:t>
      </w:r>
      <w:r>
        <w:rPr>
          <w:rFonts w:asciiTheme="majorHAnsi" w:hAnsiTheme="majorHAnsi" w:cstheme="majorHAnsi"/>
        </w:rPr>
        <w:t>9.2 and 9.3</w:t>
      </w:r>
      <w:r w:rsidR="0034351E">
        <w:rPr>
          <w:rFonts w:asciiTheme="majorHAnsi" w:hAnsiTheme="majorHAnsi" w:cstheme="majorHAnsi"/>
        </w:rPr>
        <w:t>.</w:t>
      </w:r>
      <w:r w:rsidR="00F55379">
        <w:rPr>
          <w:rFonts w:asciiTheme="majorHAnsi" w:hAnsiTheme="majorHAnsi" w:cstheme="majorHAnsi"/>
        </w:rPr>
        <w:t xml:space="preserve"> </w:t>
      </w:r>
      <w:r w:rsidR="0034351E">
        <w:rPr>
          <w:rFonts w:asciiTheme="majorHAnsi" w:hAnsiTheme="majorHAnsi" w:cstheme="majorHAnsi"/>
        </w:rPr>
        <w:t xml:space="preserve">Conclusions drawn from the completion of this statistical analysis were intended to </w:t>
      </w:r>
      <w:r>
        <w:rPr>
          <w:rFonts w:asciiTheme="majorHAnsi" w:hAnsiTheme="majorHAnsi" w:cstheme="majorHAnsi"/>
        </w:rPr>
        <w:t>help answer</w:t>
      </w:r>
      <w:r w:rsidR="0034351E">
        <w:rPr>
          <w:rFonts w:asciiTheme="majorHAnsi" w:hAnsiTheme="majorHAnsi" w:cstheme="majorHAnsi"/>
        </w:rPr>
        <w:t xml:space="preserve"> the research question. </w:t>
      </w:r>
      <w:r w:rsidR="0034351E" w:rsidRPr="004A1145">
        <w:rPr>
          <w:rFonts w:asciiTheme="majorHAnsi" w:hAnsiTheme="majorHAnsi" w:cstheme="majorHAnsi"/>
        </w:rPr>
        <w:t xml:space="preserve">All data transcription, handling, and interpretation was conducted by </w:t>
      </w:r>
      <w:r w:rsidR="0034351E">
        <w:rPr>
          <w:rFonts w:asciiTheme="majorHAnsi" w:hAnsiTheme="majorHAnsi" w:cstheme="majorHAnsi"/>
        </w:rPr>
        <w:t>an internal evaluator</w:t>
      </w:r>
      <w:r w:rsidR="002602E1">
        <w:rPr>
          <w:rFonts w:asciiTheme="majorHAnsi" w:hAnsiTheme="majorHAnsi" w:cstheme="majorHAnsi"/>
        </w:rPr>
        <w:t xml:space="preserve">. </w:t>
      </w:r>
    </w:p>
    <w:p w14:paraId="639E43E0" w14:textId="36D48B44" w:rsidR="0034351E" w:rsidRDefault="0034351E" w:rsidP="00F35504">
      <w:pPr>
        <w:pStyle w:val="Heading2"/>
        <w:rPr>
          <w:b w:val="0"/>
          <w:bCs w:val="0"/>
        </w:rPr>
      </w:pPr>
      <w:bookmarkStart w:id="30" w:name="_Toc16262342"/>
      <w:r>
        <w:rPr>
          <w:b w:val="0"/>
          <w:bCs w:val="0"/>
        </w:rPr>
        <w:t>Ethics and Data Handling</w:t>
      </w:r>
      <w:bookmarkEnd w:id="30"/>
    </w:p>
    <w:p w14:paraId="499EC8BC" w14:textId="5449DAD2" w:rsidR="0034351E" w:rsidRPr="001E25AB" w:rsidRDefault="0034351E" w:rsidP="0034351E">
      <w:pPr>
        <w:rPr>
          <w:rFonts w:asciiTheme="majorHAnsi" w:hAnsiTheme="majorHAnsi" w:cstheme="majorHAnsi"/>
        </w:rPr>
      </w:pPr>
      <w:r>
        <w:rPr>
          <w:rFonts w:asciiTheme="majorHAnsi" w:hAnsiTheme="majorHAnsi" w:cstheme="majorHAnsi"/>
        </w:rPr>
        <w:t xml:space="preserve">As part of their training, staff and volunteers involved in data collection and management completed oaths of confidentiality and received training relating to </w:t>
      </w:r>
      <w:r w:rsidR="00B41362">
        <w:rPr>
          <w:rFonts w:asciiTheme="majorHAnsi" w:hAnsiTheme="majorHAnsi" w:cstheme="majorHAnsi"/>
        </w:rPr>
        <w:t>privacy protection</w:t>
      </w:r>
      <w:r>
        <w:rPr>
          <w:rFonts w:asciiTheme="majorHAnsi" w:hAnsiTheme="majorHAnsi" w:cstheme="majorHAnsi"/>
        </w:rPr>
        <w:t>, cultural competency, and non-judgemental support.</w:t>
      </w:r>
      <w:r w:rsidR="001B6ADE">
        <w:rPr>
          <w:rFonts w:asciiTheme="majorHAnsi" w:hAnsiTheme="majorHAnsi" w:cstheme="majorHAnsi"/>
        </w:rPr>
        <w:t xml:space="preserve"> On-site training ensured that volunteers were</w:t>
      </w:r>
      <w:r w:rsidR="00B22AED">
        <w:rPr>
          <w:rFonts w:asciiTheme="majorHAnsi" w:hAnsiTheme="majorHAnsi" w:cstheme="majorHAnsi"/>
        </w:rPr>
        <w:t xml:space="preserve"> well</w:t>
      </w:r>
      <w:r w:rsidR="001B6ADE">
        <w:rPr>
          <w:rFonts w:asciiTheme="majorHAnsi" w:hAnsiTheme="majorHAnsi" w:cstheme="majorHAnsi"/>
        </w:rPr>
        <w:t xml:space="preserve"> prepared to </w:t>
      </w:r>
      <w:r w:rsidR="00B41362">
        <w:rPr>
          <w:rFonts w:asciiTheme="majorHAnsi" w:hAnsiTheme="majorHAnsi" w:cstheme="majorHAnsi"/>
        </w:rPr>
        <w:t>collect statistical information</w:t>
      </w:r>
      <w:r w:rsidR="00B22AED">
        <w:rPr>
          <w:rFonts w:asciiTheme="majorHAnsi" w:hAnsiTheme="majorHAnsi" w:cstheme="majorHAnsi"/>
        </w:rPr>
        <w:t xml:space="preserve"> in a consistent manner.</w:t>
      </w:r>
      <w:r w:rsidR="002E1D94">
        <w:rPr>
          <w:rFonts w:asciiTheme="majorHAnsi" w:hAnsiTheme="majorHAnsi" w:cstheme="majorHAnsi"/>
        </w:rPr>
        <w:t xml:space="preserve"> Before commencing the data collection process</w:t>
      </w:r>
      <w:r>
        <w:rPr>
          <w:rFonts w:asciiTheme="majorHAnsi" w:hAnsiTheme="majorHAnsi" w:cstheme="majorHAnsi"/>
        </w:rPr>
        <w:t>, participants’ informed consent was obtained, noting the name of the organization, voluntary nature of participation, and how their information would be used and managed. Information collected was anonymous, and treated as aggregate. Attention was paid to ensuring respondent privacy</w:t>
      </w:r>
      <w:r w:rsidR="00B22AED">
        <w:rPr>
          <w:rFonts w:asciiTheme="majorHAnsi" w:hAnsiTheme="majorHAnsi" w:cstheme="majorHAnsi"/>
        </w:rPr>
        <w:t xml:space="preserve"> as much as possible on the court floors</w:t>
      </w:r>
      <w:r>
        <w:rPr>
          <w:rFonts w:asciiTheme="majorHAnsi" w:hAnsiTheme="majorHAnsi" w:cstheme="majorHAnsi"/>
        </w:rPr>
        <w:t xml:space="preserve">, with individuals </w:t>
      </w:r>
      <w:r w:rsidR="00E22391">
        <w:rPr>
          <w:rFonts w:asciiTheme="majorHAnsi" w:hAnsiTheme="majorHAnsi" w:cstheme="majorHAnsi"/>
        </w:rPr>
        <w:t>provided the option</w:t>
      </w:r>
      <w:r>
        <w:rPr>
          <w:rFonts w:asciiTheme="majorHAnsi" w:hAnsiTheme="majorHAnsi" w:cstheme="majorHAnsi"/>
        </w:rPr>
        <w:t xml:space="preserve"> to respond to more sensitive questions by discretely indicating their answers on the data sheet. Data was collected and stored in accordance with organization policy, and in compliance with the FOIPP Act of Alberta. </w:t>
      </w:r>
    </w:p>
    <w:p w14:paraId="6B879E66" w14:textId="146B06B7" w:rsidR="0034351E" w:rsidRDefault="0034351E" w:rsidP="00F35504">
      <w:pPr>
        <w:pStyle w:val="Heading2"/>
        <w:rPr>
          <w:b w:val="0"/>
          <w:bCs w:val="0"/>
        </w:rPr>
      </w:pPr>
      <w:bookmarkStart w:id="31" w:name="_Toc16262343"/>
      <w:r>
        <w:rPr>
          <w:b w:val="0"/>
          <w:bCs w:val="0"/>
        </w:rPr>
        <w:t>Strengths</w:t>
      </w:r>
      <w:bookmarkEnd w:id="31"/>
    </w:p>
    <w:p w14:paraId="4CD4A18B" w14:textId="3B8DB8C4" w:rsidR="0034351E" w:rsidRPr="00E34D50" w:rsidRDefault="0034351E" w:rsidP="0034351E">
      <w:pPr>
        <w:rPr>
          <w:rFonts w:asciiTheme="majorHAnsi" w:hAnsiTheme="majorHAnsi" w:cstheme="majorHAnsi"/>
        </w:rPr>
      </w:pPr>
      <w:r>
        <w:rPr>
          <w:rFonts w:asciiTheme="majorHAnsi" w:hAnsiTheme="majorHAnsi" w:cstheme="majorHAnsi"/>
        </w:rPr>
        <w:t>The data</w:t>
      </w:r>
      <w:r w:rsidR="007E00BB">
        <w:rPr>
          <w:rFonts w:asciiTheme="majorHAnsi" w:hAnsiTheme="majorHAnsi" w:cstheme="majorHAnsi"/>
        </w:rPr>
        <w:t xml:space="preserve"> </w:t>
      </w:r>
      <w:r>
        <w:rPr>
          <w:rFonts w:asciiTheme="majorHAnsi" w:hAnsiTheme="majorHAnsi" w:cstheme="majorHAnsi"/>
        </w:rPr>
        <w:t xml:space="preserve">set analysed represents the result of 2 years of collection efforts, with a </w:t>
      </w:r>
      <w:r w:rsidR="005E677A">
        <w:rPr>
          <w:rFonts w:asciiTheme="majorHAnsi" w:hAnsiTheme="majorHAnsi" w:cstheme="majorHAnsi"/>
        </w:rPr>
        <w:t xml:space="preserve">considerable </w:t>
      </w:r>
      <w:r>
        <w:rPr>
          <w:rFonts w:asciiTheme="majorHAnsi" w:hAnsiTheme="majorHAnsi" w:cstheme="majorHAnsi"/>
        </w:rPr>
        <w:t>sample size</w:t>
      </w:r>
      <w:r w:rsidR="000709B7">
        <w:rPr>
          <w:rFonts w:asciiTheme="majorHAnsi" w:hAnsiTheme="majorHAnsi" w:cstheme="majorHAnsi"/>
        </w:rPr>
        <w:t>. The duration of the data collection period allowed opportunity to accurately capture trends observed over time</w:t>
      </w:r>
      <w:r>
        <w:rPr>
          <w:rFonts w:asciiTheme="majorHAnsi" w:hAnsiTheme="majorHAnsi" w:cstheme="majorHAnsi"/>
        </w:rPr>
        <w:t>. Data was collected by volunteers on the court floor</w:t>
      </w:r>
      <w:r w:rsidR="005E677A">
        <w:rPr>
          <w:rFonts w:asciiTheme="majorHAnsi" w:hAnsiTheme="majorHAnsi" w:cstheme="majorHAnsi"/>
        </w:rPr>
        <w:t>s</w:t>
      </w:r>
      <w:r>
        <w:rPr>
          <w:rFonts w:asciiTheme="majorHAnsi" w:hAnsiTheme="majorHAnsi" w:cstheme="majorHAnsi"/>
        </w:rPr>
        <w:t xml:space="preserve"> every day </w:t>
      </w:r>
      <w:r w:rsidR="005E677A">
        <w:rPr>
          <w:rFonts w:asciiTheme="majorHAnsi" w:hAnsiTheme="majorHAnsi" w:cstheme="majorHAnsi"/>
        </w:rPr>
        <w:t>throughout operating hours</w:t>
      </w:r>
      <w:r>
        <w:rPr>
          <w:rFonts w:asciiTheme="majorHAnsi" w:hAnsiTheme="majorHAnsi" w:cstheme="majorHAnsi"/>
        </w:rPr>
        <w:t>, leaving li</w:t>
      </w:r>
      <w:r w:rsidR="007E00BB">
        <w:rPr>
          <w:rFonts w:asciiTheme="majorHAnsi" w:hAnsiTheme="majorHAnsi" w:cstheme="majorHAnsi"/>
        </w:rPr>
        <w:t xml:space="preserve">mited </w:t>
      </w:r>
      <w:r>
        <w:rPr>
          <w:rFonts w:asciiTheme="majorHAnsi" w:hAnsiTheme="majorHAnsi" w:cstheme="majorHAnsi"/>
        </w:rPr>
        <w:t xml:space="preserve">room for selection bias. Volunteers received </w:t>
      </w:r>
      <w:r w:rsidR="005E677A">
        <w:rPr>
          <w:rFonts w:asciiTheme="majorHAnsi" w:hAnsiTheme="majorHAnsi" w:cstheme="majorHAnsi"/>
        </w:rPr>
        <w:t xml:space="preserve">many </w:t>
      </w:r>
      <w:r>
        <w:rPr>
          <w:rFonts w:asciiTheme="majorHAnsi" w:hAnsiTheme="majorHAnsi" w:cstheme="majorHAnsi"/>
        </w:rPr>
        <w:t xml:space="preserve">hours of training, with instruction on conducting the data collection in a standardized manner. Use of standardized, vetted questions limited potential </w:t>
      </w:r>
      <w:r w:rsidR="002E1D94">
        <w:rPr>
          <w:rFonts w:asciiTheme="majorHAnsi" w:hAnsiTheme="majorHAnsi" w:cstheme="majorHAnsi"/>
        </w:rPr>
        <w:t xml:space="preserve">interviewer </w:t>
      </w:r>
      <w:r>
        <w:rPr>
          <w:rFonts w:asciiTheme="majorHAnsi" w:hAnsiTheme="majorHAnsi" w:cstheme="majorHAnsi"/>
        </w:rPr>
        <w:t xml:space="preserve">bias. </w:t>
      </w:r>
    </w:p>
    <w:p w14:paraId="14464051" w14:textId="4F35A996" w:rsidR="0034351E" w:rsidRDefault="0034351E" w:rsidP="00F35504">
      <w:pPr>
        <w:pStyle w:val="Heading2"/>
        <w:rPr>
          <w:b w:val="0"/>
          <w:bCs w:val="0"/>
        </w:rPr>
      </w:pPr>
      <w:bookmarkStart w:id="32" w:name="_Toc16262344"/>
      <w:r w:rsidRPr="00A8303E">
        <w:rPr>
          <w:b w:val="0"/>
          <w:bCs w:val="0"/>
        </w:rPr>
        <w:t>Limitations</w:t>
      </w:r>
      <w:bookmarkEnd w:id="32"/>
      <w:r w:rsidRPr="00A8303E">
        <w:rPr>
          <w:b w:val="0"/>
          <w:bCs w:val="0"/>
        </w:rPr>
        <w:t xml:space="preserve"> </w:t>
      </w:r>
    </w:p>
    <w:p w14:paraId="74B26737" w14:textId="4C6641A5" w:rsidR="005044D9" w:rsidRDefault="0034351E" w:rsidP="00C11902">
      <w:r>
        <w:t xml:space="preserve">The conclusions presented in this report reflect findings from the population served by the organization in Calgary, and may not be generalizable to populations in other localities. Despite efforts made to ensure privacy for </w:t>
      </w:r>
      <w:r w:rsidR="00531870">
        <w:t>t</w:t>
      </w:r>
      <w:r>
        <w:t xml:space="preserve">he </w:t>
      </w:r>
      <w:r w:rsidR="002E1D94">
        <w:t>data collection</w:t>
      </w:r>
      <w:r>
        <w:t xml:space="preserve"> process</w:t>
      </w:r>
      <w:r w:rsidR="00531870">
        <w:t>,</w:t>
      </w:r>
      <w:r>
        <w:t xml:space="preserve"> it is possible that discomfort on the part of select individuals</w:t>
      </w:r>
      <w:r w:rsidR="000B110B">
        <w:t>, or Elizabeth Fry representatives,</w:t>
      </w:r>
      <w:r>
        <w:t xml:space="preserve"> may have </w:t>
      </w:r>
      <w:r w:rsidR="00B837EE">
        <w:t xml:space="preserve">previously </w:t>
      </w:r>
      <w:r>
        <w:t>affected responses and response rates to certain questions.</w:t>
      </w:r>
      <w:r w:rsidR="000B110B">
        <w:t xml:space="preserve"> In an effort to mitigate the latter concern, </w:t>
      </w:r>
      <w:r w:rsidR="002E1D94">
        <w:t>each representative’s</w:t>
      </w:r>
      <w:r w:rsidR="000B110B">
        <w:t xml:space="preserve"> statistics were monitored for completeness, with support provided to individuals struggling with </w:t>
      </w:r>
      <w:r w:rsidR="00C63DA5" w:rsidRPr="00C63DA5">
        <w:t>certain</w:t>
      </w:r>
      <w:r w:rsidR="000B110B" w:rsidRPr="00C63DA5">
        <w:t xml:space="preserve"> questions</w:t>
      </w:r>
      <w:r w:rsidR="000B110B">
        <w:t xml:space="preserve"> with susceptibility to individual bias or discomfort. </w:t>
      </w:r>
      <w:r w:rsidR="00531870">
        <w:t>Owing to a paucity of provincial court data, prevalence values from years preceding 2017 were sometimes used as a basis for comparison as needed; dates for these values have been noted throughout this repor</w:t>
      </w:r>
      <w:r w:rsidR="00C63DA5">
        <w:t>t.</w:t>
      </w:r>
    </w:p>
    <w:p w14:paraId="46A7F7ED" w14:textId="77D910F9" w:rsidR="00091386" w:rsidRPr="005044D9" w:rsidRDefault="005044D9" w:rsidP="004A0D0F">
      <w:r>
        <w:br w:type="page"/>
      </w:r>
    </w:p>
    <w:p w14:paraId="287375C6" w14:textId="1644C445" w:rsidR="00147C80" w:rsidRPr="00C77082" w:rsidRDefault="00147C80" w:rsidP="00C77082">
      <w:pPr>
        <w:pStyle w:val="Heading1"/>
      </w:pPr>
      <w:bookmarkStart w:id="33" w:name="_Toc16262345"/>
      <w:r w:rsidRPr="00C77082">
        <w:lastRenderedPageBreak/>
        <w:t>Results</w:t>
      </w:r>
      <w:bookmarkEnd w:id="33"/>
      <w:r w:rsidRPr="00C77082">
        <w:t xml:space="preserve"> </w:t>
      </w:r>
    </w:p>
    <w:p w14:paraId="6450A7D8" w14:textId="631A8FF0" w:rsidR="00147C80" w:rsidRDefault="00F471B6" w:rsidP="00CF5FD1">
      <w:pPr>
        <w:pStyle w:val="Heading2"/>
      </w:pPr>
      <w:bookmarkStart w:id="34" w:name="_Toc16262346"/>
      <w:r>
        <w:t>Calgary’s</w:t>
      </w:r>
      <w:r w:rsidR="009E60BB">
        <w:t xml:space="preserve"> </w:t>
      </w:r>
      <w:r w:rsidR="00147C80">
        <w:t>Adult Court</w:t>
      </w:r>
      <w:bookmarkEnd w:id="34"/>
    </w:p>
    <w:p w14:paraId="21117405" w14:textId="230DFE81" w:rsidR="00637512" w:rsidRDefault="00F471B6" w:rsidP="0063751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lang w:val="en-US"/>
        </w:rPr>
        <w:drawing>
          <wp:anchor distT="0" distB="0" distL="114300" distR="114300" simplePos="0" relativeHeight="247469568" behindDoc="1" locked="0" layoutInCell="1" allowOverlap="1" wp14:anchorId="7B199FB9" wp14:editId="1A35C2B1">
            <wp:simplePos x="0" y="0"/>
            <wp:positionH relativeFrom="margin">
              <wp:posOffset>3759200</wp:posOffset>
            </wp:positionH>
            <wp:positionV relativeFrom="page">
              <wp:posOffset>1451610</wp:posOffset>
            </wp:positionV>
            <wp:extent cx="2883535" cy="2419350"/>
            <wp:effectExtent l="0" t="0" r="0" b="0"/>
            <wp:wrapTight wrapText="bothSides">
              <wp:wrapPolygon edited="0">
                <wp:start x="0" y="0"/>
                <wp:lineTo x="0" y="21430"/>
                <wp:lineTo x="21405" y="21430"/>
                <wp:lineTo x="21405"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3">
                      <a:extLst>
                        <a:ext uri="{28A0092B-C50C-407E-A947-70E740481C1C}">
                          <a14:useLocalDpi xmlns:a14="http://schemas.microsoft.com/office/drawing/2010/main" val="0"/>
                        </a:ext>
                      </a:extLst>
                    </a:blip>
                    <a:srcRect l="29104" t="19223" r="28181" b="19858"/>
                    <a:stretch/>
                  </pic:blipFill>
                  <pic:spPr bwMode="auto">
                    <a:xfrm>
                      <a:off x="0" y="0"/>
                      <a:ext cx="288353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anchor distT="0" distB="0" distL="114300" distR="114300" simplePos="0" relativeHeight="247431680" behindDoc="1" locked="0" layoutInCell="1" allowOverlap="1" wp14:anchorId="660516D9" wp14:editId="1B7AB3EE">
            <wp:simplePos x="0" y="0"/>
            <wp:positionH relativeFrom="margin">
              <wp:posOffset>-251</wp:posOffset>
            </wp:positionH>
            <wp:positionV relativeFrom="page">
              <wp:posOffset>1539387</wp:posOffset>
            </wp:positionV>
            <wp:extent cx="3259455" cy="2331085"/>
            <wp:effectExtent l="0" t="0" r="0" b="0"/>
            <wp:wrapTight wrapText="bothSides">
              <wp:wrapPolygon edited="0">
                <wp:start x="0" y="0"/>
                <wp:lineTo x="0" y="21359"/>
                <wp:lineTo x="21461" y="21359"/>
                <wp:lineTo x="2146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a:extLst>
                        <a:ext uri="{28A0092B-C50C-407E-A947-70E740481C1C}">
                          <a14:useLocalDpi xmlns:a14="http://schemas.microsoft.com/office/drawing/2010/main" val="0"/>
                        </a:ext>
                      </a:extLst>
                    </a:blip>
                    <a:srcRect l="25934" t="20951" r="25906" b="20509"/>
                    <a:stretch/>
                  </pic:blipFill>
                  <pic:spPr bwMode="auto">
                    <a:xfrm>
                      <a:off x="0" y="0"/>
                      <a:ext cx="3259455" cy="233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51671" w14:textId="44351E8F" w:rsidR="00F01D7D" w:rsidRPr="00F01D7D" w:rsidRDefault="00F01D7D" w:rsidP="00F01D7D">
      <w:pPr>
        <w:autoSpaceDE w:val="0"/>
        <w:autoSpaceDN w:val="0"/>
        <w:adjustRightInd w:val="0"/>
        <w:spacing w:after="0" w:line="240" w:lineRule="auto"/>
        <w:rPr>
          <w:rFonts w:ascii="Times New Roman" w:hAnsi="Times New Roman" w:cs="Times New Roman"/>
          <w:sz w:val="24"/>
          <w:szCs w:val="24"/>
        </w:rPr>
      </w:pPr>
    </w:p>
    <w:p w14:paraId="410CC26C" w14:textId="60FC2C31" w:rsidR="00FB4954" w:rsidRDefault="00F471B6" w:rsidP="00FB4954">
      <w:pPr>
        <w:pStyle w:val="Caption"/>
        <w:ind w:right="5980"/>
      </w:pPr>
      <w:r>
        <w:rPr>
          <w:noProof/>
          <w:lang w:val="en-US"/>
        </w:rPr>
        <mc:AlternateContent>
          <mc:Choice Requires="wps">
            <w:drawing>
              <wp:anchor distT="0" distB="0" distL="114300" distR="114300" simplePos="0" relativeHeight="256363008" behindDoc="1" locked="0" layoutInCell="1" allowOverlap="1" wp14:anchorId="0EE2596D" wp14:editId="4D556AB5">
                <wp:simplePos x="0" y="0"/>
                <wp:positionH relativeFrom="margin">
                  <wp:posOffset>338455</wp:posOffset>
                </wp:positionH>
                <wp:positionV relativeFrom="page">
                  <wp:posOffset>3953510</wp:posOffset>
                </wp:positionV>
                <wp:extent cx="2887980" cy="790575"/>
                <wp:effectExtent l="0" t="0" r="7620" b="9525"/>
                <wp:wrapTight wrapText="bothSides">
                  <wp:wrapPolygon edited="0">
                    <wp:start x="0" y="0"/>
                    <wp:lineTo x="0" y="21340"/>
                    <wp:lineTo x="21515" y="21340"/>
                    <wp:lineTo x="21515" y="0"/>
                    <wp:lineTo x="0" y="0"/>
                  </wp:wrapPolygon>
                </wp:wrapTight>
                <wp:docPr id="564" name="Text Box 564"/>
                <wp:cNvGraphicFramePr/>
                <a:graphic xmlns:a="http://schemas.openxmlformats.org/drawingml/2006/main">
                  <a:graphicData uri="http://schemas.microsoft.com/office/word/2010/wordprocessingShape">
                    <wps:wsp>
                      <wps:cNvSpPr txBox="1"/>
                      <wps:spPr>
                        <a:xfrm>
                          <a:off x="0" y="0"/>
                          <a:ext cx="2887980" cy="790575"/>
                        </a:xfrm>
                        <a:prstGeom prst="rect">
                          <a:avLst/>
                        </a:prstGeom>
                        <a:solidFill>
                          <a:prstClr val="white"/>
                        </a:solidFill>
                        <a:ln>
                          <a:noFill/>
                        </a:ln>
                      </wps:spPr>
                      <wps:txbx>
                        <w:txbxContent>
                          <w:p w14:paraId="1578A6F3" w14:textId="6D5707D2" w:rsidR="00A56EB4" w:rsidRPr="00701EC7" w:rsidRDefault="00A56EB4" w:rsidP="00F471B6">
                            <w:pPr>
                              <w:pStyle w:val="Caption"/>
                              <w:rPr>
                                <w:rFonts w:ascii="Times New Roman" w:hAnsi="Times New Roman" w:cs="Times New Roman"/>
                                <w:noProof/>
                                <w:sz w:val="24"/>
                                <w:szCs w:val="24"/>
                              </w:rPr>
                            </w:pPr>
                            <w:r w:rsidRPr="00B63B81">
                              <w:rPr>
                                <w:b/>
                                <w:bCs/>
                              </w:rPr>
                              <w:t>Figure 1.</w:t>
                            </w:r>
                            <w:r>
                              <w:t xml:space="preserve"> A pie chart of gender distribution as observed in Calgary’s Adult Court between January 2017 and December 2018, from a sample size of 2,809. Slice sizes represent the proportion of attendees identifying as a specific gender.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596D" id="Text Box 564" o:spid="_x0000_s1042" type="#_x0000_t202" style="position:absolute;margin-left:26.65pt;margin-top:311.3pt;width:227.4pt;height:62.25pt;z-index:-2469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" stroked="f">
                <v:textbox inset="0,0,0,0">
                  <w:txbxContent>
                    <w:p w14:paraId="1578A6F3" w14:textId="6D5707D2" w:rsidR="00A56EB4" w:rsidRPr="00701EC7" w:rsidRDefault="00A56EB4" w:rsidP="00F471B6">
                      <w:pPr>
                        <w:pStyle w:val="Caption"/>
                        <w:rPr>
                          <w:rFonts w:ascii="Times New Roman" w:hAnsi="Times New Roman" w:cs="Times New Roman"/>
                          <w:noProof/>
                          <w:sz w:val="24"/>
                          <w:szCs w:val="24"/>
                        </w:rPr>
                      </w:pPr>
                      <w:r w:rsidRPr="00B63B81">
                        <w:rPr>
                          <w:b/>
                          <w:bCs/>
                        </w:rPr>
                        <w:t>Figure 1.</w:t>
                      </w:r>
                      <w:r>
                        <w:t xml:space="preserve"> A pie chart of gender distribution as observed in Calgary’s Adult Court between January 2017 and December 2018, from a sample size of 2,809. Slice sizes represent the proportion of attendees identifying as a specific gender.</w:t>
                      </w:r>
                    </w:p>
                  </w:txbxContent>
                </v:textbox>
                <w10:wrap type="tight" anchorx="margin" anchory="page"/>
              </v:shape>
            </w:pict>
          </mc:Fallback>
        </mc:AlternateContent>
      </w:r>
      <w:r>
        <w:rPr>
          <w:noProof/>
          <w:lang w:val="en-US"/>
        </w:rPr>
        <mc:AlternateContent>
          <mc:Choice Requires="wps">
            <w:drawing>
              <wp:anchor distT="0" distB="0" distL="114300" distR="114300" simplePos="0" relativeHeight="247510528" behindDoc="1" locked="0" layoutInCell="1" allowOverlap="1" wp14:anchorId="154BEF5A" wp14:editId="60EB72E6">
                <wp:simplePos x="0" y="0"/>
                <wp:positionH relativeFrom="margin">
                  <wp:posOffset>3834425</wp:posOffset>
                </wp:positionH>
                <wp:positionV relativeFrom="page">
                  <wp:posOffset>3904615</wp:posOffset>
                </wp:positionV>
                <wp:extent cx="2887980" cy="790575"/>
                <wp:effectExtent l="0" t="0" r="7620" b="9525"/>
                <wp:wrapTight wrapText="bothSides">
                  <wp:wrapPolygon edited="0">
                    <wp:start x="0" y="0"/>
                    <wp:lineTo x="0" y="21340"/>
                    <wp:lineTo x="21515" y="21340"/>
                    <wp:lineTo x="21515" y="0"/>
                    <wp:lineTo x="0" y="0"/>
                  </wp:wrapPolygon>
                </wp:wrapTight>
                <wp:docPr id="205" name="Text Box 205"/>
                <wp:cNvGraphicFramePr/>
                <a:graphic xmlns:a="http://schemas.openxmlformats.org/drawingml/2006/main">
                  <a:graphicData uri="http://schemas.microsoft.com/office/word/2010/wordprocessingShape">
                    <wps:wsp>
                      <wps:cNvSpPr txBox="1"/>
                      <wps:spPr>
                        <a:xfrm>
                          <a:off x="0" y="0"/>
                          <a:ext cx="2887980" cy="790575"/>
                        </a:xfrm>
                        <a:prstGeom prst="rect">
                          <a:avLst/>
                        </a:prstGeom>
                        <a:solidFill>
                          <a:prstClr val="white"/>
                        </a:solidFill>
                        <a:ln>
                          <a:noFill/>
                        </a:ln>
                      </wps:spPr>
                      <wps:txbx>
                        <w:txbxContent>
                          <w:p w14:paraId="6603DF50" w14:textId="462325D9" w:rsidR="00A56EB4" w:rsidRPr="00701EC7" w:rsidRDefault="00A56EB4" w:rsidP="00637512">
                            <w:pPr>
                              <w:pStyle w:val="Caption"/>
                              <w:rPr>
                                <w:rFonts w:ascii="Times New Roman" w:hAnsi="Times New Roman" w:cs="Times New Roman"/>
                                <w:noProof/>
                                <w:sz w:val="24"/>
                                <w:szCs w:val="24"/>
                              </w:rPr>
                            </w:pPr>
                            <w:r w:rsidRPr="00B63B81">
                              <w:rPr>
                                <w:b/>
                                <w:bCs/>
                              </w:rPr>
                              <w:t>Figure 2.</w:t>
                            </w:r>
                            <w:r>
                              <w:t xml:space="preserve"> A pie chart of age distribution as observed in Calgary’s Adult Court between January 2017 and December 2018, from a sample size of 2,757.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EF5A" id="Text Box 205" o:spid="_x0000_s1043" type="#_x0000_t202" style="position:absolute;margin-left:301.9pt;margin-top:307.45pt;width:227.4pt;height:62.25pt;z-index:-25580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" stroked="f">
                <v:textbox inset="0,0,0,0">
                  <w:txbxContent>
                    <w:p w14:paraId="6603DF50" w14:textId="462325D9" w:rsidR="00A56EB4" w:rsidRPr="00701EC7" w:rsidRDefault="00A56EB4" w:rsidP="00637512">
                      <w:pPr>
                        <w:pStyle w:val="Caption"/>
                        <w:rPr>
                          <w:rFonts w:ascii="Times New Roman" w:hAnsi="Times New Roman" w:cs="Times New Roman"/>
                          <w:noProof/>
                          <w:sz w:val="24"/>
                          <w:szCs w:val="24"/>
                        </w:rPr>
                      </w:pPr>
                      <w:r w:rsidRPr="00B63B81">
                        <w:rPr>
                          <w:b/>
                          <w:bCs/>
                        </w:rPr>
                        <w:t>Figure 2.</w:t>
                      </w:r>
                      <w:r>
                        <w:t xml:space="preserve"> A pie chart of age distribution as observed in Calgary’s Adult Court between January 2017 and December 2018, from a sample size of 2,757. Slice size represents the relative proportion of respondents within an age category. </w:t>
                      </w:r>
                    </w:p>
                  </w:txbxContent>
                </v:textbox>
                <w10:wrap type="tight" anchorx="margin" anchory="page"/>
              </v:shape>
            </w:pict>
          </mc:Fallback>
        </mc:AlternateContent>
      </w:r>
      <w:r w:rsidR="008B1055">
        <w:rPr>
          <w:noProof/>
          <w:lang w:val="en-US"/>
        </w:rPr>
        <mc:AlternateContent>
          <mc:Choice Requires="wps">
            <w:drawing>
              <wp:anchor distT="0" distB="0" distL="114300" distR="114300" simplePos="0" relativeHeight="247580160" behindDoc="1" locked="0" layoutInCell="1" allowOverlap="1" wp14:anchorId="64CF1F19" wp14:editId="43A3D6E4">
                <wp:simplePos x="0" y="0"/>
                <wp:positionH relativeFrom="margin">
                  <wp:posOffset>71755</wp:posOffset>
                </wp:positionH>
                <wp:positionV relativeFrom="page">
                  <wp:posOffset>8924925</wp:posOffset>
                </wp:positionV>
                <wp:extent cx="6862445" cy="295275"/>
                <wp:effectExtent l="0" t="0" r="0" b="9525"/>
                <wp:wrapTight wrapText="bothSides">
                  <wp:wrapPolygon edited="0">
                    <wp:start x="0" y="0"/>
                    <wp:lineTo x="0" y="20903"/>
                    <wp:lineTo x="21526" y="20903"/>
                    <wp:lineTo x="21526" y="0"/>
                    <wp:lineTo x="0" y="0"/>
                  </wp:wrapPolygon>
                </wp:wrapTight>
                <wp:docPr id="207" name="Text Box 207"/>
                <wp:cNvGraphicFramePr/>
                <a:graphic xmlns:a="http://schemas.openxmlformats.org/drawingml/2006/main">
                  <a:graphicData uri="http://schemas.microsoft.com/office/word/2010/wordprocessingShape">
                    <wps:wsp>
                      <wps:cNvSpPr txBox="1"/>
                      <wps:spPr>
                        <a:xfrm>
                          <a:off x="0" y="0"/>
                          <a:ext cx="6862445" cy="295275"/>
                        </a:xfrm>
                        <a:prstGeom prst="rect">
                          <a:avLst/>
                        </a:prstGeom>
                        <a:solidFill>
                          <a:prstClr val="white"/>
                        </a:solidFill>
                        <a:ln>
                          <a:noFill/>
                        </a:ln>
                      </wps:spPr>
                      <wps:txbx>
                        <w:txbxContent>
                          <w:p w14:paraId="63F3ED6D" w14:textId="571CB888" w:rsidR="00A56EB4" w:rsidRPr="006839F3" w:rsidRDefault="00A56EB4" w:rsidP="00140AD1">
                            <w:pPr>
                              <w:pStyle w:val="Caption"/>
                              <w:rPr>
                                <w:rFonts w:ascii="Times New Roman" w:hAnsi="Times New Roman" w:cs="Times New Roman"/>
                                <w:noProof/>
                                <w:sz w:val="24"/>
                                <w:szCs w:val="24"/>
                              </w:rPr>
                            </w:pPr>
                            <w:r w:rsidRPr="00B63B81">
                              <w:rPr>
                                <w:b/>
                                <w:bCs/>
                              </w:rPr>
                              <w:t>Figure 3</w:t>
                            </w:r>
                            <w:r>
                              <w:t>. A population pyramid representing the frequency (x-axis) of attendee gender (split), stratified by age (y-axis), at Calgary’s Adult Court between January 2017 and December 2018, from a sample size of 2,752.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1F19" id="Text Box 207" o:spid="_x0000_s1044" type="#_x0000_t202" style="position:absolute;margin-left:5.65pt;margin-top:702.75pt;width:540.35pt;height:23.25pt;z-index:-255736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" stroked="f">
                <v:textbox inset="0,0,0,0">
                  <w:txbxContent>
                    <w:p w14:paraId="63F3ED6D" w14:textId="571CB888" w:rsidR="00A56EB4" w:rsidRPr="006839F3" w:rsidRDefault="00A56EB4" w:rsidP="00140AD1">
                      <w:pPr>
                        <w:pStyle w:val="Caption"/>
                        <w:rPr>
                          <w:rFonts w:ascii="Times New Roman" w:hAnsi="Times New Roman" w:cs="Times New Roman"/>
                          <w:noProof/>
                          <w:sz w:val="24"/>
                          <w:szCs w:val="24"/>
                        </w:rPr>
                      </w:pPr>
                      <w:r w:rsidRPr="00B63B81">
                        <w:rPr>
                          <w:b/>
                          <w:bCs/>
                        </w:rPr>
                        <w:t>Figure 3</w:t>
                      </w:r>
                      <w:r>
                        <w:t>. A population pyramid representing the frequency (x-axis) of attendee gender (split), stratified by age (y-axis), at Calgary’s Adult Court between January 2017 and December 2018, from a sample size of 2,752.</w:t>
                      </w:r>
                    </w:p>
                  </w:txbxContent>
                </v:textbox>
                <w10:wrap type="tight" anchorx="margin" anchory="page"/>
              </v:shape>
            </w:pict>
          </mc:Fallback>
        </mc:AlternateContent>
      </w:r>
      <w:r w:rsidR="008B1055">
        <w:rPr>
          <w:rFonts w:ascii="Times New Roman" w:hAnsi="Times New Roman" w:cs="Times New Roman"/>
          <w:noProof/>
          <w:sz w:val="24"/>
          <w:szCs w:val="24"/>
          <w:lang w:val="en-US"/>
        </w:rPr>
        <w:drawing>
          <wp:anchor distT="0" distB="0" distL="114300" distR="114300" simplePos="0" relativeHeight="247545344" behindDoc="1" locked="0" layoutInCell="1" allowOverlap="1" wp14:anchorId="4F5992E0" wp14:editId="7F77D3E6">
            <wp:simplePos x="0" y="0"/>
            <wp:positionH relativeFrom="margin">
              <wp:align>left</wp:align>
            </wp:positionH>
            <wp:positionV relativeFrom="margin">
              <wp:posOffset>4133850</wp:posOffset>
            </wp:positionV>
            <wp:extent cx="6837680" cy="4021455"/>
            <wp:effectExtent l="0" t="0" r="1270" b="0"/>
            <wp:wrapTight wrapText="bothSides">
              <wp:wrapPolygon edited="0">
                <wp:start x="0" y="0"/>
                <wp:lineTo x="0" y="21487"/>
                <wp:lineTo x="21544" y="21487"/>
                <wp:lineTo x="21544"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7680" cy="402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2D1D4" w14:textId="5C64CAFE" w:rsidR="00F471B6" w:rsidRDefault="00F471B6" w:rsidP="0073656B">
      <w:pPr>
        <w:keepNext/>
        <w:autoSpaceDE w:val="0"/>
        <w:autoSpaceDN w:val="0"/>
        <w:adjustRightInd w:val="0"/>
        <w:spacing w:after="0" w:line="240" w:lineRule="auto"/>
      </w:pPr>
    </w:p>
    <w:p w14:paraId="1039AC02" w14:textId="32D43B29" w:rsidR="00F471B6" w:rsidRDefault="00F471B6" w:rsidP="0073656B">
      <w:pPr>
        <w:keepNext/>
        <w:autoSpaceDE w:val="0"/>
        <w:autoSpaceDN w:val="0"/>
        <w:adjustRightInd w:val="0"/>
        <w:spacing w:after="0" w:line="240" w:lineRule="auto"/>
      </w:pPr>
    </w:p>
    <w:p w14:paraId="0042DD63" w14:textId="1CEB5601" w:rsidR="00F471B6" w:rsidRDefault="00F471B6" w:rsidP="0073656B">
      <w:pPr>
        <w:keepNext/>
        <w:autoSpaceDE w:val="0"/>
        <w:autoSpaceDN w:val="0"/>
        <w:adjustRightInd w:val="0"/>
        <w:spacing w:after="0" w:line="240" w:lineRule="auto"/>
      </w:pPr>
    </w:p>
    <w:p w14:paraId="00BDD7FA" w14:textId="458FD596" w:rsidR="00F471B6" w:rsidRDefault="00F471B6" w:rsidP="0073656B">
      <w:pPr>
        <w:keepNext/>
        <w:autoSpaceDE w:val="0"/>
        <w:autoSpaceDN w:val="0"/>
        <w:adjustRightInd w:val="0"/>
        <w:spacing w:after="0" w:line="240" w:lineRule="auto"/>
      </w:pPr>
    </w:p>
    <w:p w14:paraId="131CF462" w14:textId="6BF3EF0B" w:rsidR="00F471B6" w:rsidRDefault="00F471B6" w:rsidP="0073656B">
      <w:pPr>
        <w:keepNext/>
        <w:autoSpaceDE w:val="0"/>
        <w:autoSpaceDN w:val="0"/>
        <w:adjustRightInd w:val="0"/>
        <w:spacing w:after="0" w:line="240" w:lineRule="auto"/>
      </w:pPr>
    </w:p>
    <w:p w14:paraId="72900C21" w14:textId="406BEC7B" w:rsidR="00F471B6" w:rsidRDefault="00F471B6" w:rsidP="0073656B">
      <w:pPr>
        <w:keepNext/>
        <w:autoSpaceDE w:val="0"/>
        <w:autoSpaceDN w:val="0"/>
        <w:adjustRightInd w:val="0"/>
        <w:spacing w:after="0" w:line="240" w:lineRule="auto"/>
      </w:pPr>
    </w:p>
    <w:p w14:paraId="5877F69F" w14:textId="3F0C15EE" w:rsidR="00F471B6" w:rsidRDefault="00F471B6" w:rsidP="0073656B">
      <w:pPr>
        <w:keepNext/>
        <w:autoSpaceDE w:val="0"/>
        <w:autoSpaceDN w:val="0"/>
        <w:adjustRightInd w:val="0"/>
        <w:spacing w:after="0" w:line="240" w:lineRule="auto"/>
      </w:pPr>
    </w:p>
    <w:p w14:paraId="7B31F642" w14:textId="5D545539" w:rsidR="00F471B6" w:rsidRDefault="00F471B6" w:rsidP="0073656B">
      <w:pPr>
        <w:keepNext/>
        <w:autoSpaceDE w:val="0"/>
        <w:autoSpaceDN w:val="0"/>
        <w:adjustRightInd w:val="0"/>
        <w:spacing w:after="0" w:line="240" w:lineRule="auto"/>
      </w:pPr>
    </w:p>
    <w:p w14:paraId="7F738C1D" w14:textId="48B06F84" w:rsidR="00F471B6" w:rsidRDefault="00F471B6" w:rsidP="0073656B">
      <w:pPr>
        <w:keepNext/>
        <w:autoSpaceDE w:val="0"/>
        <w:autoSpaceDN w:val="0"/>
        <w:adjustRightInd w:val="0"/>
        <w:spacing w:after="0" w:line="240" w:lineRule="auto"/>
      </w:pPr>
    </w:p>
    <w:p w14:paraId="5467CD57" w14:textId="2FF60968" w:rsidR="00F471B6" w:rsidRDefault="00F471B6" w:rsidP="0073656B">
      <w:pPr>
        <w:keepNext/>
        <w:autoSpaceDE w:val="0"/>
        <w:autoSpaceDN w:val="0"/>
        <w:adjustRightInd w:val="0"/>
        <w:spacing w:after="0" w:line="240" w:lineRule="auto"/>
      </w:pPr>
    </w:p>
    <w:p w14:paraId="25DF7549" w14:textId="0DE76AD0" w:rsidR="00F471B6" w:rsidRDefault="00F471B6" w:rsidP="0073656B">
      <w:pPr>
        <w:keepNext/>
        <w:autoSpaceDE w:val="0"/>
        <w:autoSpaceDN w:val="0"/>
        <w:adjustRightInd w:val="0"/>
        <w:spacing w:after="0" w:line="240" w:lineRule="auto"/>
      </w:pPr>
    </w:p>
    <w:p w14:paraId="7A7DC660" w14:textId="4C94B913" w:rsidR="00F471B6" w:rsidRDefault="00F471B6" w:rsidP="0073656B">
      <w:pPr>
        <w:keepNext/>
        <w:autoSpaceDE w:val="0"/>
        <w:autoSpaceDN w:val="0"/>
        <w:adjustRightInd w:val="0"/>
        <w:spacing w:after="0" w:line="240" w:lineRule="auto"/>
      </w:pPr>
    </w:p>
    <w:p w14:paraId="47BFD149" w14:textId="77777777" w:rsidR="00F471B6" w:rsidRDefault="00F471B6" w:rsidP="0073656B">
      <w:pPr>
        <w:keepNext/>
        <w:autoSpaceDE w:val="0"/>
        <w:autoSpaceDN w:val="0"/>
        <w:adjustRightInd w:val="0"/>
        <w:spacing w:after="0" w:line="240" w:lineRule="auto"/>
      </w:pPr>
    </w:p>
    <w:p w14:paraId="5B0248D8" w14:textId="77777777" w:rsidR="00F471B6" w:rsidRDefault="00F471B6" w:rsidP="0073656B">
      <w:pPr>
        <w:keepNext/>
        <w:autoSpaceDE w:val="0"/>
        <w:autoSpaceDN w:val="0"/>
        <w:adjustRightInd w:val="0"/>
        <w:spacing w:after="0" w:line="240" w:lineRule="auto"/>
      </w:pPr>
    </w:p>
    <w:p w14:paraId="10074300" w14:textId="77777777" w:rsidR="00F471B6" w:rsidRDefault="00F471B6" w:rsidP="0073656B">
      <w:pPr>
        <w:keepNext/>
        <w:autoSpaceDE w:val="0"/>
        <w:autoSpaceDN w:val="0"/>
        <w:adjustRightInd w:val="0"/>
        <w:spacing w:after="0" w:line="240" w:lineRule="auto"/>
      </w:pPr>
    </w:p>
    <w:p w14:paraId="402576BF" w14:textId="66AD9A77" w:rsidR="00F471B6" w:rsidRDefault="00F471B6" w:rsidP="0073656B">
      <w:pPr>
        <w:keepNext/>
        <w:autoSpaceDE w:val="0"/>
        <w:autoSpaceDN w:val="0"/>
        <w:adjustRightInd w:val="0"/>
        <w:spacing w:after="0" w:line="240" w:lineRule="auto"/>
      </w:pPr>
    </w:p>
    <w:p w14:paraId="5CFD94FF" w14:textId="186C077D" w:rsidR="007B0FA7" w:rsidRDefault="00A851BF" w:rsidP="005870FD">
      <w:pPr>
        <w:keepNext/>
        <w:autoSpaceDE w:val="0"/>
        <w:autoSpaceDN w:val="0"/>
        <w:adjustRightInd w:val="0"/>
        <w:spacing w:after="0" w:line="240" w:lineRule="auto"/>
      </w:pPr>
      <w:r>
        <w:rPr>
          <w:noProof/>
          <w:lang w:val="en-US"/>
        </w:rPr>
        <w:lastRenderedPageBreak/>
        <mc:AlternateContent>
          <mc:Choice Requires="wps">
            <w:drawing>
              <wp:anchor distT="0" distB="0" distL="114300" distR="114300" simplePos="0" relativeHeight="247612928" behindDoc="1" locked="0" layoutInCell="1" allowOverlap="1" wp14:anchorId="34873367" wp14:editId="33090E0D">
                <wp:simplePos x="0" y="0"/>
                <wp:positionH relativeFrom="margin">
                  <wp:posOffset>20955</wp:posOffset>
                </wp:positionH>
                <wp:positionV relativeFrom="margin">
                  <wp:posOffset>2806390</wp:posOffset>
                </wp:positionV>
                <wp:extent cx="3550920" cy="742950"/>
                <wp:effectExtent l="0" t="0" r="0" b="0"/>
                <wp:wrapTight wrapText="bothSides">
                  <wp:wrapPolygon edited="0">
                    <wp:start x="0" y="0"/>
                    <wp:lineTo x="0" y="21046"/>
                    <wp:lineTo x="21438" y="21046"/>
                    <wp:lineTo x="21438" y="0"/>
                    <wp:lineTo x="0" y="0"/>
                  </wp:wrapPolygon>
                </wp:wrapTight>
                <wp:docPr id="209" name="Text Box 209"/>
                <wp:cNvGraphicFramePr/>
                <a:graphic xmlns:a="http://schemas.openxmlformats.org/drawingml/2006/main">
                  <a:graphicData uri="http://schemas.microsoft.com/office/word/2010/wordprocessingShape">
                    <wps:wsp>
                      <wps:cNvSpPr txBox="1"/>
                      <wps:spPr>
                        <a:xfrm>
                          <a:off x="0" y="0"/>
                          <a:ext cx="3550920" cy="742950"/>
                        </a:xfrm>
                        <a:prstGeom prst="rect">
                          <a:avLst/>
                        </a:prstGeom>
                        <a:solidFill>
                          <a:prstClr val="white"/>
                        </a:solidFill>
                        <a:ln>
                          <a:noFill/>
                        </a:ln>
                      </wps:spPr>
                      <wps:txbx>
                        <w:txbxContent>
                          <w:p w14:paraId="4C51DB9F" w14:textId="494BC728" w:rsidR="00A56EB4" w:rsidRPr="00701EC7" w:rsidRDefault="00A56EB4" w:rsidP="00711EBF">
                            <w:pPr>
                              <w:pStyle w:val="Caption"/>
                              <w:rPr>
                                <w:rFonts w:ascii="Times New Roman" w:hAnsi="Times New Roman" w:cs="Times New Roman"/>
                                <w:noProof/>
                                <w:sz w:val="24"/>
                                <w:szCs w:val="24"/>
                              </w:rPr>
                            </w:pPr>
                            <w:r w:rsidRPr="00B63B81">
                              <w:rPr>
                                <w:b/>
                                <w:bCs/>
                              </w:rPr>
                              <w:t>Figure 4.</w:t>
                            </w:r>
                            <w:r>
                              <w:t xml:space="preserve"> A pie chart of minority status as observed in Calgary’s Adult Court between January 2017 and December 2018, from a sample size of 2,822. Slice size represents the relative proportion of respondents identifying as part of a minority group. </w:t>
                            </w:r>
                          </w:p>
                          <w:p w14:paraId="30A482BF" w14:textId="2ED56A0A" w:rsidR="00A56EB4" w:rsidRPr="00572B34" w:rsidRDefault="00A56EB4" w:rsidP="00146F18">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3367" id="Text Box 209" o:spid="_x0000_s1045" type="#_x0000_t202" style="position:absolute;margin-left:1.65pt;margin-top:221pt;width:279.6pt;height:58.5pt;z-index:-255703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" stroked="f">
                <v:textbox inset="0,0,0,0">
                  <w:txbxContent>
                    <w:p w14:paraId="4C51DB9F" w14:textId="494BC728" w:rsidR="00A56EB4" w:rsidRPr="00701EC7" w:rsidRDefault="00A56EB4" w:rsidP="00711EBF">
                      <w:pPr>
                        <w:pStyle w:val="Caption"/>
                        <w:rPr>
                          <w:rFonts w:ascii="Times New Roman" w:hAnsi="Times New Roman" w:cs="Times New Roman"/>
                          <w:noProof/>
                          <w:sz w:val="24"/>
                          <w:szCs w:val="24"/>
                        </w:rPr>
                      </w:pPr>
                      <w:r w:rsidRPr="00B63B81">
                        <w:rPr>
                          <w:b/>
                          <w:bCs/>
                        </w:rPr>
                        <w:t>Figure 4.</w:t>
                      </w:r>
                      <w:r>
                        <w:t xml:space="preserve"> A pie chart of minority status as observed in Calgary’s Adult Court between January 2017 and December 2018, from a sample size of 2,822. Slice size represents the relative proportion of respondents identifying as part of a minority group. </w:t>
                      </w:r>
                    </w:p>
                    <w:p w14:paraId="30A482BF" w14:textId="2ED56A0A" w:rsidR="00A56EB4" w:rsidRPr="00572B34" w:rsidRDefault="00A56EB4" w:rsidP="00146F18">
                      <w:pPr>
                        <w:pStyle w:val="Caption"/>
                        <w:rPr>
                          <w:rFonts w:ascii="Times New Roman" w:hAnsi="Times New Roman" w:cs="Times New Roman"/>
                          <w:noProof/>
                          <w:sz w:val="24"/>
                          <w:szCs w:val="24"/>
                        </w:rPr>
                      </w:pPr>
                    </w:p>
                  </w:txbxContent>
                </v:textbox>
                <w10:wrap type="tight" anchorx="margin" anchory="margin"/>
              </v:shape>
            </w:pict>
          </mc:Fallback>
        </mc:AlternateContent>
      </w:r>
      <w:r w:rsidR="005C60E4">
        <w:rPr>
          <w:rFonts w:ascii="Times New Roman" w:hAnsi="Times New Roman" w:cs="Times New Roman"/>
          <w:noProof/>
          <w:sz w:val="24"/>
          <w:szCs w:val="24"/>
          <w:lang w:val="en-US"/>
        </w:rPr>
        <w:drawing>
          <wp:anchor distT="0" distB="0" distL="114300" distR="114300" simplePos="0" relativeHeight="256373248" behindDoc="1" locked="0" layoutInCell="1" allowOverlap="1" wp14:anchorId="4130EE28" wp14:editId="7D6CC6FC">
            <wp:simplePos x="0" y="0"/>
            <wp:positionH relativeFrom="margin">
              <wp:posOffset>0</wp:posOffset>
            </wp:positionH>
            <wp:positionV relativeFrom="margin">
              <wp:posOffset>358849</wp:posOffset>
            </wp:positionV>
            <wp:extent cx="3561715" cy="2433955"/>
            <wp:effectExtent l="0" t="0" r="635" b="4445"/>
            <wp:wrapTight wrapText="bothSides">
              <wp:wrapPolygon edited="0">
                <wp:start x="0" y="0"/>
                <wp:lineTo x="0" y="21470"/>
                <wp:lineTo x="21488" y="21470"/>
                <wp:lineTo x="2148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
                      <a:extLst>
                        <a:ext uri="{28A0092B-C50C-407E-A947-70E740481C1C}">
                          <a14:useLocalDpi xmlns:a14="http://schemas.microsoft.com/office/drawing/2010/main" val="0"/>
                        </a:ext>
                      </a:extLst>
                    </a:blip>
                    <a:srcRect l="26236" t="22466" r="24524" b="20283"/>
                    <a:stretch/>
                  </pic:blipFill>
                  <pic:spPr bwMode="auto">
                    <a:xfrm>
                      <a:off x="0" y="0"/>
                      <a:ext cx="3561715" cy="243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6A1">
        <w:t xml:space="preserve">It was observed that </w:t>
      </w:r>
      <w:r w:rsidR="00001A4E">
        <w:t>in</w:t>
      </w:r>
      <w:r w:rsidR="008136A1">
        <w:t xml:space="preserve"> defendants receiving services from </w:t>
      </w:r>
      <w:r w:rsidR="00001A4E">
        <w:t xml:space="preserve">the </w:t>
      </w:r>
      <w:r w:rsidR="008136A1">
        <w:t>Elizabeth Fry</w:t>
      </w:r>
      <w:r w:rsidR="00001A4E">
        <w:t xml:space="preserve"> Society of Calgary</w:t>
      </w:r>
      <w:r w:rsidR="008324BF">
        <w:t xml:space="preserve"> in </w:t>
      </w:r>
      <w:r w:rsidR="008D12A5">
        <w:t>Calgary’s Adult Court</w:t>
      </w:r>
      <w:r w:rsidR="008136A1">
        <w:t>, distribution was heavily concentrated in younger age groups, and in men. N</w:t>
      </w:r>
      <w:r w:rsidR="00EE28B6">
        <w:t xml:space="preserve">early 3 in every four </w:t>
      </w:r>
      <w:r w:rsidR="008136A1">
        <w:t>(</w:t>
      </w:r>
      <w:r w:rsidR="00EE28B6">
        <w:t>74.01%</w:t>
      </w:r>
      <w:r w:rsidR="008136A1">
        <w:t>)</w:t>
      </w:r>
      <w:r w:rsidR="00EE28B6">
        <w:t xml:space="preserve"> defendants</w:t>
      </w:r>
      <w:r w:rsidR="00001A4E">
        <w:t xml:space="preserve"> </w:t>
      </w:r>
      <w:r w:rsidR="00EE28B6">
        <w:t>identified as male</w:t>
      </w:r>
      <w:r w:rsidR="004D69F8">
        <w:t xml:space="preserve"> (Figure 1)</w:t>
      </w:r>
      <w:r w:rsidR="008136A1">
        <w:t xml:space="preserve">, while 39.32% reported being under the age of 30 (Figure 2). </w:t>
      </w:r>
      <w:r w:rsidR="004001E4">
        <w:t>With men aged 30-39 making up the second largest demographic observed, m</w:t>
      </w:r>
      <w:r w:rsidR="008136A1">
        <w:t xml:space="preserve">ore than two thirds of defendants served (69.86%) were under the age of 40, with progressively reduced proportions in subsequent age groups (Figure 2). </w:t>
      </w:r>
      <w:r w:rsidR="00864CC2">
        <w:t>This is reflected in the population pyramid (Figure 3), which is demonstrably bottom-heavy, suggesting a trend towards younger age groups, and left-leaning, suggesting substantial representation of male defendants. M</w:t>
      </w:r>
      <w:r w:rsidR="00001A4E">
        <w:t xml:space="preserve">en under 30 </w:t>
      </w:r>
      <w:r w:rsidR="00001A4E" w:rsidRPr="00A851BF">
        <w:t>represent the most common demographic supported by the organization (Figure 3), making up 28.42% of a</w:t>
      </w:r>
      <w:r w:rsidR="007B0FA7" w:rsidRPr="00A851BF">
        <w:t>ll</w:t>
      </w:r>
      <w:r w:rsidR="0073656B" w:rsidRPr="00A851BF">
        <w:t xml:space="preserve"> d</w:t>
      </w:r>
      <w:r w:rsidR="00001A4E" w:rsidRPr="00A851BF">
        <w:t xml:space="preserve">efendants, with a prevalence 2.61X that of </w:t>
      </w:r>
      <w:r w:rsidR="00864CC2" w:rsidRPr="00A851BF">
        <w:t xml:space="preserve">their </w:t>
      </w:r>
      <w:r w:rsidR="00001A4E" w:rsidRPr="00A851BF">
        <w:t xml:space="preserve">age-matched </w:t>
      </w:r>
      <w:r w:rsidR="00864CC2" w:rsidRPr="00A851BF">
        <w:t>female peers</w:t>
      </w:r>
      <w:r w:rsidR="00001A4E" w:rsidRPr="00A851BF">
        <w:t xml:space="preserve"> (Figure 3).</w:t>
      </w:r>
      <w:r w:rsidR="00001A4E">
        <w:t xml:space="preserve"> </w:t>
      </w:r>
    </w:p>
    <w:p w14:paraId="3868057D" w14:textId="289CC814" w:rsidR="005C60E4" w:rsidRDefault="004534B7" w:rsidP="005870FD">
      <w:pPr>
        <w:keepNext/>
        <w:autoSpaceDE w:val="0"/>
        <w:autoSpaceDN w:val="0"/>
        <w:adjustRightInd w:val="0"/>
        <w:spacing w:after="0" w:line="240" w:lineRule="auto"/>
      </w:pPr>
      <w:r>
        <w:rPr>
          <w:noProof/>
          <w:lang w:val="en-US"/>
        </w:rPr>
        <mc:AlternateContent>
          <mc:Choice Requires="wps">
            <w:drawing>
              <wp:anchor distT="0" distB="0" distL="114300" distR="114300" simplePos="0" relativeHeight="247649792" behindDoc="1" locked="0" layoutInCell="1" allowOverlap="1" wp14:anchorId="6AE6622C" wp14:editId="511AAF93">
                <wp:simplePos x="0" y="0"/>
                <wp:positionH relativeFrom="margin">
                  <wp:posOffset>0</wp:posOffset>
                </wp:positionH>
                <wp:positionV relativeFrom="page">
                  <wp:posOffset>7944234</wp:posOffset>
                </wp:positionV>
                <wp:extent cx="6848475" cy="590550"/>
                <wp:effectExtent l="0" t="0" r="9525" b="0"/>
                <wp:wrapTight wrapText="bothSides">
                  <wp:wrapPolygon edited="0">
                    <wp:start x="0" y="0"/>
                    <wp:lineTo x="0" y="20903"/>
                    <wp:lineTo x="21570" y="20903"/>
                    <wp:lineTo x="21570" y="0"/>
                    <wp:lineTo x="0" y="0"/>
                  </wp:wrapPolygon>
                </wp:wrapTight>
                <wp:docPr id="211" name="Text Box 211"/>
                <wp:cNvGraphicFramePr/>
                <a:graphic xmlns:a="http://schemas.openxmlformats.org/drawingml/2006/main">
                  <a:graphicData uri="http://schemas.microsoft.com/office/word/2010/wordprocessingShape">
                    <wps:wsp>
                      <wps:cNvSpPr txBox="1"/>
                      <wps:spPr>
                        <a:xfrm>
                          <a:off x="0" y="0"/>
                          <a:ext cx="6848475" cy="590550"/>
                        </a:xfrm>
                        <a:prstGeom prst="rect">
                          <a:avLst/>
                        </a:prstGeom>
                        <a:solidFill>
                          <a:prstClr val="white"/>
                        </a:solidFill>
                        <a:ln>
                          <a:noFill/>
                        </a:ln>
                      </wps:spPr>
                      <wps:txbx>
                        <w:txbxContent>
                          <w:p w14:paraId="6D2CFCFA" w14:textId="36CF29C4" w:rsidR="00A56EB4" w:rsidRPr="00E25FCA" w:rsidRDefault="00A56EB4" w:rsidP="0064172E">
                            <w:pPr>
                              <w:pStyle w:val="Caption"/>
                            </w:pPr>
                            <w:r w:rsidRPr="00B63B81">
                              <w:rPr>
                                <w:b/>
                                <w:bCs/>
                              </w:rPr>
                              <w:t>Figure 5.</w:t>
                            </w:r>
                            <w:r>
                              <w:t xml:space="preserve"> A population pyramid representing frequency (x-axis) of attendee gender (split), stratified by age (y-axis), and grouped by minority status at Calgary’s Adult Court between January 2017 and December 2018, from a sample size of 2,750 (neither: 2067, indigenous: 532, newcomers: 151). Values exceeding the scale of the count have been indicated on their respective bar, to allow for ease of observing minority group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622C" id="Text Box 211" o:spid="_x0000_s1046" type="#_x0000_t202" style="position:absolute;margin-left:0;margin-top:625.55pt;width:539.25pt;height:46.5pt;z-index:-25566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" stroked="f">
                <v:textbox inset="0,0,0,0">
                  <w:txbxContent>
                    <w:p w14:paraId="6D2CFCFA" w14:textId="36CF29C4" w:rsidR="00A56EB4" w:rsidRPr="00E25FCA" w:rsidRDefault="00A56EB4" w:rsidP="0064172E">
                      <w:pPr>
                        <w:pStyle w:val="Caption"/>
                      </w:pPr>
                      <w:r w:rsidRPr="00B63B81">
                        <w:rPr>
                          <w:b/>
                          <w:bCs/>
                        </w:rPr>
                        <w:t>Figure 5.</w:t>
                      </w:r>
                      <w:r>
                        <w:t xml:space="preserve"> A population pyramid representing frequency (x-axis) of attendee gender (split), stratified by age (y-axis), and grouped by minority status at Calgary’s Adult Court between January 2017 and December 2018, from a sample size of 2,750 (neither: 2067, indigenous: 532, newcomers: 151). Values exceeding the scale of the count have been indicated on their respective bar, to allow for ease of observing minority group data. </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48509952" behindDoc="1" locked="0" layoutInCell="1" allowOverlap="1" wp14:anchorId="675B30BA" wp14:editId="07CE8853">
            <wp:simplePos x="0" y="0"/>
            <wp:positionH relativeFrom="margin">
              <wp:posOffset>0</wp:posOffset>
            </wp:positionH>
            <wp:positionV relativeFrom="page">
              <wp:posOffset>4070350</wp:posOffset>
            </wp:positionV>
            <wp:extent cx="6848475" cy="3841115"/>
            <wp:effectExtent l="0" t="0" r="9525" b="6985"/>
            <wp:wrapTight wrapText="bothSides">
              <wp:wrapPolygon edited="0">
                <wp:start x="0" y="0"/>
                <wp:lineTo x="0" y="21532"/>
                <wp:lineTo x="21570" y="21532"/>
                <wp:lineTo x="21570"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7">
                      <a:extLst>
                        <a:ext uri="{28A0092B-C50C-407E-A947-70E740481C1C}">
                          <a14:useLocalDpi xmlns:a14="http://schemas.microsoft.com/office/drawing/2010/main" val="0"/>
                        </a:ext>
                      </a:extLst>
                    </a:blip>
                    <a:srcRect t="1658" b="2401"/>
                    <a:stretch/>
                  </pic:blipFill>
                  <pic:spPr bwMode="auto">
                    <a:xfrm>
                      <a:off x="0" y="0"/>
                      <a:ext cx="6848475" cy="3841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9C3887" w14:textId="367CD8AE" w:rsidR="005A371B" w:rsidRPr="00667057" w:rsidRDefault="00036622" w:rsidP="00981331">
      <w:pPr>
        <w:keepNext/>
        <w:autoSpaceDE w:val="0"/>
        <w:autoSpaceDN w:val="0"/>
        <w:adjustRightInd w:val="0"/>
        <w:spacing w:after="0" w:line="240" w:lineRule="auto"/>
      </w:pPr>
      <w:r>
        <w:t xml:space="preserve">It was observed that </w:t>
      </w:r>
      <w:r w:rsidR="00A666F3">
        <w:t xml:space="preserve">over three </w:t>
      </w:r>
      <w:r w:rsidR="000B110B">
        <w:t>quarters of defendants</w:t>
      </w:r>
      <w:r w:rsidR="00A666F3">
        <w:t xml:space="preserve"> (75.5%) </w:t>
      </w:r>
      <w:r>
        <w:t xml:space="preserve">defendants receiving services from the Elizabeth Fry Society of Calgary in </w:t>
      </w:r>
      <w:r w:rsidR="008D12A5">
        <w:t>Calgary’s Adult Court</w:t>
      </w:r>
      <w:r w:rsidR="00A666F3">
        <w:t xml:space="preserve"> had no minority status (Figure </w:t>
      </w:r>
      <w:r w:rsidR="00667057">
        <w:t>4</w:t>
      </w:r>
      <w:r w:rsidR="00A666F3">
        <w:t xml:space="preserve">). When </w:t>
      </w:r>
      <w:r w:rsidR="005870FD">
        <w:t>stratified by minority status,</w:t>
      </w:r>
      <w:r w:rsidR="00A666F3">
        <w:t xml:space="preserve"> </w:t>
      </w:r>
      <w:r>
        <w:t xml:space="preserve">distribution was heavily concentrated in younger age </w:t>
      </w:r>
      <w:r w:rsidR="005870FD">
        <w:t>categories</w:t>
      </w:r>
      <w:r>
        <w:t>, and in men</w:t>
      </w:r>
      <w:r w:rsidR="005870FD">
        <w:t>, across all groupings.</w:t>
      </w:r>
      <w:r w:rsidR="00667057">
        <w:t xml:space="preserve"> </w:t>
      </w:r>
      <w:r>
        <w:t>This is reflected in the population pyramid</w:t>
      </w:r>
      <w:r w:rsidR="005870FD">
        <w:t>s</w:t>
      </w:r>
      <w:r>
        <w:t xml:space="preserve"> (Figure </w:t>
      </w:r>
      <w:r w:rsidR="00472CA9">
        <w:t>5</w:t>
      </w:r>
      <w:r>
        <w:t xml:space="preserve">), which </w:t>
      </w:r>
      <w:r w:rsidR="005870FD">
        <w:t>are</w:t>
      </w:r>
      <w:r>
        <w:t xml:space="preserve"> demonstrably bottom-heavy, suggesting a trend towards younger age groups, and left-leaning, suggesting substantial representation of </w:t>
      </w:r>
      <w:r>
        <w:lastRenderedPageBreak/>
        <w:t xml:space="preserve">male defendants. Men under 30 represent the most common demographic supported by the organization (Figure </w:t>
      </w:r>
      <w:r w:rsidR="00472CA9">
        <w:t>5</w:t>
      </w:r>
      <w:r>
        <w:t xml:space="preserve">), making up </w:t>
      </w:r>
      <w:r w:rsidR="00150F7A">
        <w:t>28.45</w:t>
      </w:r>
      <w:r w:rsidR="005870FD">
        <w:t xml:space="preserve">%, </w:t>
      </w:r>
      <w:r w:rsidR="00150F7A">
        <w:t>26.32</w:t>
      </w:r>
      <w:r w:rsidR="005870FD">
        <w:t xml:space="preserve">%, and </w:t>
      </w:r>
      <w:r w:rsidR="00150F7A">
        <w:t>35.76</w:t>
      </w:r>
      <w:r>
        <w:t xml:space="preserve">% of </w:t>
      </w:r>
      <w:r w:rsidR="00150F7A">
        <w:t>defendants with no minority, Indigenous, and newcomer status</w:t>
      </w:r>
      <w:r>
        <w:t xml:space="preserve">, with a prevalence </w:t>
      </w:r>
      <w:r w:rsidR="00150F7A">
        <w:t>2.93</w:t>
      </w:r>
      <w:r w:rsidR="005870FD">
        <w:t xml:space="preserve">X, </w:t>
      </w:r>
      <w:r w:rsidR="00150F7A">
        <w:t>1.65</w:t>
      </w:r>
      <w:r w:rsidR="005870FD">
        <w:t xml:space="preserve">X, and </w:t>
      </w:r>
      <w:r w:rsidR="00150F7A">
        <w:t>3.86X</w:t>
      </w:r>
      <w:r>
        <w:t xml:space="preserve"> that of their age-matched female peers</w:t>
      </w:r>
      <w:r w:rsidR="005870FD">
        <w:t>, respectively</w:t>
      </w:r>
      <w:r>
        <w:t xml:space="preserve"> (Figure </w:t>
      </w:r>
      <w:r w:rsidR="00D16DF1">
        <w:t>5</w:t>
      </w:r>
      <w:r>
        <w:t>).</w:t>
      </w:r>
      <w:r w:rsidR="0077320E">
        <w:t xml:space="preserve"> Reflecting these differences in prevalence ratios, male:female representation is visibly least</w:t>
      </w:r>
      <w:r w:rsidR="00981331">
        <w:t>, and most,</w:t>
      </w:r>
      <w:r w:rsidR="0077320E">
        <w:t xml:space="preserve"> divergent in the Indigenous </w:t>
      </w:r>
      <w:r w:rsidR="00981331">
        <w:t>and newcomer groupings</w:t>
      </w:r>
      <w:r w:rsidR="0021184E">
        <w:t xml:space="preserve"> </w:t>
      </w:r>
      <w:r w:rsidR="00981331">
        <w:t>respectively</w:t>
      </w:r>
      <w:r w:rsidR="0077320E">
        <w:t xml:space="preserve"> (Figure </w:t>
      </w:r>
      <w:r w:rsidR="00D16DF1">
        <w:t>5</w:t>
      </w:r>
      <w:r w:rsidR="0077320E">
        <w:t xml:space="preserve">). </w:t>
      </w:r>
    </w:p>
    <w:p w14:paraId="7240E1F1" w14:textId="787FED49" w:rsidR="00F1675A" w:rsidRPr="00391DDA" w:rsidRDefault="00A253C5" w:rsidP="00A253C5">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81A4A73" wp14:editId="19509D8A">
            <wp:extent cx="6851374" cy="4349197"/>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7518" cy="4353097"/>
                    </a:xfrm>
                    <a:prstGeom prst="rect">
                      <a:avLst/>
                    </a:prstGeom>
                    <a:noFill/>
                    <a:ln>
                      <a:noFill/>
                    </a:ln>
                  </pic:spPr>
                </pic:pic>
              </a:graphicData>
            </a:graphic>
          </wp:inline>
        </w:drawing>
      </w:r>
    </w:p>
    <w:p w14:paraId="4000A06D" w14:textId="46E4D85B" w:rsidR="006E73E3" w:rsidRDefault="0028301E" w:rsidP="00E73B61">
      <w:pPr>
        <w:autoSpaceDE w:val="0"/>
        <w:autoSpaceDN w:val="0"/>
        <w:adjustRightInd w:val="0"/>
        <w:spacing w:after="0" w:line="240" w:lineRule="auto"/>
        <w:rPr>
          <w:i/>
          <w:iCs/>
          <w:sz w:val="18"/>
          <w:szCs w:val="18"/>
        </w:rPr>
      </w:pPr>
      <w:r w:rsidRPr="00391DDA">
        <w:rPr>
          <w:b/>
          <w:bCs/>
          <w:i/>
          <w:iCs/>
          <w:sz w:val="18"/>
          <w:szCs w:val="18"/>
        </w:rPr>
        <w:t>Figure 6.</w:t>
      </w:r>
      <w:r w:rsidRPr="00391DDA">
        <w:rPr>
          <w:i/>
          <w:iCs/>
          <w:sz w:val="18"/>
          <w:szCs w:val="18"/>
        </w:rPr>
        <w:t xml:space="preserve"> A bar graph of attendee immediate family size as observed in </w:t>
      </w:r>
      <w:r w:rsidR="008D12A5">
        <w:rPr>
          <w:i/>
          <w:iCs/>
          <w:sz w:val="18"/>
          <w:szCs w:val="18"/>
        </w:rPr>
        <w:t>Calgary’s Adult Court</w:t>
      </w:r>
      <w:r w:rsidRPr="00391DDA">
        <w:rPr>
          <w:i/>
          <w:iCs/>
          <w:sz w:val="18"/>
          <w:szCs w:val="18"/>
        </w:rPr>
        <w:t xml:space="preserve"> between January 2017 and December 201</w:t>
      </w:r>
      <w:r w:rsidR="00634938">
        <w:rPr>
          <w:i/>
          <w:iCs/>
          <w:sz w:val="18"/>
          <w:szCs w:val="18"/>
        </w:rPr>
        <w:t>8</w:t>
      </w:r>
      <w:r w:rsidRPr="00391DDA">
        <w:rPr>
          <w:i/>
          <w:iCs/>
          <w:sz w:val="18"/>
          <w:szCs w:val="18"/>
        </w:rPr>
        <w:t xml:space="preserve">, from a sample size of </w:t>
      </w:r>
      <w:r w:rsidR="00C76722">
        <w:rPr>
          <w:i/>
          <w:iCs/>
          <w:sz w:val="18"/>
          <w:szCs w:val="18"/>
        </w:rPr>
        <w:t>2444</w:t>
      </w:r>
      <w:r w:rsidRPr="00391DDA">
        <w:rPr>
          <w:i/>
          <w:iCs/>
          <w:sz w:val="18"/>
          <w:szCs w:val="18"/>
        </w:rPr>
        <w:t xml:space="preserve">. Bar height corresponds to the number of respondents reporting </w:t>
      </w:r>
      <w:r w:rsidR="00813E28" w:rsidRPr="00391DDA">
        <w:rPr>
          <w:i/>
          <w:iCs/>
          <w:sz w:val="18"/>
          <w:szCs w:val="18"/>
        </w:rPr>
        <w:t>a given family size (y-axis), with relative proportions of family size categories indicated within the bar</w:t>
      </w:r>
      <w:r w:rsidRPr="00391DDA">
        <w:rPr>
          <w:i/>
          <w:iCs/>
          <w:sz w:val="18"/>
          <w:szCs w:val="18"/>
        </w:rPr>
        <w:t xml:space="preserve">. </w:t>
      </w:r>
    </w:p>
    <w:p w14:paraId="373CD6B8" w14:textId="7538DAF0" w:rsidR="00F13881" w:rsidRDefault="00F13881" w:rsidP="00E73B61">
      <w:pPr>
        <w:autoSpaceDE w:val="0"/>
        <w:autoSpaceDN w:val="0"/>
        <w:adjustRightInd w:val="0"/>
        <w:spacing w:after="0" w:line="240" w:lineRule="auto"/>
        <w:rPr>
          <w:i/>
          <w:iCs/>
          <w:sz w:val="18"/>
          <w:szCs w:val="18"/>
        </w:rPr>
      </w:pPr>
    </w:p>
    <w:p w14:paraId="6AEE1543" w14:textId="66E5CCF0" w:rsidR="004534B7" w:rsidRDefault="004534B7">
      <w:pPr>
        <w:rPr>
          <w:i/>
          <w:iCs/>
          <w:sz w:val="18"/>
          <w:szCs w:val="18"/>
        </w:rPr>
      </w:pPr>
      <w:r>
        <w:rPr>
          <w:i/>
          <w:iCs/>
          <w:sz w:val="18"/>
          <w:szCs w:val="18"/>
        </w:rPr>
        <w:br w:type="page"/>
      </w:r>
    </w:p>
    <w:p w14:paraId="18F40621" w14:textId="66846263" w:rsidR="00F13881" w:rsidRDefault="004534B7" w:rsidP="00E73B61">
      <w:pPr>
        <w:autoSpaceDE w:val="0"/>
        <w:autoSpaceDN w:val="0"/>
        <w:adjustRightInd w:val="0"/>
        <w:spacing w:after="0" w:line="240" w:lineRule="auto"/>
        <w:rPr>
          <w:i/>
          <w:iCs/>
          <w:sz w:val="18"/>
          <w:szCs w:val="18"/>
        </w:rPr>
      </w:pPr>
      <w:r>
        <w:rPr>
          <w:noProof/>
          <w:lang w:val="en-US"/>
        </w:rPr>
        <w:lastRenderedPageBreak/>
        <mc:AlternateContent>
          <mc:Choice Requires="wps">
            <w:drawing>
              <wp:anchor distT="0" distB="0" distL="114300" distR="114300" simplePos="0" relativeHeight="247687680" behindDoc="1" locked="0" layoutInCell="1" allowOverlap="1" wp14:anchorId="0B34C4F8" wp14:editId="44B87240">
                <wp:simplePos x="0" y="0"/>
                <wp:positionH relativeFrom="margin">
                  <wp:posOffset>0</wp:posOffset>
                </wp:positionH>
                <wp:positionV relativeFrom="paragraph">
                  <wp:posOffset>4148883</wp:posOffset>
                </wp:positionV>
                <wp:extent cx="6851015" cy="428625"/>
                <wp:effectExtent l="0" t="0" r="6985" b="9525"/>
                <wp:wrapTight wrapText="bothSides">
                  <wp:wrapPolygon edited="0">
                    <wp:start x="0" y="0"/>
                    <wp:lineTo x="0" y="21120"/>
                    <wp:lineTo x="21562" y="21120"/>
                    <wp:lineTo x="2156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851015" cy="428625"/>
                        </a:xfrm>
                        <a:prstGeom prst="rect">
                          <a:avLst/>
                        </a:prstGeom>
                        <a:solidFill>
                          <a:prstClr val="white"/>
                        </a:solidFill>
                        <a:ln>
                          <a:noFill/>
                        </a:ln>
                      </wps:spPr>
                      <wps:txbx>
                        <w:txbxContent>
                          <w:p w14:paraId="02BAE396" w14:textId="50094F2F" w:rsidR="00A56EB4" w:rsidRPr="008E7C76" w:rsidRDefault="00A56EB4" w:rsidP="006D4645">
                            <w:pPr>
                              <w:pStyle w:val="Caption"/>
                              <w:rPr>
                                <w:highlight w:val="yellow"/>
                              </w:rPr>
                            </w:pPr>
                            <w:r w:rsidRPr="00B63B81">
                              <w:rPr>
                                <w:b/>
                                <w:bCs/>
                              </w:rPr>
                              <w:t xml:space="preserve">Figure </w:t>
                            </w:r>
                            <w:r>
                              <w:rPr>
                                <w:b/>
                                <w:bCs/>
                              </w:rPr>
                              <w:t>7</w:t>
                            </w:r>
                            <w:r w:rsidRPr="00B63B81">
                              <w:rPr>
                                <w:b/>
                                <w:bCs/>
                              </w:rPr>
                              <w:t>.</w:t>
                            </w:r>
                            <w:r>
                              <w:t xml:space="preserve"> </w:t>
                            </w:r>
                            <w:r w:rsidRPr="000504B7">
                              <w:t xml:space="preserve">Proportion of attendee households (y-axis) in a given income category (colour legend) by family size (x-axis), grouped by minority status, at </w:t>
                            </w:r>
                            <w:r>
                              <w:t>Calgary’s Adult Court</w:t>
                            </w:r>
                            <w:r w:rsidRPr="000504B7">
                              <w:t xml:space="preserve"> between January 2017 and December 2018. </w:t>
                            </w:r>
                            <w:r>
                              <w:t>Complete</w:t>
                            </w:r>
                            <w:r w:rsidRPr="000504B7">
                              <w:t xml:space="preserve"> height</w:t>
                            </w:r>
                            <w:r>
                              <w:t xml:space="preserve"> of bar</w:t>
                            </w:r>
                            <w:r w:rsidRPr="000504B7">
                              <w:t xml:space="preserve"> represents 100% of attendee households in a family size category. This data was generated from a sample size of </w:t>
                            </w:r>
                            <w:r>
                              <w:t>2342</w:t>
                            </w:r>
                            <w:r w:rsidRPr="000504B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4C4F8" id="_x0000_s1047" type="#_x0000_t202" style="position:absolute;margin-left:0;margin-top:326.7pt;width:539.45pt;height:33.75pt;z-index:-2556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" stroked="f">
                <v:textbox inset="0,0,0,0">
                  <w:txbxContent>
                    <w:p w14:paraId="02BAE396" w14:textId="50094F2F" w:rsidR="00A56EB4" w:rsidRPr="008E7C76" w:rsidRDefault="00A56EB4" w:rsidP="006D4645">
                      <w:pPr>
                        <w:pStyle w:val="Caption"/>
                        <w:rPr>
                          <w:highlight w:val="yellow"/>
                        </w:rPr>
                      </w:pPr>
                      <w:r w:rsidRPr="00B63B81">
                        <w:rPr>
                          <w:b/>
                          <w:bCs/>
                        </w:rPr>
                        <w:t xml:space="preserve">Figure </w:t>
                      </w:r>
                      <w:r>
                        <w:rPr>
                          <w:b/>
                          <w:bCs/>
                        </w:rPr>
                        <w:t>7</w:t>
                      </w:r>
                      <w:r w:rsidRPr="00B63B81">
                        <w:rPr>
                          <w:b/>
                          <w:bCs/>
                        </w:rPr>
                        <w:t>.</w:t>
                      </w:r>
                      <w:r>
                        <w:t xml:space="preserve"> </w:t>
                      </w:r>
                      <w:r w:rsidRPr="000504B7">
                        <w:t xml:space="preserve">Proportion of attendee households (y-axis) in a given income category (colour legend) by family size (x-axis), grouped by minority status, at </w:t>
                      </w:r>
                      <w:r>
                        <w:t>Calgary’s Adult Court</w:t>
                      </w:r>
                      <w:r w:rsidRPr="000504B7">
                        <w:t xml:space="preserve"> between January 2017 and December 2018. </w:t>
                      </w:r>
                      <w:r>
                        <w:t>Complete</w:t>
                      </w:r>
                      <w:r w:rsidRPr="000504B7">
                        <w:t xml:space="preserve"> height</w:t>
                      </w:r>
                      <w:r>
                        <w:t xml:space="preserve"> of bar</w:t>
                      </w:r>
                      <w:r w:rsidRPr="000504B7">
                        <w:t xml:space="preserve"> represents 100% of attendee households in a family size category. This data was generated from a sample size of </w:t>
                      </w:r>
                      <w:r>
                        <w:t>2342</w:t>
                      </w:r>
                      <w:r w:rsidRPr="000504B7">
                        <w:t xml:space="preserve">. </w:t>
                      </w:r>
                    </w:p>
                  </w:txbxContent>
                </v:textbox>
                <w10:wrap type="tight" anchorx="margin"/>
              </v:shape>
            </w:pict>
          </mc:Fallback>
        </mc:AlternateContent>
      </w:r>
      <w:r>
        <w:rPr>
          <w:noProof/>
          <w:lang w:val="en-US"/>
        </w:rPr>
        <w:drawing>
          <wp:anchor distT="0" distB="0" distL="114300" distR="114300" simplePos="0" relativeHeight="248548864" behindDoc="1" locked="0" layoutInCell="1" allowOverlap="1" wp14:anchorId="0A768CC2" wp14:editId="7303E726">
            <wp:simplePos x="0" y="0"/>
            <wp:positionH relativeFrom="margin">
              <wp:posOffset>0</wp:posOffset>
            </wp:positionH>
            <wp:positionV relativeFrom="paragraph">
              <wp:posOffset>161290</wp:posOffset>
            </wp:positionV>
            <wp:extent cx="6848475" cy="3845560"/>
            <wp:effectExtent l="0" t="0" r="9525" b="2540"/>
            <wp:wrapTight wrapText="bothSides">
              <wp:wrapPolygon edited="0">
                <wp:start x="0" y="0"/>
                <wp:lineTo x="0" y="21507"/>
                <wp:lineTo x="21570" y="21507"/>
                <wp:lineTo x="21570"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9">
                      <a:extLst>
                        <a:ext uri="{28A0092B-C50C-407E-A947-70E740481C1C}">
                          <a14:useLocalDpi xmlns:a14="http://schemas.microsoft.com/office/drawing/2010/main" val="0"/>
                        </a:ext>
                      </a:extLst>
                    </a:blip>
                    <a:srcRect b="6615"/>
                    <a:stretch/>
                  </pic:blipFill>
                  <pic:spPr bwMode="auto">
                    <a:xfrm>
                      <a:off x="0" y="0"/>
                      <a:ext cx="6848475" cy="384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700EA" w14:textId="3B758491" w:rsidR="00FB135D" w:rsidRDefault="00A160C0" w:rsidP="003E6675">
      <w:r>
        <w:t>T</w:t>
      </w:r>
      <w:r w:rsidR="00A84EC1">
        <w:t>he majority of attendees</w:t>
      </w:r>
      <w:r w:rsidR="003949FF">
        <w:t xml:space="preserve"> (37.23%)</w:t>
      </w:r>
      <w:r w:rsidR="00A84EC1">
        <w:t xml:space="preserve"> indicated that they were not part of an immediate family unit (Figure </w:t>
      </w:r>
      <w:r>
        <w:t>6</w:t>
      </w:r>
      <w:r w:rsidR="00A84EC1">
        <w:t>). An inverse relationship is observed between family size and attendee count, apart from attendees identifying as being part of a family of 8</w:t>
      </w:r>
      <w:r w:rsidR="00FB135D">
        <w:t xml:space="preserve"> </w:t>
      </w:r>
      <w:r w:rsidR="00A84EC1">
        <w:t xml:space="preserve">(Figure </w:t>
      </w:r>
      <w:r w:rsidR="00091B31">
        <w:t>6</w:t>
      </w:r>
      <w:r w:rsidR="00A84EC1">
        <w:t xml:space="preserve">). Nuanced observations </w:t>
      </w:r>
      <w:r w:rsidR="00091B31">
        <w:t>i</w:t>
      </w:r>
      <w:r w:rsidR="00A84EC1">
        <w:t>n specific annual income categories between minority status groupings and family sizes are less apparent</w:t>
      </w:r>
      <w:r w:rsidR="00A36D4B">
        <w:t xml:space="preserve"> (Figure 7)</w:t>
      </w:r>
      <w:r w:rsidR="00A84EC1">
        <w:t>. This is particularly true of the newcomer group, which was comprised of only 1</w:t>
      </w:r>
      <w:r w:rsidR="004C17A3">
        <w:t>30</w:t>
      </w:r>
      <w:r w:rsidR="00A84EC1">
        <w:t xml:space="preserve"> attendees; it is possible that a larger sample size may better uncover potential trends of interest. </w:t>
      </w:r>
    </w:p>
    <w:p w14:paraId="2FE9E7FC" w14:textId="6F7F0A3C" w:rsidR="00A84EC1" w:rsidRPr="00FB135D" w:rsidRDefault="00FB135D" w:rsidP="003E6675">
      <w:r>
        <w:lastRenderedPageBreak/>
        <w:br w:type="page"/>
      </w:r>
      <w:r>
        <w:rPr>
          <w:noProof/>
          <w:lang w:val="en-US"/>
        </w:rPr>
        <w:drawing>
          <wp:anchor distT="0" distB="0" distL="114300" distR="114300" simplePos="0" relativeHeight="247906816" behindDoc="1" locked="0" layoutInCell="1" allowOverlap="1" wp14:anchorId="1B693EC4" wp14:editId="77C79E34">
            <wp:simplePos x="0" y="0"/>
            <wp:positionH relativeFrom="margin">
              <wp:posOffset>0</wp:posOffset>
            </wp:positionH>
            <wp:positionV relativeFrom="margin">
              <wp:posOffset>383854</wp:posOffset>
            </wp:positionV>
            <wp:extent cx="6858000" cy="7365365"/>
            <wp:effectExtent l="0" t="0" r="0" b="6985"/>
            <wp:wrapTight wrapText="bothSides">
              <wp:wrapPolygon edited="0">
                <wp:start x="0" y="0"/>
                <wp:lineTo x="0" y="21565"/>
                <wp:lineTo x="21540" y="21565"/>
                <wp:lineTo x="215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58000" cy="7365365"/>
                    </a:xfrm>
                    <a:prstGeom prst="rect">
                      <a:avLst/>
                    </a:prstGeom>
                  </pic:spPr>
                </pic:pic>
              </a:graphicData>
            </a:graphic>
          </wp:anchor>
        </w:drawing>
      </w:r>
      <w:r>
        <w:rPr>
          <w:noProof/>
          <w:lang w:val="en-US"/>
        </w:rPr>
        <mc:AlternateContent>
          <mc:Choice Requires="wps">
            <w:drawing>
              <wp:anchor distT="0" distB="0" distL="114300" distR="114300" simplePos="0" relativeHeight="247731712" behindDoc="1" locked="0" layoutInCell="1" allowOverlap="1" wp14:anchorId="06250653" wp14:editId="400D2568">
                <wp:simplePos x="0" y="0"/>
                <wp:positionH relativeFrom="margin">
                  <wp:posOffset>0</wp:posOffset>
                </wp:positionH>
                <wp:positionV relativeFrom="paragraph">
                  <wp:posOffset>100833</wp:posOffset>
                </wp:positionV>
                <wp:extent cx="6858000" cy="314325"/>
                <wp:effectExtent l="0" t="0" r="0" b="9525"/>
                <wp:wrapTight wrapText="bothSides">
                  <wp:wrapPolygon edited="0">
                    <wp:start x="0" y="0"/>
                    <wp:lineTo x="0" y="20945"/>
                    <wp:lineTo x="21540" y="20945"/>
                    <wp:lineTo x="2154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858000" cy="314325"/>
                        </a:xfrm>
                        <a:prstGeom prst="rect">
                          <a:avLst/>
                        </a:prstGeom>
                        <a:solidFill>
                          <a:prstClr val="white"/>
                        </a:solidFill>
                        <a:ln>
                          <a:noFill/>
                        </a:ln>
                      </wps:spPr>
                      <wps:txbx>
                        <w:txbxContent>
                          <w:p w14:paraId="508C7CE3" w14:textId="0CA48087" w:rsidR="00A56EB4" w:rsidRPr="0063408E" w:rsidRDefault="00A56EB4" w:rsidP="0063408E">
                            <w:pPr>
                              <w:pStyle w:val="Caption"/>
                            </w:pPr>
                            <w:r>
                              <w:rPr>
                                <w:b/>
                                <w:bCs/>
                              </w:rPr>
                              <w:t>Table 1</w:t>
                            </w:r>
                            <w:r w:rsidRPr="00B63B81">
                              <w:rPr>
                                <w:b/>
                                <w:bCs/>
                              </w:rPr>
                              <w:t>.</w:t>
                            </w:r>
                            <w:r>
                              <w:t xml:space="preserve"> Number of attendee </w:t>
                            </w:r>
                            <w:r w:rsidRPr="00195523">
                              <w:t xml:space="preserve">households in various income categories, stratified by family size and minority status, at </w:t>
                            </w:r>
                            <w:r>
                              <w:t>Calgary’s Adult Court</w:t>
                            </w:r>
                            <w:r w:rsidRPr="00195523">
                              <w:t xml:space="preserve"> between January 2017 and December 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0653" id="Text Box 6" o:spid="_x0000_s1048" type="#_x0000_t202" style="position:absolute;margin-left:0;margin-top:7.95pt;width:540pt;height:24.75pt;z-index:-25558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" stroked="f">
                <v:textbox inset="0,0,0,0">
                  <w:txbxContent>
                    <w:p w14:paraId="508C7CE3" w14:textId="0CA48087" w:rsidR="00A56EB4" w:rsidRPr="0063408E" w:rsidRDefault="00A56EB4" w:rsidP="0063408E">
                      <w:pPr>
                        <w:pStyle w:val="Caption"/>
                      </w:pPr>
                      <w:r>
                        <w:rPr>
                          <w:b/>
                          <w:bCs/>
                        </w:rPr>
                        <w:t>Table 1</w:t>
                      </w:r>
                      <w:r w:rsidRPr="00B63B81">
                        <w:rPr>
                          <w:b/>
                          <w:bCs/>
                        </w:rPr>
                        <w:t>.</w:t>
                      </w:r>
                      <w:r>
                        <w:t xml:space="preserve"> Number of attendee </w:t>
                      </w:r>
                      <w:r w:rsidRPr="00195523">
                        <w:t xml:space="preserve">households in various income categories, stratified by family size and minority status, at </w:t>
                      </w:r>
                      <w:r>
                        <w:t>Calgary’s Adult Court</w:t>
                      </w:r>
                      <w:r w:rsidRPr="00195523">
                        <w:t xml:space="preserve"> between January 2017 and December 2018. </w:t>
                      </w:r>
                    </w:p>
                  </w:txbxContent>
                </v:textbox>
                <w10:wrap type="tight" anchorx="margin"/>
              </v:shape>
            </w:pict>
          </mc:Fallback>
        </mc:AlternateContent>
      </w:r>
    </w:p>
    <w:p w14:paraId="3AD49915" w14:textId="77777777" w:rsidR="003A70C7" w:rsidRDefault="00FB135D" w:rsidP="00A84EC1">
      <w:pPr>
        <w:pStyle w:val="NoSpacing"/>
      </w:pPr>
      <w:r>
        <w:rPr>
          <w:noProof/>
          <w:lang w:val="en-US"/>
        </w:rPr>
        <w:lastRenderedPageBreak/>
        <w:drawing>
          <wp:anchor distT="0" distB="0" distL="114300" distR="114300" simplePos="0" relativeHeight="252388864" behindDoc="1" locked="0" layoutInCell="1" allowOverlap="1" wp14:anchorId="69BC2C46" wp14:editId="5360CBA4">
            <wp:simplePos x="0" y="0"/>
            <wp:positionH relativeFrom="margin">
              <wp:posOffset>0</wp:posOffset>
            </wp:positionH>
            <wp:positionV relativeFrom="paragraph">
              <wp:posOffset>3153121</wp:posOffset>
            </wp:positionV>
            <wp:extent cx="5267325" cy="2505075"/>
            <wp:effectExtent l="0" t="0" r="9525" b="9525"/>
            <wp:wrapTight wrapText="bothSides">
              <wp:wrapPolygon edited="0">
                <wp:start x="0" y="0"/>
                <wp:lineTo x="0" y="21518"/>
                <wp:lineTo x="21561" y="21518"/>
                <wp:lineTo x="21561"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12" t="2471" r="2231" b="4639"/>
                    <a:stretch/>
                  </pic:blipFill>
                  <pic:spPr bwMode="auto">
                    <a:xfrm>
                      <a:off x="0" y="0"/>
                      <a:ext cx="5267325"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46875648" behindDoc="1" locked="0" layoutInCell="1" allowOverlap="1" wp14:anchorId="2A42D4FE" wp14:editId="437129A5">
                <wp:simplePos x="0" y="0"/>
                <wp:positionH relativeFrom="column">
                  <wp:posOffset>5715</wp:posOffset>
                </wp:positionH>
                <wp:positionV relativeFrom="paragraph">
                  <wp:posOffset>1052393</wp:posOffset>
                </wp:positionV>
                <wp:extent cx="3094990" cy="2279650"/>
                <wp:effectExtent l="0" t="0" r="0" b="6350"/>
                <wp:wrapTight wrapText="bothSides">
                  <wp:wrapPolygon edited="0">
                    <wp:start x="0" y="0"/>
                    <wp:lineTo x="0" y="21480"/>
                    <wp:lineTo x="21405" y="21480"/>
                    <wp:lineTo x="21405" y="0"/>
                    <wp:lineTo x="0" y="0"/>
                  </wp:wrapPolygon>
                </wp:wrapTight>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2279650"/>
                        </a:xfrm>
                        <a:prstGeom prst="rect">
                          <a:avLst/>
                        </a:prstGeom>
                        <a:solidFill>
                          <a:schemeClr val="accent2"/>
                        </a:solidFill>
                        <a:ln w="9525">
                          <a:noFill/>
                          <a:miter lim="800000"/>
                          <a:headEnd/>
                          <a:tailEnd/>
                        </a:ln>
                      </wps:spPr>
                      <wps:txbx>
                        <w:txbxContent>
                          <w:p w14:paraId="3F4A96F8" w14:textId="6830C78E" w:rsidR="00A56EB4" w:rsidRDefault="00A56EB4"/>
                          <w:tbl>
                            <w:tblPr>
                              <w:tblStyle w:val="GridTable4-Accent11"/>
                              <w:tblW w:w="0" w:type="auto"/>
                              <w:tblLook w:val="04A0" w:firstRow="1" w:lastRow="0" w:firstColumn="1" w:lastColumn="0" w:noHBand="0" w:noVBand="1"/>
                            </w:tblPr>
                            <w:tblGrid>
                              <w:gridCol w:w="1549"/>
                              <w:gridCol w:w="3238"/>
                            </w:tblGrid>
                            <w:tr w:rsidR="00A56EB4" w14:paraId="16E1AB11" w14:textId="77777777" w:rsidTr="00F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gridSpan w:val="2"/>
                                </w:tcPr>
                                <w:p w14:paraId="2B8E8DC6" w14:textId="77777777" w:rsidR="00A56EB4" w:rsidRDefault="00A56EB4" w:rsidP="00FB135D">
                                  <w:pPr>
                                    <w:jc w:val="center"/>
                                  </w:pPr>
                                  <w:r>
                                    <w:t>Indigenous Attendees at Calgary’s Adult Court</w:t>
                                  </w:r>
                                </w:p>
                              </w:tc>
                            </w:tr>
                            <w:tr w:rsidR="00A56EB4" w14:paraId="3A98781F" w14:textId="77777777" w:rsidTr="00FB135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49" w:type="dxa"/>
                                  <w:shd w:val="clear" w:color="auto" w:fill="D9D9D9" w:themeFill="background1" w:themeFillShade="D9"/>
                                </w:tcPr>
                                <w:p w14:paraId="6A6C5F40" w14:textId="77777777" w:rsidR="00A56EB4" w:rsidRDefault="00A56EB4" w:rsidP="00FB135D">
                                  <w:pPr>
                                    <w:jc w:val="center"/>
                                  </w:pPr>
                                  <w:r>
                                    <w:t>Family Size</w:t>
                                  </w:r>
                                </w:p>
                              </w:tc>
                              <w:tc>
                                <w:tcPr>
                                  <w:tcW w:w="3238" w:type="dxa"/>
                                  <w:shd w:val="clear" w:color="auto" w:fill="D9D9D9" w:themeFill="background1" w:themeFillShade="D9"/>
                                </w:tcPr>
                                <w:p w14:paraId="5A8EFD4E" w14:textId="77777777" w:rsidR="00A56EB4" w:rsidRPr="00993318" w:rsidRDefault="00A56EB4" w:rsidP="00FB135D">
                                  <w:pPr>
                                    <w:jc w:val="center"/>
                                    <w:cnfStyle w:val="000000100000" w:firstRow="0" w:lastRow="0" w:firstColumn="0" w:lastColumn="0" w:oddVBand="0" w:evenVBand="0" w:oddHBand="1" w:evenHBand="0" w:firstRowFirstColumn="0" w:firstRowLastColumn="0" w:lastRowFirstColumn="0" w:lastRowLastColumn="0"/>
                                    <w:rPr>
                                      <w:b/>
                                      <w:bCs/>
                                    </w:rPr>
                                  </w:pPr>
                                  <w:r w:rsidRPr="00993318">
                                    <w:rPr>
                                      <w:b/>
                                      <w:bCs/>
                                    </w:rPr>
                                    <w:t>Odds Ratio for Living Below the Market Basket Measure for Calgary</w:t>
                                  </w:r>
                                </w:p>
                              </w:tc>
                            </w:tr>
                            <w:tr w:rsidR="00A56EB4" w14:paraId="78E650DC" w14:textId="77777777" w:rsidTr="00FB135D">
                              <w:tc>
                                <w:tcPr>
                                  <w:cnfStyle w:val="001000000000" w:firstRow="0" w:lastRow="0" w:firstColumn="1" w:lastColumn="0" w:oddVBand="0" w:evenVBand="0" w:oddHBand="0" w:evenHBand="0" w:firstRowFirstColumn="0" w:firstRowLastColumn="0" w:lastRowFirstColumn="0" w:lastRowLastColumn="0"/>
                                  <w:tcW w:w="1549" w:type="dxa"/>
                                </w:tcPr>
                                <w:p w14:paraId="06450E7D" w14:textId="77777777" w:rsidR="00A56EB4" w:rsidRDefault="00A56EB4" w:rsidP="00FB135D">
                                  <w:pPr>
                                    <w:jc w:val="center"/>
                                  </w:pPr>
                                  <w:r>
                                    <w:t>1</w:t>
                                  </w:r>
                                </w:p>
                              </w:tc>
                              <w:tc>
                                <w:tcPr>
                                  <w:tcW w:w="3238" w:type="dxa"/>
                                </w:tcPr>
                                <w:p w14:paraId="224980FE" w14:textId="77777777" w:rsidR="00A56EB4" w:rsidRDefault="00A56EB4" w:rsidP="00FB135D">
                                  <w:pPr>
                                    <w:jc w:val="center"/>
                                    <w:cnfStyle w:val="000000000000" w:firstRow="0" w:lastRow="0" w:firstColumn="0" w:lastColumn="0" w:oddVBand="0" w:evenVBand="0" w:oddHBand="0" w:evenHBand="0" w:firstRowFirstColumn="0" w:firstRowLastColumn="0" w:lastRowFirstColumn="0" w:lastRowLastColumn="0"/>
                                  </w:pPr>
                                  <w:r>
                                    <w:t>2.48</w:t>
                                  </w:r>
                                </w:p>
                              </w:tc>
                            </w:tr>
                            <w:tr w:rsidR="00A56EB4" w14:paraId="300841B5" w14:textId="77777777" w:rsidTr="00F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14:paraId="36B8F7CA" w14:textId="77777777" w:rsidR="00A56EB4" w:rsidRDefault="00A56EB4" w:rsidP="00FB135D">
                                  <w:pPr>
                                    <w:jc w:val="center"/>
                                  </w:pPr>
                                  <w:r>
                                    <w:t>2</w:t>
                                  </w:r>
                                </w:p>
                              </w:tc>
                              <w:tc>
                                <w:tcPr>
                                  <w:tcW w:w="3238" w:type="dxa"/>
                                </w:tcPr>
                                <w:p w14:paraId="7106E190" w14:textId="77777777" w:rsidR="00A56EB4" w:rsidRDefault="00A56EB4" w:rsidP="00FB135D">
                                  <w:pPr>
                                    <w:jc w:val="center"/>
                                    <w:cnfStyle w:val="000000100000" w:firstRow="0" w:lastRow="0" w:firstColumn="0" w:lastColumn="0" w:oddVBand="0" w:evenVBand="0" w:oddHBand="1" w:evenHBand="0" w:firstRowFirstColumn="0" w:firstRowLastColumn="0" w:lastRowFirstColumn="0" w:lastRowLastColumn="0"/>
                                  </w:pPr>
                                  <w:r>
                                    <w:t>2.33</w:t>
                                  </w:r>
                                </w:p>
                              </w:tc>
                            </w:tr>
                            <w:tr w:rsidR="00A56EB4" w14:paraId="6DEBD864" w14:textId="77777777" w:rsidTr="00FB135D">
                              <w:tc>
                                <w:tcPr>
                                  <w:cnfStyle w:val="001000000000" w:firstRow="0" w:lastRow="0" w:firstColumn="1" w:lastColumn="0" w:oddVBand="0" w:evenVBand="0" w:oddHBand="0" w:evenHBand="0" w:firstRowFirstColumn="0" w:firstRowLastColumn="0" w:lastRowFirstColumn="0" w:lastRowLastColumn="0"/>
                                  <w:tcW w:w="1549" w:type="dxa"/>
                                </w:tcPr>
                                <w:p w14:paraId="47CD81EA" w14:textId="77777777" w:rsidR="00A56EB4" w:rsidRDefault="00A56EB4" w:rsidP="00FB135D">
                                  <w:pPr>
                                    <w:jc w:val="center"/>
                                  </w:pPr>
                                  <w:r>
                                    <w:t>3</w:t>
                                  </w:r>
                                </w:p>
                              </w:tc>
                              <w:tc>
                                <w:tcPr>
                                  <w:tcW w:w="3238" w:type="dxa"/>
                                </w:tcPr>
                                <w:p w14:paraId="31FDBA96" w14:textId="77777777" w:rsidR="00A56EB4" w:rsidRDefault="00A56EB4" w:rsidP="00FB135D">
                                  <w:pPr>
                                    <w:jc w:val="center"/>
                                    <w:cnfStyle w:val="000000000000" w:firstRow="0" w:lastRow="0" w:firstColumn="0" w:lastColumn="0" w:oddVBand="0" w:evenVBand="0" w:oddHBand="0" w:evenHBand="0" w:firstRowFirstColumn="0" w:firstRowLastColumn="0" w:lastRowFirstColumn="0" w:lastRowLastColumn="0"/>
                                  </w:pPr>
                                  <w:r>
                                    <w:t>3.05</w:t>
                                  </w:r>
                                </w:p>
                              </w:tc>
                            </w:tr>
                            <w:tr w:rsidR="00A56EB4" w14:paraId="3657DD8C" w14:textId="77777777" w:rsidTr="00F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14:paraId="0BD9749C" w14:textId="77777777" w:rsidR="00A56EB4" w:rsidRDefault="00A56EB4" w:rsidP="00FB135D">
                                  <w:pPr>
                                    <w:jc w:val="center"/>
                                  </w:pPr>
                                  <w:r>
                                    <w:t>4</w:t>
                                  </w:r>
                                </w:p>
                              </w:tc>
                              <w:tc>
                                <w:tcPr>
                                  <w:tcW w:w="3238" w:type="dxa"/>
                                </w:tcPr>
                                <w:p w14:paraId="305B36F3" w14:textId="77777777" w:rsidR="00A56EB4" w:rsidRDefault="00A56EB4" w:rsidP="00FB135D">
                                  <w:pPr>
                                    <w:jc w:val="center"/>
                                    <w:cnfStyle w:val="000000100000" w:firstRow="0" w:lastRow="0" w:firstColumn="0" w:lastColumn="0" w:oddVBand="0" w:evenVBand="0" w:oddHBand="1" w:evenHBand="0" w:firstRowFirstColumn="0" w:firstRowLastColumn="0" w:lastRowFirstColumn="0" w:lastRowLastColumn="0"/>
                                  </w:pPr>
                                  <w:r>
                                    <w:t>2.45</w:t>
                                  </w:r>
                                </w:p>
                              </w:tc>
                            </w:tr>
                            <w:tr w:rsidR="00A56EB4" w14:paraId="0C16F9D2" w14:textId="77777777" w:rsidTr="00FB135D">
                              <w:tc>
                                <w:tcPr>
                                  <w:cnfStyle w:val="001000000000" w:firstRow="0" w:lastRow="0" w:firstColumn="1" w:lastColumn="0" w:oddVBand="0" w:evenVBand="0" w:oddHBand="0" w:evenHBand="0" w:firstRowFirstColumn="0" w:firstRowLastColumn="0" w:lastRowFirstColumn="0" w:lastRowLastColumn="0"/>
                                  <w:tcW w:w="1549" w:type="dxa"/>
                                </w:tcPr>
                                <w:p w14:paraId="63DB1275" w14:textId="77777777" w:rsidR="00A56EB4" w:rsidRDefault="00A56EB4" w:rsidP="00FB135D">
                                  <w:pPr>
                                    <w:jc w:val="center"/>
                                  </w:pPr>
                                  <w:r>
                                    <w:t>5</w:t>
                                  </w:r>
                                </w:p>
                              </w:tc>
                              <w:tc>
                                <w:tcPr>
                                  <w:tcW w:w="3238" w:type="dxa"/>
                                </w:tcPr>
                                <w:p w14:paraId="66600119" w14:textId="77777777" w:rsidR="00A56EB4" w:rsidRDefault="00A56EB4" w:rsidP="00FB135D">
                                  <w:pPr>
                                    <w:jc w:val="center"/>
                                    <w:cnfStyle w:val="000000000000" w:firstRow="0" w:lastRow="0" w:firstColumn="0" w:lastColumn="0" w:oddVBand="0" w:evenVBand="0" w:oddHBand="0" w:evenHBand="0" w:firstRowFirstColumn="0" w:firstRowLastColumn="0" w:lastRowFirstColumn="0" w:lastRowLastColumn="0"/>
                                  </w:pPr>
                                  <w:r>
                                    <w:t>1.94</w:t>
                                  </w:r>
                                </w:p>
                              </w:tc>
                            </w:tr>
                          </w:tbl>
                          <w:p w14:paraId="36054F0F" w14:textId="6FC4B3C0"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2D4FE" id="_x0000_s1049" type="#_x0000_t202" style="position:absolute;margin-left:.45pt;margin-top:82.85pt;width:243.7pt;height:179.5pt;z-index:-2564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" fillcolor="white [3205]" stroked="f">
                <v:textbox>
                  <w:txbxContent>
                    <w:p w14:paraId="3F4A96F8" w14:textId="6830C78E" w:rsidR="00A56EB4" w:rsidRDefault="00A56EB4"/>
                    <w:tbl>
                      <w:tblPr>
                        <w:tblStyle w:val="GridTable4-Accent11"/>
                        <w:tblW w:w="0" w:type="auto"/>
                        <w:tblLook w:val="04A0" w:firstRow="1" w:lastRow="0" w:firstColumn="1" w:lastColumn="0" w:noHBand="0" w:noVBand="1"/>
                      </w:tblPr>
                      <w:tblGrid>
                        <w:gridCol w:w="1549"/>
                        <w:gridCol w:w="3238"/>
                      </w:tblGrid>
                      <w:tr w:rsidR="00A56EB4" w14:paraId="16E1AB11" w14:textId="77777777" w:rsidTr="00FB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gridSpan w:val="2"/>
                          </w:tcPr>
                          <w:p w14:paraId="2B8E8DC6" w14:textId="77777777" w:rsidR="00A56EB4" w:rsidRDefault="00A56EB4" w:rsidP="00FB135D">
                            <w:pPr>
                              <w:jc w:val="center"/>
                            </w:pPr>
                            <w:r>
                              <w:t>Indigenous Attendees at Calgary’s Adult Court</w:t>
                            </w:r>
                          </w:p>
                        </w:tc>
                      </w:tr>
                      <w:tr w:rsidR="00A56EB4" w14:paraId="3A98781F" w14:textId="77777777" w:rsidTr="00FB135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49" w:type="dxa"/>
                            <w:shd w:val="clear" w:color="auto" w:fill="D9D9D9" w:themeFill="background1" w:themeFillShade="D9"/>
                          </w:tcPr>
                          <w:p w14:paraId="6A6C5F40" w14:textId="77777777" w:rsidR="00A56EB4" w:rsidRDefault="00A56EB4" w:rsidP="00FB135D">
                            <w:pPr>
                              <w:jc w:val="center"/>
                            </w:pPr>
                            <w:r>
                              <w:t>Family Size</w:t>
                            </w:r>
                          </w:p>
                        </w:tc>
                        <w:tc>
                          <w:tcPr>
                            <w:tcW w:w="3238" w:type="dxa"/>
                            <w:shd w:val="clear" w:color="auto" w:fill="D9D9D9" w:themeFill="background1" w:themeFillShade="D9"/>
                          </w:tcPr>
                          <w:p w14:paraId="5A8EFD4E" w14:textId="77777777" w:rsidR="00A56EB4" w:rsidRPr="00993318" w:rsidRDefault="00A56EB4" w:rsidP="00FB135D">
                            <w:pPr>
                              <w:jc w:val="center"/>
                              <w:cnfStyle w:val="000000100000" w:firstRow="0" w:lastRow="0" w:firstColumn="0" w:lastColumn="0" w:oddVBand="0" w:evenVBand="0" w:oddHBand="1" w:evenHBand="0" w:firstRowFirstColumn="0" w:firstRowLastColumn="0" w:lastRowFirstColumn="0" w:lastRowLastColumn="0"/>
                              <w:rPr>
                                <w:b/>
                                <w:bCs/>
                              </w:rPr>
                            </w:pPr>
                            <w:r w:rsidRPr="00993318">
                              <w:rPr>
                                <w:b/>
                                <w:bCs/>
                              </w:rPr>
                              <w:t>Odds Ratio for Living Below the Market Basket Measure for Calgary</w:t>
                            </w:r>
                          </w:p>
                        </w:tc>
                      </w:tr>
                      <w:tr w:rsidR="00A56EB4" w14:paraId="78E650DC" w14:textId="77777777" w:rsidTr="00FB135D">
                        <w:tc>
                          <w:tcPr>
                            <w:cnfStyle w:val="001000000000" w:firstRow="0" w:lastRow="0" w:firstColumn="1" w:lastColumn="0" w:oddVBand="0" w:evenVBand="0" w:oddHBand="0" w:evenHBand="0" w:firstRowFirstColumn="0" w:firstRowLastColumn="0" w:lastRowFirstColumn="0" w:lastRowLastColumn="0"/>
                            <w:tcW w:w="1549" w:type="dxa"/>
                          </w:tcPr>
                          <w:p w14:paraId="06450E7D" w14:textId="77777777" w:rsidR="00A56EB4" w:rsidRDefault="00A56EB4" w:rsidP="00FB135D">
                            <w:pPr>
                              <w:jc w:val="center"/>
                            </w:pPr>
                            <w:r>
                              <w:t>1</w:t>
                            </w:r>
                          </w:p>
                        </w:tc>
                        <w:tc>
                          <w:tcPr>
                            <w:tcW w:w="3238" w:type="dxa"/>
                          </w:tcPr>
                          <w:p w14:paraId="224980FE" w14:textId="77777777" w:rsidR="00A56EB4" w:rsidRDefault="00A56EB4" w:rsidP="00FB135D">
                            <w:pPr>
                              <w:jc w:val="center"/>
                              <w:cnfStyle w:val="000000000000" w:firstRow="0" w:lastRow="0" w:firstColumn="0" w:lastColumn="0" w:oddVBand="0" w:evenVBand="0" w:oddHBand="0" w:evenHBand="0" w:firstRowFirstColumn="0" w:firstRowLastColumn="0" w:lastRowFirstColumn="0" w:lastRowLastColumn="0"/>
                            </w:pPr>
                            <w:r>
                              <w:t>2.48</w:t>
                            </w:r>
                          </w:p>
                        </w:tc>
                      </w:tr>
                      <w:tr w:rsidR="00A56EB4" w14:paraId="300841B5" w14:textId="77777777" w:rsidTr="00F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14:paraId="36B8F7CA" w14:textId="77777777" w:rsidR="00A56EB4" w:rsidRDefault="00A56EB4" w:rsidP="00FB135D">
                            <w:pPr>
                              <w:jc w:val="center"/>
                            </w:pPr>
                            <w:r>
                              <w:t>2</w:t>
                            </w:r>
                          </w:p>
                        </w:tc>
                        <w:tc>
                          <w:tcPr>
                            <w:tcW w:w="3238" w:type="dxa"/>
                          </w:tcPr>
                          <w:p w14:paraId="7106E190" w14:textId="77777777" w:rsidR="00A56EB4" w:rsidRDefault="00A56EB4" w:rsidP="00FB135D">
                            <w:pPr>
                              <w:jc w:val="center"/>
                              <w:cnfStyle w:val="000000100000" w:firstRow="0" w:lastRow="0" w:firstColumn="0" w:lastColumn="0" w:oddVBand="0" w:evenVBand="0" w:oddHBand="1" w:evenHBand="0" w:firstRowFirstColumn="0" w:firstRowLastColumn="0" w:lastRowFirstColumn="0" w:lastRowLastColumn="0"/>
                            </w:pPr>
                            <w:r>
                              <w:t>2.33</w:t>
                            </w:r>
                          </w:p>
                        </w:tc>
                      </w:tr>
                      <w:tr w:rsidR="00A56EB4" w14:paraId="6DEBD864" w14:textId="77777777" w:rsidTr="00FB135D">
                        <w:tc>
                          <w:tcPr>
                            <w:cnfStyle w:val="001000000000" w:firstRow="0" w:lastRow="0" w:firstColumn="1" w:lastColumn="0" w:oddVBand="0" w:evenVBand="0" w:oddHBand="0" w:evenHBand="0" w:firstRowFirstColumn="0" w:firstRowLastColumn="0" w:lastRowFirstColumn="0" w:lastRowLastColumn="0"/>
                            <w:tcW w:w="1549" w:type="dxa"/>
                          </w:tcPr>
                          <w:p w14:paraId="47CD81EA" w14:textId="77777777" w:rsidR="00A56EB4" w:rsidRDefault="00A56EB4" w:rsidP="00FB135D">
                            <w:pPr>
                              <w:jc w:val="center"/>
                            </w:pPr>
                            <w:r>
                              <w:t>3</w:t>
                            </w:r>
                          </w:p>
                        </w:tc>
                        <w:tc>
                          <w:tcPr>
                            <w:tcW w:w="3238" w:type="dxa"/>
                          </w:tcPr>
                          <w:p w14:paraId="31FDBA96" w14:textId="77777777" w:rsidR="00A56EB4" w:rsidRDefault="00A56EB4" w:rsidP="00FB135D">
                            <w:pPr>
                              <w:jc w:val="center"/>
                              <w:cnfStyle w:val="000000000000" w:firstRow="0" w:lastRow="0" w:firstColumn="0" w:lastColumn="0" w:oddVBand="0" w:evenVBand="0" w:oddHBand="0" w:evenHBand="0" w:firstRowFirstColumn="0" w:firstRowLastColumn="0" w:lastRowFirstColumn="0" w:lastRowLastColumn="0"/>
                            </w:pPr>
                            <w:r>
                              <w:t>3.05</w:t>
                            </w:r>
                          </w:p>
                        </w:tc>
                      </w:tr>
                      <w:tr w:rsidR="00A56EB4" w14:paraId="3657DD8C" w14:textId="77777777" w:rsidTr="00FB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14:paraId="0BD9749C" w14:textId="77777777" w:rsidR="00A56EB4" w:rsidRDefault="00A56EB4" w:rsidP="00FB135D">
                            <w:pPr>
                              <w:jc w:val="center"/>
                            </w:pPr>
                            <w:r>
                              <w:t>4</w:t>
                            </w:r>
                          </w:p>
                        </w:tc>
                        <w:tc>
                          <w:tcPr>
                            <w:tcW w:w="3238" w:type="dxa"/>
                          </w:tcPr>
                          <w:p w14:paraId="305B36F3" w14:textId="77777777" w:rsidR="00A56EB4" w:rsidRDefault="00A56EB4" w:rsidP="00FB135D">
                            <w:pPr>
                              <w:jc w:val="center"/>
                              <w:cnfStyle w:val="000000100000" w:firstRow="0" w:lastRow="0" w:firstColumn="0" w:lastColumn="0" w:oddVBand="0" w:evenVBand="0" w:oddHBand="1" w:evenHBand="0" w:firstRowFirstColumn="0" w:firstRowLastColumn="0" w:lastRowFirstColumn="0" w:lastRowLastColumn="0"/>
                            </w:pPr>
                            <w:r>
                              <w:t>2.45</w:t>
                            </w:r>
                          </w:p>
                        </w:tc>
                      </w:tr>
                      <w:tr w:rsidR="00A56EB4" w14:paraId="0C16F9D2" w14:textId="77777777" w:rsidTr="00FB135D">
                        <w:tc>
                          <w:tcPr>
                            <w:cnfStyle w:val="001000000000" w:firstRow="0" w:lastRow="0" w:firstColumn="1" w:lastColumn="0" w:oddVBand="0" w:evenVBand="0" w:oddHBand="0" w:evenHBand="0" w:firstRowFirstColumn="0" w:firstRowLastColumn="0" w:lastRowFirstColumn="0" w:lastRowLastColumn="0"/>
                            <w:tcW w:w="1549" w:type="dxa"/>
                          </w:tcPr>
                          <w:p w14:paraId="63DB1275" w14:textId="77777777" w:rsidR="00A56EB4" w:rsidRDefault="00A56EB4" w:rsidP="00FB135D">
                            <w:pPr>
                              <w:jc w:val="center"/>
                            </w:pPr>
                            <w:r>
                              <w:t>5</w:t>
                            </w:r>
                          </w:p>
                        </w:tc>
                        <w:tc>
                          <w:tcPr>
                            <w:tcW w:w="3238" w:type="dxa"/>
                          </w:tcPr>
                          <w:p w14:paraId="66600119" w14:textId="77777777" w:rsidR="00A56EB4" w:rsidRDefault="00A56EB4" w:rsidP="00FB135D">
                            <w:pPr>
                              <w:jc w:val="center"/>
                              <w:cnfStyle w:val="000000000000" w:firstRow="0" w:lastRow="0" w:firstColumn="0" w:lastColumn="0" w:oddVBand="0" w:evenVBand="0" w:oddHBand="0" w:evenHBand="0" w:firstRowFirstColumn="0" w:firstRowLastColumn="0" w:lastRowFirstColumn="0" w:lastRowLastColumn="0"/>
                            </w:pPr>
                            <w:r>
                              <w:t>1.94</w:t>
                            </w:r>
                          </w:p>
                        </w:tc>
                      </w:tr>
                    </w:tbl>
                    <w:p w14:paraId="36054F0F" w14:textId="6FC4B3C0" w:rsidR="00A56EB4" w:rsidRDefault="00A56EB4"/>
                  </w:txbxContent>
                </v:textbox>
                <w10:wrap type="tight"/>
              </v:shape>
            </w:pict>
          </mc:Fallback>
        </mc:AlternateContent>
      </w:r>
      <w:r>
        <w:rPr>
          <w:noProof/>
          <w:lang w:val="en-US"/>
        </w:rPr>
        <mc:AlternateContent>
          <mc:Choice Requires="wps">
            <w:drawing>
              <wp:anchor distT="0" distB="0" distL="114300" distR="114300" simplePos="0" relativeHeight="256417280" behindDoc="1" locked="0" layoutInCell="1" allowOverlap="1" wp14:anchorId="1949DCBA" wp14:editId="67577B53">
                <wp:simplePos x="0" y="0"/>
                <wp:positionH relativeFrom="margin">
                  <wp:posOffset>54610</wp:posOffset>
                </wp:positionH>
                <wp:positionV relativeFrom="page">
                  <wp:posOffset>1369060</wp:posOffset>
                </wp:positionV>
                <wp:extent cx="3048000" cy="590550"/>
                <wp:effectExtent l="0" t="0" r="0" b="0"/>
                <wp:wrapTight wrapText="bothSides">
                  <wp:wrapPolygon edited="0">
                    <wp:start x="0" y="0"/>
                    <wp:lineTo x="0" y="20903"/>
                    <wp:lineTo x="21465" y="20903"/>
                    <wp:lineTo x="21465" y="0"/>
                    <wp:lineTo x="0" y="0"/>
                  </wp:wrapPolygon>
                </wp:wrapTight>
                <wp:docPr id="146" name="Text Box 146"/>
                <wp:cNvGraphicFramePr/>
                <a:graphic xmlns:a="http://schemas.openxmlformats.org/drawingml/2006/main">
                  <a:graphicData uri="http://schemas.microsoft.com/office/word/2010/wordprocessingShape">
                    <wps:wsp>
                      <wps:cNvSpPr txBox="1"/>
                      <wps:spPr>
                        <a:xfrm>
                          <a:off x="0" y="0"/>
                          <a:ext cx="3048000" cy="590550"/>
                        </a:xfrm>
                        <a:prstGeom prst="rect">
                          <a:avLst/>
                        </a:prstGeom>
                        <a:solidFill>
                          <a:prstClr val="white"/>
                        </a:solidFill>
                        <a:ln>
                          <a:noFill/>
                        </a:ln>
                      </wps:spPr>
                      <wps:txbx>
                        <w:txbxContent>
                          <w:p w14:paraId="799ED14C" w14:textId="3B191EB6" w:rsidR="00A56EB4" w:rsidRPr="0063408E" w:rsidRDefault="00A56EB4" w:rsidP="001305BD">
                            <w:pPr>
                              <w:pStyle w:val="Caption"/>
                            </w:pPr>
                            <w:r>
                              <w:rPr>
                                <w:b/>
                                <w:bCs/>
                              </w:rPr>
                              <w:t>Table 2</w:t>
                            </w:r>
                            <w:r w:rsidRPr="00B63B81">
                              <w:rPr>
                                <w:b/>
                                <w:bCs/>
                              </w:rPr>
                              <w:t>.</w:t>
                            </w:r>
                            <w:r>
                              <w:t xml:space="preserve"> Odds of Indigenous attendees in Calgary’s Adult Court, from January 2017-December 2018, living below the Market Basket Measure (MBM) value for Calgary, relative to attendees without minority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DCBA" id="Text Box 146" o:spid="_x0000_s1050" type="#_x0000_t202" style="position:absolute;margin-left:4.3pt;margin-top:107.8pt;width:240pt;height:46.5pt;z-index:-2468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" stroked="f">
                <v:textbox inset="0,0,0,0">
                  <w:txbxContent>
                    <w:p w14:paraId="799ED14C" w14:textId="3B191EB6" w:rsidR="00A56EB4" w:rsidRPr="0063408E" w:rsidRDefault="00A56EB4" w:rsidP="001305BD">
                      <w:pPr>
                        <w:pStyle w:val="Caption"/>
                      </w:pPr>
                      <w:r>
                        <w:rPr>
                          <w:b/>
                          <w:bCs/>
                        </w:rPr>
                        <w:t>Table 2</w:t>
                      </w:r>
                      <w:r w:rsidRPr="00B63B81">
                        <w:rPr>
                          <w:b/>
                          <w:bCs/>
                        </w:rPr>
                        <w:t>.</w:t>
                      </w:r>
                      <w:r>
                        <w:t xml:space="preserve"> Odds of Indigenous attendees in Calgary’s Adult Court, from January 2017-December 2018, living below the Market Basket Measure (MBM) value for Calgary, relative to attendees without minority status.</w:t>
                      </w:r>
                    </w:p>
                  </w:txbxContent>
                </v:textbox>
                <w10:wrap type="tight" anchorx="margin" anchory="page"/>
              </v:shape>
            </w:pict>
          </mc:Fallback>
        </mc:AlternateContent>
      </w:r>
      <w:r w:rsidR="00A84EC1">
        <w:t xml:space="preserve">However, there exists an observable general trend towards groups with minority status – particularly those identifying as Indigenous – demonstrating a greater proportion of individuals with an annual household income of less than $15,000, and a lesser proportion with more than $55,0000, in contrast to individuals without minority status (Figure </w:t>
      </w:r>
      <w:r w:rsidR="00AB375A">
        <w:t>7</w:t>
      </w:r>
      <w:r w:rsidR="00A84EC1">
        <w:t xml:space="preserve">, Table </w:t>
      </w:r>
      <w:r w:rsidR="00AB375A">
        <w:t>1)</w:t>
      </w:r>
      <w:r w:rsidR="00A84EC1">
        <w:t>. This observation is corroborated by the odds ratio values for Indigenous families’ annual household income</w:t>
      </w:r>
      <w:r>
        <w:t>s</w:t>
      </w:r>
      <w:r w:rsidR="00A84EC1">
        <w:t xml:space="preserve">, relative to families without minority status. The odds of Indigenous families of one to five members </w:t>
      </w:r>
      <w:r w:rsidR="001D0AFA">
        <w:t>falling</w:t>
      </w:r>
      <w:r w:rsidR="00A84EC1">
        <w:t xml:space="preserve"> below the Market Basket Measure (</w:t>
      </w:r>
      <w:r w:rsidR="00917002">
        <w:t>MBM, Appendix 9.1; Statistics Canada, 2015</w:t>
      </w:r>
      <w:r w:rsidR="00A84EC1">
        <w:t>) value for a living income in Calgary are 2.48X, 2.33X, 3.05X, 2.45X, and 1.94X that of non-Indigenous families of a comparable size, respectively</w:t>
      </w:r>
      <w:r w:rsidR="00AC0187">
        <w:t xml:space="preserve"> (Table 2)</w:t>
      </w:r>
      <w:r w:rsidR="00A84EC1">
        <w:t xml:space="preserve">. </w:t>
      </w:r>
    </w:p>
    <w:p w14:paraId="1B1CE31D" w14:textId="77777777" w:rsidR="003A70C7" w:rsidRDefault="003A70C7" w:rsidP="00A84EC1">
      <w:pPr>
        <w:pStyle w:val="NoSpacing"/>
      </w:pPr>
    </w:p>
    <w:p w14:paraId="63EAC5AE" w14:textId="09018A22" w:rsidR="00A84EC1" w:rsidRDefault="00A84EC1" w:rsidP="00A84EC1">
      <w:pPr>
        <w:pStyle w:val="NoSpacing"/>
      </w:pPr>
      <w:r>
        <w:t xml:space="preserve">These values are artificially depressed, owing to limitations associated with data collection. Counts are derived from preestablished income categories (discrete variables), necessitating that categories inclusive of MBM values be excluded. This </w:t>
      </w:r>
      <w:r w:rsidR="00940B51">
        <w:t xml:space="preserve">consequently </w:t>
      </w:r>
      <w:r>
        <w:t xml:space="preserve">excludes families whose income falls marginally below the MBM values. Odds ratios have been related to a specific value, such that a group has ‘X odds of being below the appropriate MBM value by at least $Y’. For further information on the calculation and interpretation of these values, please see Appendix </w:t>
      </w:r>
      <w:r w:rsidR="00EC5EFA">
        <w:t>9.2</w:t>
      </w:r>
      <w:r>
        <w:t xml:space="preserve">. </w:t>
      </w:r>
    </w:p>
    <w:p w14:paraId="703CE56F" w14:textId="1B1A85C6" w:rsidR="00E502EF" w:rsidRDefault="00E502EF" w:rsidP="0026355F">
      <w:pPr>
        <w:autoSpaceDE w:val="0"/>
        <w:autoSpaceDN w:val="0"/>
        <w:adjustRightInd w:val="0"/>
        <w:spacing w:after="0" w:line="240" w:lineRule="auto"/>
        <w:rPr>
          <w:rFonts w:ascii="Times New Roman" w:hAnsi="Times New Roman" w:cs="Times New Roman"/>
          <w:color w:val="FF0000"/>
          <w:sz w:val="24"/>
          <w:szCs w:val="24"/>
        </w:rPr>
      </w:pPr>
    </w:p>
    <w:p w14:paraId="638ACA54" w14:textId="64EFA4BD" w:rsidR="00FB135D" w:rsidRDefault="00FB135D" w:rsidP="0026355F">
      <w:pPr>
        <w:autoSpaceDE w:val="0"/>
        <w:autoSpaceDN w:val="0"/>
        <w:adjustRightInd w:val="0"/>
        <w:spacing w:after="0" w:line="240" w:lineRule="auto"/>
        <w:rPr>
          <w:rFonts w:ascii="Times New Roman" w:hAnsi="Times New Roman" w:cs="Times New Roman"/>
          <w:color w:val="FF0000"/>
          <w:sz w:val="24"/>
          <w:szCs w:val="24"/>
        </w:rPr>
      </w:pPr>
    </w:p>
    <w:p w14:paraId="073412EB" w14:textId="4764A2D4" w:rsidR="00FB135D" w:rsidRDefault="003A70C7" w:rsidP="0026355F">
      <w:pPr>
        <w:autoSpaceDE w:val="0"/>
        <w:autoSpaceDN w:val="0"/>
        <w:adjustRightInd w:val="0"/>
        <w:spacing w:after="0" w:line="240" w:lineRule="auto"/>
        <w:rPr>
          <w:rFonts w:ascii="Times New Roman" w:hAnsi="Times New Roman" w:cs="Times New Roman"/>
          <w:color w:val="FF0000"/>
          <w:sz w:val="24"/>
          <w:szCs w:val="24"/>
        </w:rPr>
      </w:pPr>
      <w:r w:rsidRPr="003A70C7">
        <w:rPr>
          <w:rFonts w:ascii="Times New Roman" w:hAnsi="Times New Roman" w:cs="Times New Roman"/>
          <w:noProof/>
          <w:sz w:val="24"/>
          <w:szCs w:val="24"/>
        </w:rPr>
        <mc:AlternateContent>
          <mc:Choice Requires="wps">
            <w:drawing>
              <wp:anchor distT="45720" distB="45720" distL="114300" distR="114300" simplePos="0" relativeHeight="256426496" behindDoc="0" locked="0" layoutInCell="1" allowOverlap="1" wp14:anchorId="10FE21C9" wp14:editId="22231DEF">
                <wp:simplePos x="0" y="0"/>
                <wp:positionH relativeFrom="column">
                  <wp:posOffset>-5365948</wp:posOffset>
                </wp:positionH>
                <wp:positionV relativeFrom="paragraph">
                  <wp:posOffset>224980</wp:posOffset>
                </wp:positionV>
                <wp:extent cx="5267325" cy="723900"/>
                <wp:effectExtent l="0" t="0" r="9525" b="0"/>
                <wp:wrapSquare wrapText="bothSides"/>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23900"/>
                        </a:xfrm>
                        <a:prstGeom prst="rect">
                          <a:avLst/>
                        </a:prstGeom>
                        <a:solidFill>
                          <a:schemeClr val="accent2"/>
                        </a:solidFill>
                        <a:ln w="9525">
                          <a:noFill/>
                          <a:miter lim="800000"/>
                          <a:headEnd/>
                          <a:tailEnd/>
                        </a:ln>
                      </wps:spPr>
                      <wps:txbx>
                        <w:txbxContent>
                          <w:p w14:paraId="21283920" w14:textId="7456E875" w:rsidR="00A56EB4" w:rsidRPr="009E7615" w:rsidRDefault="00A56EB4" w:rsidP="003A70C7">
                            <w:pPr>
                              <w:pStyle w:val="Caption"/>
                            </w:pPr>
                            <w:r w:rsidRPr="00913601">
                              <w:rPr>
                                <w:b/>
                                <w:bCs/>
                              </w:rPr>
                              <w:t xml:space="preserve">Figure </w:t>
                            </w:r>
                            <w:r>
                              <w:rPr>
                                <w:b/>
                                <w:bCs/>
                              </w:rPr>
                              <w:t xml:space="preserve">8. </w:t>
                            </w:r>
                            <w:r>
                              <w:t>A pie chart of the type of offence preceding defendants’ administration charges, as observed in Calgary’s Adult Court between January 2017 and December 2018, from a sample size of 314. Slice size represents the relative proportion of respondents convicted of a given offence type.</w:t>
                            </w:r>
                          </w:p>
                          <w:p w14:paraId="2C276DAC" w14:textId="1DDAF788"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E21C9" id="_x0000_s1051" type="#_x0000_t202" style="position:absolute;margin-left:-422.5pt;margin-top:17.7pt;width:414.75pt;height:57pt;z-index:2564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" fillcolor="white [3205]" stroked="f">
                <v:textbox>
                  <w:txbxContent>
                    <w:p w14:paraId="21283920" w14:textId="7456E875" w:rsidR="00A56EB4" w:rsidRPr="009E7615" w:rsidRDefault="00A56EB4" w:rsidP="003A70C7">
                      <w:pPr>
                        <w:pStyle w:val="Caption"/>
                      </w:pPr>
                      <w:r w:rsidRPr="00913601">
                        <w:rPr>
                          <w:b/>
                          <w:bCs/>
                        </w:rPr>
                        <w:t xml:space="preserve">Figure </w:t>
                      </w:r>
                      <w:r>
                        <w:rPr>
                          <w:b/>
                          <w:bCs/>
                        </w:rPr>
                        <w:t xml:space="preserve">8. </w:t>
                      </w:r>
                      <w:r>
                        <w:t>A pie chart of the type of offence preceding defendants’ administration charges, as observed in Calgary’s Adult Court between January 2017 and December 2018, from a sample size of 314. Slice size represents the relative proportion of respondents convicted of a given offence type.</w:t>
                      </w:r>
                    </w:p>
                    <w:p w14:paraId="2C276DAC" w14:textId="1DDAF788" w:rsidR="00A56EB4" w:rsidRDefault="00A56EB4"/>
                  </w:txbxContent>
                </v:textbox>
                <w10:wrap type="square"/>
              </v:shape>
            </w:pict>
          </mc:Fallback>
        </mc:AlternateContent>
      </w:r>
    </w:p>
    <w:p w14:paraId="1FF07555" w14:textId="22AA34E3" w:rsidR="00FB135D" w:rsidRDefault="00FB135D" w:rsidP="0026355F">
      <w:pPr>
        <w:autoSpaceDE w:val="0"/>
        <w:autoSpaceDN w:val="0"/>
        <w:adjustRightInd w:val="0"/>
        <w:spacing w:after="0" w:line="240" w:lineRule="auto"/>
        <w:rPr>
          <w:rFonts w:ascii="Times New Roman" w:hAnsi="Times New Roman" w:cs="Times New Roman"/>
          <w:color w:val="FF0000"/>
          <w:sz w:val="24"/>
          <w:szCs w:val="24"/>
        </w:rPr>
      </w:pPr>
    </w:p>
    <w:p w14:paraId="232453B1" w14:textId="43AB7D66" w:rsidR="00FB135D" w:rsidRDefault="00FB135D" w:rsidP="0026355F">
      <w:pPr>
        <w:autoSpaceDE w:val="0"/>
        <w:autoSpaceDN w:val="0"/>
        <w:adjustRightInd w:val="0"/>
        <w:spacing w:after="0" w:line="240" w:lineRule="auto"/>
        <w:rPr>
          <w:rFonts w:ascii="Times New Roman" w:hAnsi="Times New Roman" w:cs="Times New Roman"/>
          <w:color w:val="FF0000"/>
          <w:sz w:val="24"/>
          <w:szCs w:val="24"/>
        </w:rPr>
      </w:pPr>
    </w:p>
    <w:p w14:paraId="24F69290" w14:textId="78A2F709" w:rsidR="00FB135D" w:rsidRDefault="00FB135D" w:rsidP="0026355F">
      <w:pPr>
        <w:autoSpaceDE w:val="0"/>
        <w:autoSpaceDN w:val="0"/>
        <w:adjustRightInd w:val="0"/>
        <w:spacing w:after="0" w:line="240" w:lineRule="auto"/>
        <w:rPr>
          <w:rFonts w:ascii="Times New Roman" w:hAnsi="Times New Roman" w:cs="Times New Roman"/>
          <w:color w:val="FF0000"/>
          <w:sz w:val="24"/>
          <w:szCs w:val="24"/>
        </w:rPr>
      </w:pPr>
    </w:p>
    <w:p w14:paraId="100644F2" w14:textId="6A704917" w:rsidR="00FB135D" w:rsidRDefault="00FB135D" w:rsidP="0026355F">
      <w:pPr>
        <w:autoSpaceDE w:val="0"/>
        <w:autoSpaceDN w:val="0"/>
        <w:adjustRightInd w:val="0"/>
        <w:spacing w:after="0" w:line="240" w:lineRule="auto"/>
        <w:rPr>
          <w:rFonts w:ascii="Times New Roman" w:hAnsi="Times New Roman" w:cs="Times New Roman"/>
          <w:color w:val="FF0000"/>
          <w:sz w:val="24"/>
          <w:szCs w:val="24"/>
        </w:rPr>
      </w:pPr>
    </w:p>
    <w:p w14:paraId="34F0877F" w14:textId="0A8AE6AF" w:rsidR="00FB135D" w:rsidRDefault="00FB135D" w:rsidP="0026355F">
      <w:pPr>
        <w:autoSpaceDE w:val="0"/>
        <w:autoSpaceDN w:val="0"/>
        <w:adjustRightInd w:val="0"/>
        <w:spacing w:after="0" w:line="240" w:lineRule="auto"/>
        <w:rPr>
          <w:rFonts w:ascii="Times New Roman" w:hAnsi="Times New Roman" w:cs="Times New Roman"/>
          <w:color w:val="FF0000"/>
          <w:sz w:val="24"/>
          <w:szCs w:val="24"/>
        </w:rPr>
      </w:pPr>
    </w:p>
    <w:p w14:paraId="0DC08F5C" w14:textId="12A10C61" w:rsidR="00FB135D" w:rsidRPr="0026355F" w:rsidRDefault="00FB135D" w:rsidP="0026355F">
      <w:pPr>
        <w:autoSpaceDE w:val="0"/>
        <w:autoSpaceDN w:val="0"/>
        <w:adjustRightInd w:val="0"/>
        <w:spacing w:after="0" w:line="240" w:lineRule="auto"/>
        <w:rPr>
          <w:rFonts w:ascii="Times New Roman" w:hAnsi="Times New Roman" w:cs="Times New Roman"/>
          <w:color w:val="FF0000"/>
          <w:sz w:val="24"/>
          <w:szCs w:val="24"/>
        </w:rPr>
      </w:pPr>
    </w:p>
    <w:p w14:paraId="41353DB1" w14:textId="60B7C04A" w:rsidR="003A70C7" w:rsidRDefault="003A70C7">
      <w:pPr>
        <w:rPr>
          <w:rFonts w:ascii="Times New Roman" w:hAnsi="Times New Roman" w:cs="Times New Roman"/>
          <w:sz w:val="24"/>
          <w:szCs w:val="24"/>
        </w:rPr>
      </w:pPr>
      <w:r>
        <w:rPr>
          <w:rFonts w:ascii="Times New Roman" w:hAnsi="Times New Roman" w:cs="Times New Roman"/>
          <w:sz w:val="24"/>
          <w:szCs w:val="24"/>
        </w:rPr>
        <w:br w:type="page"/>
      </w:r>
    </w:p>
    <w:p w14:paraId="01FC1B91" w14:textId="77777777" w:rsidR="00F653DD" w:rsidRDefault="00F653DD" w:rsidP="00F653DD">
      <w:pPr>
        <w:autoSpaceDE w:val="0"/>
        <w:autoSpaceDN w:val="0"/>
        <w:adjustRightInd w:val="0"/>
        <w:spacing w:after="0" w:line="240" w:lineRule="auto"/>
        <w:rPr>
          <w:rFonts w:ascii="Times New Roman" w:hAnsi="Times New Roman" w:cs="Times New Roman"/>
          <w:sz w:val="24"/>
          <w:szCs w:val="24"/>
        </w:rPr>
      </w:pPr>
    </w:p>
    <w:p w14:paraId="328C767C" w14:textId="77777777" w:rsidR="00F653DD" w:rsidRDefault="00F653DD" w:rsidP="00F653DD">
      <w:pPr>
        <w:autoSpaceDE w:val="0"/>
        <w:autoSpaceDN w:val="0"/>
        <w:adjustRightInd w:val="0"/>
        <w:spacing w:after="0" w:line="240" w:lineRule="auto"/>
        <w:rPr>
          <w:rFonts w:ascii="Times New Roman" w:hAnsi="Times New Roman" w:cs="Times New Roman"/>
          <w:sz w:val="24"/>
          <w:szCs w:val="24"/>
        </w:rPr>
      </w:pPr>
    </w:p>
    <w:p w14:paraId="51AA3BF4" w14:textId="507CC294" w:rsidR="00F653DD" w:rsidRDefault="00F653DD" w:rsidP="00F653DD">
      <w:pPr>
        <w:autoSpaceDE w:val="0"/>
        <w:autoSpaceDN w:val="0"/>
        <w:adjustRightInd w:val="0"/>
        <w:spacing w:after="0" w:line="400" w:lineRule="atLeast"/>
        <w:rPr>
          <w:rFonts w:ascii="Times New Roman" w:hAnsi="Times New Roman" w:cs="Times New Roman"/>
          <w:sz w:val="24"/>
          <w:szCs w:val="24"/>
        </w:rPr>
      </w:pPr>
    </w:p>
    <w:p w14:paraId="66D70E15" w14:textId="7F949917" w:rsidR="00BE6954" w:rsidRDefault="00BE6954" w:rsidP="00BE6954">
      <w:pPr>
        <w:autoSpaceDE w:val="0"/>
        <w:autoSpaceDN w:val="0"/>
        <w:adjustRightInd w:val="0"/>
        <w:spacing w:after="0" w:line="240" w:lineRule="auto"/>
        <w:rPr>
          <w:rFonts w:ascii="Times New Roman" w:hAnsi="Times New Roman" w:cs="Times New Roman"/>
          <w:sz w:val="24"/>
          <w:szCs w:val="24"/>
        </w:rPr>
      </w:pPr>
    </w:p>
    <w:p w14:paraId="63442294" w14:textId="77777777" w:rsidR="00BE6954" w:rsidRDefault="00BE6954" w:rsidP="00BE6954">
      <w:pPr>
        <w:autoSpaceDE w:val="0"/>
        <w:autoSpaceDN w:val="0"/>
        <w:adjustRightInd w:val="0"/>
        <w:spacing w:after="0" w:line="240" w:lineRule="auto"/>
        <w:rPr>
          <w:rFonts w:ascii="Times New Roman" w:hAnsi="Times New Roman" w:cs="Times New Roman"/>
          <w:sz w:val="24"/>
          <w:szCs w:val="24"/>
        </w:rPr>
      </w:pPr>
    </w:p>
    <w:p w14:paraId="47EF77A2" w14:textId="2DF51747" w:rsidR="00BE6954" w:rsidRDefault="00BE6954" w:rsidP="00BE6954">
      <w:pPr>
        <w:autoSpaceDE w:val="0"/>
        <w:autoSpaceDN w:val="0"/>
        <w:adjustRightInd w:val="0"/>
        <w:spacing w:after="0" w:line="400" w:lineRule="atLeast"/>
        <w:rPr>
          <w:rFonts w:ascii="Times New Roman" w:hAnsi="Times New Roman" w:cs="Times New Roman"/>
          <w:sz w:val="24"/>
          <w:szCs w:val="24"/>
        </w:rPr>
      </w:pPr>
    </w:p>
    <w:p w14:paraId="5BB06A13" w14:textId="1944A27D" w:rsidR="004D53BB" w:rsidRDefault="00E52420" w:rsidP="004D53BB">
      <w:pPr>
        <w:autoSpaceDE w:val="0"/>
        <w:autoSpaceDN w:val="0"/>
        <w:adjustRightInd w:val="0"/>
        <w:spacing w:after="0" w:line="240" w:lineRule="auto"/>
        <w:rPr>
          <w:rFonts w:ascii="Times New Roman" w:hAnsi="Times New Roman" w:cs="Times New Roman"/>
          <w:sz w:val="24"/>
          <w:szCs w:val="24"/>
        </w:rPr>
      </w:pPr>
      <w:r w:rsidRPr="008A32A0">
        <w:rPr>
          <w:rFonts w:ascii="Times New Roman" w:hAnsi="Times New Roman" w:cs="Times New Roman"/>
          <w:i/>
          <w:iCs/>
          <w:noProof/>
          <w:sz w:val="18"/>
          <w:szCs w:val="18"/>
          <w:lang w:val="en-US"/>
        </w:rPr>
        <mc:AlternateContent>
          <mc:Choice Requires="wps">
            <w:drawing>
              <wp:anchor distT="45720" distB="45720" distL="114300" distR="114300" simplePos="0" relativeHeight="252430848" behindDoc="1" locked="0" layoutInCell="1" allowOverlap="1" wp14:anchorId="4D891FC9" wp14:editId="38401A30">
                <wp:simplePos x="0" y="0"/>
                <wp:positionH relativeFrom="margin">
                  <wp:posOffset>-95003</wp:posOffset>
                </wp:positionH>
                <wp:positionV relativeFrom="margin">
                  <wp:posOffset>8053705</wp:posOffset>
                </wp:positionV>
                <wp:extent cx="6832600" cy="622300"/>
                <wp:effectExtent l="0" t="0" r="25400" b="25400"/>
                <wp:wrapTight wrapText="bothSides">
                  <wp:wrapPolygon edited="0">
                    <wp:start x="0" y="0"/>
                    <wp:lineTo x="0" y="21820"/>
                    <wp:lineTo x="21620" y="21820"/>
                    <wp:lineTo x="21620" y="0"/>
                    <wp:lineTo x="0" y="0"/>
                  </wp:wrapPolygon>
                </wp:wrapTight>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622300"/>
                        </a:xfrm>
                        <a:prstGeom prst="rect">
                          <a:avLst/>
                        </a:prstGeom>
                        <a:solidFill>
                          <a:srgbClr val="FFFFFF"/>
                        </a:solidFill>
                        <a:ln w="9525">
                          <a:solidFill>
                            <a:schemeClr val="bg1"/>
                          </a:solidFill>
                          <a:miter lim="800000"/>
                          <a:headEnd/>
                          <a:tailEnd/>
                        </a:ln>
                      </wps:spPr>
                      <wps:txbx>
                        <w:txbxContent>
                          <w:p w14:paraId="21109880" w14:textId="595FFD4B" w:rsidR="00A56EB4" w:rsidRPr="00E04F82" w:rsidRDefault="00A56EB4" w:rsidP="008A32A0">
                            <w:pPr>
                              <w:pStyle w:val="Caption"/>
                              <w:rPr>
                                <w:highlight w:val="yellow"/>
                              </w:rPr>
                            </w:pPr>
                            <w:r w:rsidRPr="00B63B81">
                              <w:rPr>
                                <w:b/>
                                <w:bCs/>
                              </w:rPr>
                              <w:t xml:space="preserve">Figure </w:t>
                            </w:r>
                            <w:r>
                              <w:rPr>
                                <w:b/>
                                <w:bCs/>
                              </w:rPr>
                              <w:t>10</w:t>
                            </w:r>
                            <w:r w:rsidRPr="00E04F82">
                              <w:t xml:space="preserve">. A bar graph of </w:t>
                            </w:r>
                            <w:r>
                              <w:t>the frequency of various types of administration charges for defendants without minority status,</w:t>
                            </w:r>
                            <w:r w:rsidRPr="00E04F82">
                              <w:t xml:space="preserve"> as observed in </w:t>
                            </w:r>
                            <w:r>
                              <w:t>Calgary’s Adult Court</w:t>
                            </w:r>
                            <w:r w:rsidRPr="00E04F82">
                              <w:t xml:space="preserve"> between January 2017 and December 201</w:t>
                            </w:r>
                            <w:r>
                              <w:t>8</w:t>
                            </w:r>
                            <w:r w:rsidRPr="00E04F82">
                              <w:t xml:space="preserve">, from a sample size of </w:t>
                            </w:r>
                            <w:r>
                              <w:t>761</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p w14:paraId="3D40D5CE" w14:textId="39AB9457"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1FC9" id="_x0000_s1052" type="#_x0000_t202" style="position:absolute;margin-left:-7.5pt;margin-top:634.15pt;width:538pt;height:49pt;z-index:-25088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" strokecolor="white [3212]">
                <v:textbox>
                  <w:txbxContent>
                    <w:p w14:paraId="21109880" w14:textId="595FFD4B" w:rsidR="00A56EB4" w:rsidRPr="00E04F82" w:rsidRDefault="00A56EB4" w:rsidP="008A32A0">
                      <w:pPr>
                        <w:pStyle w:val="Caption"/>
                        <w:rPr>
                          <w:highlight w:val="yellow"/>
                        </w:rPr>
                      </w:pPr>
                      <w:r w:rsidRPr="00B63B81">
                        <w:rPr>
                          <w:b/>
                          <w:bCs/>
                        </w:rPr>
                        <w:t xml:space="preserve">Figure </w:t>
                      </w:r>
                      <w:r>
                        <w:rPr>
                          <w:b/>
                          <w:bCs/>
                        </w:rPr>
                        <w:t>10</w:t>
                      </w:r>
                      <w:r w:rsidRPr="00E04F82">
                        <w:t xml:space="preserve">. A bar graph of </w:t>
                      </w:r>
                      <w:r>
                        <w:t>the frequency of various types of administration charges for defendants without minority status,</w:t>
                      </w:r>
                      <w:r w:rsidRPr="00E04F82">
                        <w:t xml:space="preserve"> as observed in </w:t>
                      </w:r>
                      <w:r>
                        <w:t>Calgary’s Adult Court</w:t>
                      </w:r>
                      <w:r w:rsidRPr="00E04F82">
                        <w:t xml:space="preserve"> between January 2017 and December 201</w:t>
                      </w:r>
                      <w:r>
                        <w:t>8</w:t>
                      </w:r>
                      <w:r w:rsidRPr="00E04F82">
                        <w:t xml:space="preserve">, from a sample size of </w:t>
                      </w:r>
                      <w:r>
                        <w:t>761</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p w14:paraId="3D40D5CE" w14:textId="39AB9457" w:rsidR="00A56EB4" w:rsidRDefault="00A56EB4"/>
                  </w:txbxContent>
                </v:textbox>
                <w10:wrap type="tight" anchorx="margin" anchory="margin"/>
              </v:shape>
            </w:pict>
          </mc:Fallback>
        </mc:AlternateContent>
      </w:r>
      <w:r>
        <w:rPr>
          <w:noProof/>
          <w:lang w:val="en-US"/>
        </w:rPr>
        <mc:AlternateContent>
          <mc:Choice Requires="wps">
            <w:drawing>
              <wp:anchor distT="0" distB="0" distL="114300" distR="114300" simplePos="0" relativeHeight="248616448" behindDoc="1" locked="0" layoutInCell="1" allowOverlap="1" wp14:anchorId="193C4377" wp14:editId="0E397E67">
                <wp:simplePos x="0" y="0"/>
                <wp:positionH relativeFrom="margin">
                  <wp:posOffset>11876</wp:posOffset>
                </wp:positionH>
                <wp:positionV relativeFrom="page">
                  <wp:posOffset>4648200</wp:posOffset>
                </wp:positionV>
                <wp:extent cx="6851015" cy="457200"/>
                <wp:effectExtent l="0" t="0" r="6985" b="0"/>
                <wp:wrapTight wrapText="bothSides">
                  <wp:wrapPolygon edited="0">
                    <wp:start x="0" y="0"/>
                    <wp:lineTo x="0" y="20700"/>
                    <wp:lineTo x="21562" y="20700"/>
                    <wp:lineTo x="21562" y="0"/>
                    <wp:lineTo x="0" y="0"/>
                  </wp:wrapPolygon>
                </wp:wrapTight>
                <wp:docPr id="144" name="Text Box 144"/>
                <wp:cNvGraphicFramePr/>
                <a:graphic xmlns:a="http://schemas.openxmlformats.org/drawingml/2006/main">
                  <a:graphicData uri="http://schemas.microsoft.com/office/word/2010/wordprocessingShape">
                    <wps:wsp>
                      <wps:cNvSpPr txBox="1"/>
                      <wps:spPr>
                        <a:xfrm>
                          <a:off x="0" y="0"/>
                          <a:ext cx="6851015" cy="457200"/>
                        </a:xfrm>
                        <a:prstGeom prst="rect">
                          <a:avLst/>
                        </a:prstGeom>
                        <a:solidFill>
                          <a:prstClr val="white"/>
                        </a:solidFill>
                        <a:ln>
                          <a:noFill/>
                        </a:ln>
                      </wps:spPr>
                      <wps:txbx>
                        <w:txbxContent>
                          <w:p w14:paraId="22916842" w14:textId="3F3DB0B2" w:rsidR="00A56EB4" w:rsidRPr="00E04F82" w:rsidRDefault="00A56EB4" w:rsidP="004D53BB">
                            <w:pPr>
                              <w:pStyle w:val="Caption"/>
                              <w:rPr>
                                <w:highlight w:val="yellow"/>
                              </w:rPr>
                            </w:pPr>
                            <w:r w:rsidRPr="00B63B81">
                              <w:rPr>
                                <w:b/>
                                <w:bCs/>
                              </w:rPr>
                              <w:t xml:space="preserve">Figure </w:t>
                            </w:r>
                            <w:r>
                              <w:rPr>
                                <w:b/>
                                <w:bCs/>
                              </w:rPr>
                              <w:t>9</w:t>
                            </w:r>
                            <w:r w:rsidRPr="00E04F82">
                              <w:t xml:space="preserve">. A bar graph of </w:t>
                            </w:r>
                            <w:r>
                              <w:t>the frequency of various types of administration charges,</w:t>
                            </w:r>
                            <w:r w:rsidRPr="00E04F82">
                              <w:t xml:space="preserve"> as observed in </w:t>
                            </w:r>
                            <w:r>
                              <w:t>Calgary’s Adult Court</w:t>
                            </w:r>
                            <w:r w:rsidRPr="00E04F82">
                              <w:t xml:space="preserve"> between January 2017 and December 201</w:t>
                            </w:r>
                            <w:r>
                              <w:t>8</w:t>
                            </w:r>
                            <w:r w:rsidRPr="00E04F82">
                              <w:t xml:space="preserve">, from a sample size of </w:t>
                            </w:r>
                            <w:r>
                              <w:t>1064</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C4377" id="Text Box 144" o:spid="_x0000_s1053" type="#_x0000_t202" style="position:absolute;margin-left:.95pt;margin-top:366pt;width:539.45pt;height:36pt;z-index:-25470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" stroked="f">
                <v:textbox inset="0,0,0,0">
                  <w:txbxContent>
                    <w:p w14:paraId="22916842" w14:textId="3F3DB0B2" w:rsidR="00A56EB4" w:rsidRPr="00E04F82" w:rsidRDefault="00A56EB4" w:rsidP="004D53BB">
                      <w:pPr>
                        <w:pStyle w:val="Caption"/>
                        <w:rPr>
                          <w:highlight w:val="yellow"/>
                        </w:rPr>
                      </w:pPr>
                      <w:r w:rsidRPr="00B63B81">
                        <w:rPr>
                          <w:b/>
                          <w:bCs/>
                        </w:rPr>
                        <w:t xml:space="preserve">Figure </w:t>
                      </w:r>
                      <w:r>
                        <w:rPr>
                          <w:b/>
                          <w:bCs/>
                        </w:rPr>
                        <w:t>9</w:t>
                      </w:r>
                      <w:r w:rsidRPr="00E04F82">
                        <w:t xml:space="preserve">. A bar graph of </w:t>
                      </w:r>
                      <w:r>
                        <w:t>the frequency of various types of administration charges,</w:t>
                      </w:r>
                      <w:r w:rsidRPr="00E04F82">
                        <w:t xml:space="preserve"> as observed in </w:t>
                      </w:r>
                      <w:r>
                        <w:t>Calgary’s Adult Court</w:t>
                      </w:r>
                      <w:r w:rsidRPr="00E04F82">
                        <w:t xml:space="preserve"> between January 2017 and December 201</w:t>
                      </w:r>
                      <w:r>
                        <w:t>8</w:t>
                      </w:r>
                      <w:r w:rsidRPr="00E04F82">
                        <w:t xml:space="preserve">, from a sample size of </w:t>
                      </w:r>
                      <w:r>
                        <w:t>1064</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v:textbox>
                <w10:wrap type="tight" anchorx="margin" anchory="page"/>
              </v:shape>
            </w:pict>
          </mc:Fallback>
        </mc:AlternateContent>
      </w:r>
      <w:r w:rsidR="00D72C5B">
        <w:rPr>
          <w:rFonts w:ascii="Times New Roman" w:hAnsi="Times New Roman" w:cs="Times New Roman"/>
          <w:noProof/>
          <w:sz w:val="24"/>
          <w:szCs w:val="24"/>
          <w:lang w:val="en-US"/>
        </w:rPr>
        <w:drawing>
          <wp:anchor distT="0" distB="0" distL="114300" distR="114300" simplePos="0" relativeHeight="252500480" behindDoc="1" locked="0" layoutInCell="1" allowOverlap="1" wp14:anchorId="24F381AD" wp14:editId="4EB2FC86">
            <wp:simplePos x="0" y="0"/>
            <wp:positionH relativeFrom="margin">
              <wp:posOffset>0</wp:posOffset>
            </wp:positionH>
            <wp:positionV relativeFrom="paragraph">
              <wp:posOffset>3435606</wp:posOffset>
            </wp:positionV>
            <wp:extent cx="6622415" cy="3467100"/>
            <wp:effectExtent l="0" t="0" r="6985" b="0"/>
            <wp:wrapTight wrapText="bothSides">
              <wp:wrapPolygon edited="0">
                <wp:start x="0" y="0"/>
                <wp:lineTo x="0" y="21481"/>
                <wp:lineTo x="21561" y="21481"/>
                <wp:lineTo x="2156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11232"/>
                    <a:stretch/>
                  </pic:blipFill>
                  <pic:spPr bwMode="auto">
                    <a:xfrm>
                      <a:off x="0" y="0"/>
                      <a:ext cx="662241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401">
        <w:rPr>
          <w:rFonts w:ascii="Times New Roman" w:hAnsi="Times New Roman" w:cs="Times New Roman"/>
          <w:noProof/>
          <w:sz w:val="24"/>
          <w:szCs w:val="24"/>
          <w:lang w:val="en-US"/>
        </w:rPr>
        <w:drawing>
          <wp:anchor distT="0" distB="0" distL="114300" distR="114300" simplePos="0" relativeHeight="248578560" behindDoc="1" locked="0" layoutInCell="1" allowOverlap="1" wp14:anchorId="24D9522B" wp14:editId="438E88FB">
            <wp:simplePos x="0" y="0"/>
            <wp:positionH relativeFrom="margin">
              <wp:posOffset>0</wp:posOffset>
            </wp:positionH>
            <wp:positionV relativeFrom="page">
              <wp:posOffset>863600</wp:posOffset>
            </wp:positionV>
            <wp:extent cx="6630035" cy="3733800"/>
            <wp:effectExtent l="0" t="0" r="0" b="0"/>
            <wp:wrapTight wrapText="bothSides">
              <wp:wrapPolygon edited="0">
                <wp:start x="0" y="0"/>
                <wp:lineTo x="0" y="21490"/>
                <wp:lineTo x="21536" y="21490"/>
                <wp:lineTo x="21536"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3">
                      <a:extLst>
                        <a:ext uri="{28A0092B-C50C-407E-A947-70E740481C1C}">
                          <a14:useLocalDpi xmlns:a14="http://schemas.microsoft.com/office/drawing/2010/main" val="0"/>
                        </a:ext>
                      </a:extLst>
                    </a:blip>
                    <a:srcRect t="1954" b="2279"/>
                    <a:stretch/>
                  </pic:blipFill>
                  <pic:spPr bwMode="auto">
                    <a:xfrm>
                      <a:off x="0" y="0"/>
                      <a:ext cx="6630035"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59DCB" w14:textId="504E3FDE" w:rsidR="00EC0AA3" w:rsidRDefault="009723F9" w:rsidP="00EC0AA3">
      <w:pPr>
        <w:autoSpaceDE w:val="0"/>
        <w:autoSpaceDN w:val="0"/>
        <w:adjustRightInd w:val="0"/>
        <w:spacing w:after="0" w:line="240" w:lineRule="auto"/>
        <w:rPr>
          <w:rFonts w:ascii="Times New Roman" w:hAnsi="Times New Roman" w:cs="Times New Roman"/>
          <w:sz w:val="24"/>
          <w:szCs w:val="24"/>
        </w:rPr>
      </w:pPr>
      <w:r w:rsidRPr="00CC7EDE">
        <w:rPr>
          <w:rFonts w:ascii="Times New Roman" w:hAnsi="Times New Roman" w:cs="Times New Roman"/>
          <w:noProof/>
          <w:color w:val="FF0000"/>
          <w:sz w:val="24"/>
          <w:szCs w:val="24"/>
          <w:lang w:val="en-US"/>
        </w:rPr>
        <w:lastRenderedPageBreak/>
        <mc:AlternateContent>
          <mc:Choice Requires="wps">
            <w:drawing>
              <wp:anchor distT="45720" distB="45720" distL="114300" distR="114300" simplePos="0" relativeHeight="250630656" behindDoc="1" locked="0" layoutInCell="1" allowOverlap="1" wp14:anchorId="19724B44" wp14:editId="4E29D907">
                <wp:simplePos x="0" y="0"/>
                <wp:positionH relativeFrom="margin">
                  <wp:posOffset>0</wp:posOffset>
                </wp:positionH>
                <wp:positionV relativeFrom="page">
                  <wp:posOffset>8761408</wp:posOffset>
                </wp:positionV>
                <wp:extent cx="6829425" cy="622300"/>
                <wp:effectExtent l="0" t="0" r="9525" b="6350"/>
                <wp:wrapTight wrapText="bothSides">
                  <wp:wrapPolygon edited="0">
                    <wp:start x="0" y="0"/>
                    <wp:lineTo x="0" y="21159"/>
                    <wp:lineTo x="21570" y="21159"/>
                    <wp:lineTo x="2157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22300"/>
                        </a:xfrm>
                        <a:prstGeom prst="rect">
                          <a:avLst/>
                        </a:prstGeom>
                        <a:solidFill>
                          <a:srgbClr val="FFFFFF"/>
                        </a:solidFill>
                        <a:ln w="9525">
                          <a:noFill/>
                          <a:miter lim="800000"/>
                          <a:headEnd/>
                          <a:tailEnd/>
                        </a:ln>
                      </wps:spPr>
                      <wps:txbx>
                        <w:txbxContent>
                          <w:p w14:paraId="7E109934" w14:textId="5338DF79" w:rsidR="00A56EB4" w:rsidRPr="00E04F82" w:rsidRDefault="00A56EB4" w:rsidP="00CC7EDE">
                            <w:pPr>
                              <w:pStyle w:val="Caption"/>
                              <w:rPr>
                                <w:highlight w:val="yellow"/>
                              </w:rPr>
                            </w:pPr>
                            <w:r w:rsidRPr="00B63B81">
                              <w:rPr>
                                <w:b/>
                                <w:bCs/>
                              </w:rPr>
                              <w:t xml:space="preserve">Figure </w:t>
                            </w:r>
                            <w:r>
                              <w:rPr>
                                <w:b/>
                                <w:bCs/>
                              </w:rPr>
                              <w:t>12</w:t>
                            </w:r>
                            <w:r w:rsidRPr="00E04F82">
                              <w:t xml:space="preserve">. A bar graph of </w:t>
                            </w:r>
                            <w:r>
                              <w:t>the frequency of various types of administration charges for defendants who identify as newcomers,</w:t>
                            </w:r>
                            <w:r w:rsidRPr="00E04F82">
                              <w:t xml:space="preserve"> as observed in </w:t>
                            </w:r>
                            <w:r>
                              <w:t>Calgary’s Adult Court</w:t>
                            </w:r>
                            <w:r w:rsidRPr="00E04F82">
                              <w:t xml:space="preserve"> between January 2017 and December 201</w:t>
                            </w:r>
                            <w:r>
                              <w:t>8</w:t>
                            </w:r>
                            <w:r w:rsidRPr="00E04F82">
                              <w:t xml:space="preserve">, from a sample size of </w:t>
                            </w:r>
                            <w:r>
                              <w:t>37</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p w14:paraId="694C2884" w14:textId="74CF73F2"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4B44" id="_x0000_s1054" type="#_x0000_t202" style="position:absolute;margin-left:0;margin-top:689.85pt;width:537.75pt;height:49pt;z-index:-25268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" stroked="f">
                <v:textbox>
                  <w:txbxContent>
                    <w:p w14:paraId="7E109934" w14:textId="5338DF79" w:rsidR="00A56EB4" w:rsidRPr="00E04F82" w:rsidRDefault="00A56EB4" w:rsidP="00CC7EDE">
                      <w:pPr>
                        <w:pStyle w:val="Caption"/>
                        <w:rPr>
                          <w:highlight w:val="yellow"/>
                        </w:rPr>
                      </w:pPr>
                      <w:r w:rsidRPr="00B63B81">
                        <w:rPr>
                          <w:b/>
                          <w:bCs/>
                        </w:rPr>
                        <w:t xml:space="preserve">Figure </w:t>
                      </w:r>
                      <w:r>
                        <w:rPr>
                          <w:b/>
                          <w:bCs/>
                        </w:rPr>
                        <w:t>12</w:t>
                      </w:r>
                      <w:r w:rsidRPr="00E04F82">
                        <w:t xml:space="preserve">. A bar graph of </w:t>
                      </w:r>
                      <w:r>
                        <w:t>the frequency of various types of administration charges for defendants who identify as newcomers,</w:t>
                      </w:r>
                      <w:r w:rsidRPr="00E04F82">
                        <w:t xml:space="preserve"> as observed in </w:t>
                      </w:r>
                      <w:r>
                        <w:t>Calgary’s Adult Court</w:t>
                      </w:r>
                      <w:r w:rsidRPr="00E04F82">
                        <w:t xml:space="preserve"> between January 2017 and December 201</w:t>
                      </w:r>
                      <w:r>
                        <w:t>8</w:t>
                      </w:r>
                      <w:r w:rsidRPr="00E04F82">
                        <w:t xml:space="preserve">, from a sample size of </w:t>
                      </w:r>
                      <w:r>
                        <w:t>37</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p w14:paraId="694C2884" w14:textId="74CF73F2" w:rsidR="00A56EB4" w:rsidRDefault="00A56EB4"/>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2534272" behindDoc="1" locked="0" layoutInCell="1" allowOverlap="1" wp14:anchorId="36D7B2C6" wp14:editId="3677C533">
            <wp:simplePos x="0" y="0"/>
            <wp:positionH relativeFrom="margin">
              <wp:posOffset>9905</wp:posOffset>
            </wp:positionH>
            <wp:positionV relativeFrom="page">
              <wp:posOffset>5204031</wp:posOffset>
            </wp:positionV>
            <wp:extent cx="6837045" cy="3594100"/>
            <wp:effectExtent l="0" t="0" r="1905" b="6350"/>
            <wp:wrapTight wrapText="bothSides">
              <wp:wrapPolygon edited="0">
                <wp:start x="0" y="0"/>
                <wp:lineTo x="0" y="21524"/>
                <wp:lineTo x="21546" y="21524"/>
                <wp:lineTo x="2154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t="10870"/>
                    <a:stretch/>
                  </pic:blipFill>
                  <pic:spPr bwMode="auto">
                    <a:xfrm>
                      <a:off x="0" y="0"/>
                      <a:ext cx="6837045" cy="3594100"/>
                    </a:xfrm>
                    <a:prstGeom prst="rect">
                      <a:avLst/>
                    </a:prstGeom>
                    <a:noFill/>
                    <a:ln>
                      <a:noFill/>
                    </a:ln>
                    <a:extLst>
                      <a:ext uri="{53640926-AAD7-44D8-BBD7-CCE9431645EC}">
                        <a14:shadowObscured xmlns:a14="http://schemas.microsoft.com/office/drawing/2010/main"/>
                      </a:ext>
                    </a:extLst>
                  </pic:spPr>
                </pic:pic>
              </a:graphicData>
            </a:graphic>
          </wp:anchor>
        </w:drawing>
      </w:r>
      <w:r w:rsidR="007541BA">
        <w:rPr>
          <w:noProof/>
          <w:lang w:val="en-US"/>
        </w:rPr>
        <w:drawing>
          <wp:anchor distT="0" distB="0" distL="114300" distR="114300" simplePos="0" relativeHeight="252599808" behindDoc="1" locked="0" layoutInCell="1" allowOverlap="1" wp14:anchorId="211615DA" wp14:editId="2BD4FF55">
            <wp:simplePos x="0" y="0"/>
            <wp:positionH relativeFrom="margin">
              <wp:posOffset>0</wp:posOffset>
            </wp:positionH>
            <wp:positionV relativeFrom="page">
              <wp:posOffset>866775</wp:posOffset>
            </wp:positionV>
            <wp:extent cx="6753225" cy="3518535"/>
            <wp:effectExtent l="0" t="0" r="0" b="5715"/>
            <wp:wrapTight wrapText="bothSides">
              <wp:wrapPolygon edited="0">
                <wp:start x="0" y="0"/>
                <wp:lineTo x="0" y="21518"/>
                <wp:lineTo x="21509" y="21518"/>
                <wp:lineTo x="21509"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56096" cy="3520315"/>
                    </a:xfrm>
                    <a:prstGeom prst="rect">
                      <a:avLst/>
                    </a:prstGeom>
                  </pic:spPr>
                </pic:pic>
              </a:graphicData>
            </a:graphic>
            <wp14:sizeRelH relativeFrom="margin">
              <wp14:pctWidth>0</wp14:pctWidth>
            </wp14:sizeRelH>
            <wp14:sizeRelV relativeFrom="margin">
              <wp14:pctHeight>0</wp14:pctHeight>
            </wp14:sizeRelV>
          </wp:anchor>
        </w:drawing>
      </w:r>
      <w:r w:rsidR="00EC0AA3" w:rsidRPr="00515285">
        <w:rPr>
          <w:rFonts w:ascii="Times New Roman" w:hAnsi="Times New Roman" w:cs="Times New Roman"/>
          <w:i/>
          <w:iCs/>
          <w:noProof/>
          <w:sz w:val="18"/>
          <w:szCs w:val="18"/>
          <w:lang w:val="en-US"/>
        </w:rPr>
        <mc:AlternateContent>
          <mc:Choice Requires="wps">
            <w:drawing>
              <wp:anchor distT="45720" distB="45720" distL="114300" distR="114300" simplePos="0" relativeHeight="252460544" behindDoc="1" locked="0" layoutInCell="1" allowOverlap="1" wp14:anchorId="22F2FF5D" wp14:editId="2554367F">
                <wp:simplePos x="0" y="0"/>
                <wp:positionH relativeFrom="margin">
                  <wp:posOffset>0</wp:posOffset>
                </wp:positionH>
                <wp:positionV relativeFrom="page">
                  <wp:posOffset>4394200</wp:posOffset>
                </wp:positionV>
                <wp:extent cx="6845300" cy="635000"/>
                <wp:effectExtent l="0" t="0" r="12700" b="12700"/>
                <wp:wrapTight wrapText="bothSides">
                  <wp:wrapPolygon edited="0">
                    <wp:start x="0" y="0"/>
                    <wp:lineTo x="0" y="21384"/>
                    <wp:lineTo x="21580" y="21384"/>
                    <wp:lineTo x="21580" y="0"/>
                    <wp:lineTo x="0" y="0"/>
                  </wp:wrapPolygon>
                </wp:wrapTight>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35000"/>
                        </a:xfrm>
                        <a:prstGeom prst="rect">
                          <a:avLst/>
                        </a:prstGeom>
                        <a:solidFill>
                          <a:srgbClr val="FFFFFF"/>
                        </a:solidFill>
                        <a:ln w="9525">
                          <a:solidFill>
                            <a:schemeClr val="bg1"/>
                          </a:solidFill>
                          <a:miter lim="800000"/>
                          <a:headEnd/>
                          <a:tailEnd/>
                        </a:ln>
                      </wps:spPr>
                      <wps:txbx>
                        <w:txbxContent>
                          <w:p w14:paraId="7D75E7D9" w14:textId="46CD0931" w:rsidR="00A56EB4" w:rsidRPr="00CC7EDE" w:rsidRDefault="00A56EB4" w:rsidP="00515285">
                            <w:pPr>
                              <w:pStyle w:val="Caption"/>
                              <w:rPr>
                                <w:highlight w:val="yellow"/>
                              </w:rPr>
                            </w:pPr>
                            <w:r w:rsidRPr="00B63B81">
                              <w:rPr>
                                <w:b/>
                                <w:bCs/>
                              </w:rPr>
                              <w:t xml:space="preserve">Figure </w:t>
                            </w:r>
                            <w:r>
                              <w:rPr>
                                <w:b/>
                                <w:bCs/>
                              </w:rPr>
                              <w:t>11</w:t>
                            </w:r>
                            <w:r w:rsidRPr="00E04F82">
                              <w:t xml:space="preserve">. A bar graph of </w:t>
                            </w:r>
                            <w:r>
                              <w:t>the frequency of various types of administration charges for defendants who identify as Indigenous,</w:t>
                            </w:r>
                            <w:r w:rsidRPr="00E04F82">
                              <w:t xml:space="preserve"> as observed in </w:t>
                            </w:r>
                            <w:r>
                              <w:t>Calgary’s Adult Court</w:t>
                            </w:r>
                            <w:r w:rsidRPr="00E04F82">
                              <w:t xml:space="preserve"> between January 2017 and December 201</w:t>
                            </w:r>
                            <w:r>
                              <w:t>8</w:t>
                            </w:r>
                            <w:r w:rsidRPr="00E04F82">
                              <w:t xml:space="preserve">, from a sample size of </w:t>
                            </w:r>
                            <w:r>
                              <w:t>265</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p w14:paraId="62BE16FF" w14:textId="50E1534E"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2FF5D" id="_x0000_s1055" type="#_x0000_t202" style="position:absolute;margin-left:0;margin-top:346pt;width:539pt;height:50pt;z-index:-25085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" strokecolor="white [3212]">
                <v:textbox>
                  <w:txbxContent>
                    <w:p w14:paraId="7D75E7D9" w14:textId="46CD0931" w:rsidR="00A56EB4" w:rsidRPr="00CC7EDE" w:rsidRDefault="00A56EB4" w:rsidP="00515285">
                      <w:pPr>
                        <w:pStyle w:val="Caption"/>
                        <w:rPr>
                          <w:highlight w:val="yellow"/>
                        </w:rPr>
                      </w:pPr>
                      <w:r w:rsidRPr="00B63B81">
                        <w:rPr>
                          <w:b/>
                          <w:bCs/>
                        </w:rPr>
                        <w:t xml:space="preserve">Figure </w:t>
                      </w:r>
                      <w:r>
                        <w:rPr>
                          <w:b/>
                          <w:bCs/>
                        </w:rPr>
                        <w:t>11</w:t>
                      </w:r>
                      <w:r w:rsidRPr="00E04F82">
                        <w:t xml:space="preserve">. A bar graph of </w:t>
                      </w:r>
                      <w:r>
                        <w:t>the frequency of various types of administration charges for defendants who identify as Indigenous,</w:t>
                      </w:r>
                      <w:r w:rsidRPr="00E04F82">
                        <w:t xml:space="preserve"> as observed in </w:t>
                      </w:r>
                      <w:r>
                        <w:t>Calgary’s Adult Court</w:t>
                      </w:r>
                      <w:r w:rsidRPr="00E04F82">
                        <w:t xml:space="preserve"> between January 2017 and December 201</w:t>
                      </w:r>
                      <w:r>
                        <w:t>8</w:t>
                      </w:r>
                      <w:r w:rsidRPr="00E04F82">
                        <w:t xml:space="preserve">, from a sample size of </w:t>
                      </w:r>
                      <w:r>
                        <w:t>265</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p w14:paraId="62BE16FF" w14:textId="50E1534E" w:rsidR="00A56EB4" w:rsidRDefault="00A56EB4"/>
                  </w:txbxContent>
                </v:textbox>
                <w10:wrap type="tight" anchorx="margin" anchory="page"/>
              </v:shape>
            </w:pict>
          </mc:Fallback>
        </mc:AlternateContent>
      </w:r>
      <w:r w:rsidR="00EC0AA3" w:rsidRPr="00EC0AA3">
        <w:rPr>
          <w:rFonts w:ascii="Times New Roman" w:hAnsi="Times New Roman" w:cs="Times New Roman"/>
          <w:sz w:val="24"/>
          <w:szCs w:val="24"/>
        </w:rPr>
        <w:t xml:space="preserve"> </w:t>
      </w:r>
    </w:p>
    <w:p w14:paraId="7FCFFB0F" w14:textId="3A4E219B" w:rsidR="008C749A" w:rsidRPr="0009483C" w:rsidRDefault="0009483C" w:rsidP="0009483C">
      <w:pPr>
        <w:autoSpaceDE w:val="0"/>
        <w:autoSpaceDN w:val="0"/>
        <w:adjustRightInd w:val="0"/>
        <w:spacing w:after="0" w:line="240" w:lineRule="auto"/>
        <w:rPr>
          <w:rFonts w:ascii="Times New Roman" w:hAnsi="Times New Roman" w:cs="Times New Roman"/>
          <w:sz w:val="24"/>
          <w:szCs w:val="24"/>
        </w:rPr>
      </w:pPr>
      <w:r w:rsidRPr="00CC7EDE">
        <w:rPr>
          <w:rFonts w:ascii="Times New Roman" w:hAnsi="Times New Roman" w:cs="Times New Roman"/>
          <w:noProof/>
          <w:color w:val="FF0000"/>
          <w:sz w:val="24"/>
          <w:szCs w:val="24"/>
          <w:lang w:val="en-US"/>
        </w:rPr>
        <w:lastRenderedPageBreak/>
        <mc:AlternateContent>
          <mc:Choice Requires="wps">
            <w:drawing>
              <wp:anchor distT="45720" distB="45720" distL="114300" distR="114300" simplePos="0" relativeHeight="250662400" behindDoc="0" locked="0" layoutInCell="1" allowOverlap="1" wp14:anchorId="0E0F7A0A" wp14:editId="2ABB7F14">
                <wp:simplePos x="0" y="0"/>
                <wp:positionH relativeFrom="margin">
                  <wp:posOffset>25400</wp:posOffset>
                </wp:positionH>
                <wp:positionV relativeFrom="paragraph">
                  <wp:posOffset>3834765</wp:posOffset>
                </wp:positionV>
                <wp:extent cx="6829425" cy="4953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95300"/>
                        </a:xfrm>
                        <a:prstGeom prst="rect">
                          <a:avLst/>
                        </a:prstGeom>
                        <a:solidFill>
                          <a:srgbClr val="FFFFFF"/>
                        </a:solidFill>
                        <a:ln w="9525">
                          <a:noFill/>
                          <a:miter lim="800000"/>
                          <a:headEnd/>
                          <a:tailEnd/>
                        </a:ln>
                      </wps:spPr>
                      <wps:txbx>
                        <w:txbxContent>
                          <w:p w14:paraId="1E7A9050" w14:textId="1DE988AF" w:rsidR="00A56EB4" w:rsidRPr="00E04F82" w:rsidRDefault="00A56EB4" w:rsidP="00CC7EDE">
                            <w:pPr>
                              <w:pStyle w:val="Caption"/>
                              <w:rPr>
                                <w:highlight w:val="yellow"/>
                              </w:rPr>
                            </w:pPr>
                            <w:r w:rsidRPr="00B63B81">
                              <w:rPr>
                                <w:b/>
                                <w:bCs/>
                              </w:rPr>
                              <w:t xml:space="preserve">Figure </w:t>
                            </w:r>
                            <w:r>
                              <w:rPr>
                                <w:b/>
                                <w:bCs/>
                              </w:rPr>
                              <w:t>13</w:t>
                            </w:r>
                            <w:r w:rsidRPr="00E04F82">
                              <w:t xml:space="preserve">. A bar graph of </w:t>
                            </w:r>
                            <w:r>
                              <w:t>the frequency of various types of bylaws charges,</w:t>
                            </w:r>
                            <w:r w:rsidRPr="00E04F82">
                              <w:t xml:space="preserve"> as observed in </w:t>
                            </w:r>
                            <w:r>
                              <w:t>Calgary’s Adult Court</w:t>
                            </w:r>
                            <w:r w:rsidRPr="00E04F82">
                              <w:t xml:space="preserve"> between January 2017 and December 201</w:t>
                            </w:r>
                            <w:r>
                              <w:t>8</w:t>
                            </w:r>
                            <w:r w:rsidRPr="00E04F82">
                              <w:t xml:space="preserve">, from a sample size of </w:t>
                            </w:r>
                            <w:r>
                              <w:t>20</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p w14:paraId="5EFEFEF7" w14:textId="77777777" w:rsidR="00A56EB4" w:rsidRDefault="00A56EB4" w:rsidP="00CC7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F7A0A" id="_x0000_s1056" type="#_x0000_t202" style="position:absolute;margin-left:2pt;margin-top:301.95pt;width:537.75pt;height:39pt;z-index:25066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" stroked="f">
                <v:textbox>
                  <w:txbxContent>
                    <w:p w14:paraId="1E7A9050" w14:textId="1DE988AF" w:rsidR="00A56EB4" w:rsidRPr="00E04F82" w:rsidRDefault="00A56EB4" w:rsidP="00CC7EDE">
                      <w:pPr>
                        <w:pStyle w:val="Caption"/>
                        <w:rPr>
                          <w:highlight w:val="yellow"/>
                        </w:rPr>
                      </w:pPr>
                      <w:r w:rsidRPr="00B63B81">
                        <w:rPr>
                          <w:b/>
                          <w:bCs/>
                        </w:rPr>
                        <w:t xml:space="preserve">Figure </w:t>
                      </w:r>
                      <w:r>
                        <w:rPr>
                          <w:b/>
                          <w:bCs/>
                        </w:rPr>
                        <w:t>13</w:t>
                      </w:r>
                      <w:r w:rsidRPr="00E04F82">
                        <w:t xml:space="preserve">. A bar graph of </w:t>
                      </w:r>
                      <w:r>
                        <w:t>the frequency of various types of bylaws charges,</w:t>
                      </w:r>
                      <w:r w:rsidRPr="00E04F82">
                        <w:t xml:space="preserve"> as observed in </w:t>
                      </w:r>
                      <w:r>
                        <w:t>Calgary’s Adult Court</w:t>
                      </w:r>
                      <w:r w:rsidRPr="00E04F82">
                        <w:t xml:space="preserve"> between January 2017 and December 201</w:t>
                      </w:r>
                      <w:r>
                        <w:t>8</w:t>
                      </w:r>
                      <w:r w:rsidRPr="00E04F82">
                        <w:t xml:space="preserve">, from a sample size of </w:t>
                      </w:r>
                      <w:r>
                        <w:t>20</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p w14:paraId="5EFEFEF7" w14:textId="77777777" w:rsidR="00A56EB4" w:rsidRDefault="00A56EB4" w:rsidP="00CC7EDE"/>
                  </w:txbxContent>
                </v:textbox>
                <w10:wrap type="square" anchorx="margin"/>
              </v:shape>
            </w:pict>
          </mc:Fallback>
        </mc:AlternateContent>
      </w:r>
      <w:r>
        <w:rPr>
          <w:rFonts w:ascii="Times New Roman" w:hAnsi="Times New Roman" w:cs="Times New Roman"/>
          <w:noProof/>
          <w:sz w:val="24"/>
          <w:szCs w:val="24"/>
          <w:lang w:val="en-US"/>
        </w:rPr>
        <w:drawing>
          <wp:anchor distT="0" distB="0" distL="114300" distR="114300" simplePos="0" relativeHeight="252566016" behindDoc="1" locked="0" layoutInCell="1" allowOverlap="1" wp14:anchorId="221BB579" wp14:editId="7606ED0B">
            <wp:simplePos x="0" y="0"/>
            <wp:positionH relativeFrom="margin">
              <wp:align>right</wp:align>
            </wp:positionH>
            <wp:positionV relativeFrom="page">
              <wp:posOffset>736600</wp:posOffset>
            </wp:positionV>
            <wp:extent cx="6819900" cy="4021455"/>
            <wp:effectExtent l="0" t="0" r="0" b="0"/>
            <wp:wrapTight wrapText="bothSides">
              <wp:wrapPolygon edited="0">
                <wp:start x="0" y="0"/>
                <wp:lineTo x="0" y="21487"/>
                <wp:lineTo x="21540" y="21487"/>
                <wp:lineTo x="2154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9900" cy="4021455"/>
                    </a:xfrm>
                    <a:prstGeom prst="rect">
                      <a:avLst/>
                    </a:prstGeom>
                    <a:noFill/>
                    <a:ln>
                      <a:noFill/>
                    </a:ln>
                  </pic:spPr>
                </pic:pic>
              </a:graphicData>
            </a:graphic>
          </wp:anchor>
        </w:drawing>
      </w:r>
      <w:r w:rsidR="000729F1">
        <w:t>T</w:t>
      </w:r>
      <w:r w:rsidR="005617E5">
        <w:t xml:space="preserve">he original charges preceding an administration charge in </w:t>
      </w:r>
      <w:r w:rsidR="008D12A5">
        <w:t>Calgary’s Adult Court</w:t>
      </w:r>
      <w:r w:rsidR="005617E5">
        <w:t xml:space="preserve"> were overwhelmingly (97.45%) criminal</w:t>
      </w:r>
      <w:r w:rsidR="00132C71">
        <w:t xml:space="preserve"> (Figure </w:t>
      </w:r>
      <w:r w:rsidR="000729F1">
        <w:t>8</w:t>
      </w:r>
      <w:r w:rsidR="00132C71">
        <w:t>)</w:t>
      </w:r>
      <w:r w:rsidR="005617E5">
        <w:t xml:space="preserve">. ‘Failure to appear’ represented the most frequent administrative charge overall, and across </w:t>
      </w:r>
      <w:r w:rsidR="00C90804">
        <w:t>individuals of all minority status</w:t>
      </w:r>
      <w:r w:rsidR="00132C71">
        <w:t xml:space="preserve"> (Figure</w:t>
      </w:r>
      <w:r w:rsidR="000729F1">
        <w:t>s</w:t>
      </w:r>
      <w:r w:rsidR="00132C71">
        <w:t xml:space="preserve"> </w:t>
      </w:r>
      <w:r w:rsidR="000729F1">
        <w:t>9, 10, 11, 12)</w:t>
      </w:r>
      <w:r w:rsidR="005617E5">
        <w:t xml:space="preserve">. </w:t>
      </w:r>
      <w:r w:rsidR="00E70C55">
        <w:t xml:space="preserve">Using </w:t>
      </w:r>
      <w:r w:rsidR="006B7606">
        <w:t>the grouping without minority status</w:t>
      </w:r>
      <w:r w:rsidR="00E70C55">
        <w:t xml:space="preserve"> as a comparator, t</w:t>
      </w:r>
      <w:r w:rsidR="00C90804">
        <w:t>here existed limited deviation by minority status</w:t>
      </w:r>
      <w:r w:rsidR="00E70C55">
        <w:t xml:space="preserve"> </w:t>
      </w:r>
      <w:r w:rsidR="00C90804">
        <w:t xml:space="preserve">for ‘failure to appear’, ‘unlawfully at large’, and ‘other’ charges, </w:t>
      </w:r>
      <w:r w:rsidR="0004403E">
        <w:t>with</w:t>
      </w:r>
      <w:r w:rsidR="00C90804">
        <w:t xml:space="preserve"> a maximum </w:t>
      </w:r>
      <w:r w:rsidR="009201CD">
        <w:t>deviation</w:t>
      </w:r>
      <w:r w:rsidR="00C90804">
        <w:t xml:space="preserve"> of </w:t>
      </w:r>
      <w:r w:rsidR="00264438">
        <w:t>-</w:t>
      </w:r>
      <w:r w:rsidR="00C90804">
        <w:t>1.</w:t>
      </w:r>
      <w:r w:rsidR="009201CD">
        <w:t>15</w:t>
      </w:r>
      <w:r w:rsidR="00C90804">
        <w:t xml:space="preserve">%, </w:t>
      </w:r>
      <w:r w:rsidR="00264438">
        <w:t>-</w:t>
      </w:r>
      <w:r w:rsidR="00C90804">
        <w:t>1.</w:t>
      </w:r>
      <w:r w:rsidR="009201CD">
        <w:t>58</w:t>
      </w:r>
      <w:r w:rsidR="00C90804">
        <w:t xml:space="preserve">%, and </w:t>
      </w:r>
      <w:r w:rsidR="00264438">
        <w:t>+</w:t>
      </w:r>
      <w:r w:rsidR="00C90804">
        <w:t>3.</w:t>
      </w:r>
      <w:r w:rsidR="009201CD">
        <w:t>94</w:t>
      </w:r>
      <w:r w:rsidR="00C90804">
        <w:t>% respectively</w:t>
      </w:r>
      <w:r w:rsidR="00132C71">
        <w:t xml:space="preserve"> (Figures </w:t>
      </w:r>
      <w:r w:rsidR="009201CD">
        <w:t>10, 11, 12</w:t>
      </w:r>
      <w:r w:rsidR="00132C71">
        <w:t>)</w:t>
      </w:r>
      <w:r w:rsidR="00C90804">
        <w:t xml:space="preserve">. </w:t>
      </w:r>
      <w:r w:rsidR="00EF5C79">
        <w:t>Statistically</w:t>
      </w:r>
      <w:r w:rsidR="00C90804">
        <w:t xml:space="preserve"> significant </w:t>
      </w:r>
      <w:r w:rsidR="00BA17DC">
        <w:t>differences were</w:t>
      </w:r>
      <w:r w:rsidR="00C90804">
        <w:t xml:space="preserve"> apparent in the newcomer group, with</w:t>
      </w:r>
      <w:r w:rsidR="00BA17DC">
        <w:t xml:space="preserve"> </w:t>
      </w:r>
      <w:r w:rsidR="00C90804">
        <w:t xml:space="preserve">deviation </w:t>
      </w:r>
      <w:r w:rsidR="00BA17DC">
        <w:t>for</w:t>
      </w:r>
      <w:r w:rsidR="00C90804">
        <w:t xml:space="preserve"> the ‘breach of probation’</w:t>
      </w:r>
      <w:r w:rsidR="00EF5C79">
        <w:t xml:space="preserve"> </w:t>
      </w:r>
      <w:r w:rsidR="00BA17DC">
        <w:t xml:space="preserve">offence </w:t>
      </w:r>
      <w:r w:rsidR="00EF5C79">
        <w:t>(X</w:t>
      </w:r>
      <w:r w:rsidR="00EF5C79" w:rsidRPr="00EF5C79">
        <w:rPr>
          <w:vertAlign w:val="superscript"/>
        </w:rPr>
        <w:t>2</w:t>
      </w:r>
      <w:r w:rsidR="00EF5C79">
        <w:t xml:space="preserve"> = 3.89, p-value = 0.04, p&lt;0.05)</w:t>
      </w:r>
      <w:r w:rsidR="006321C9">
        <w:t>, such that newcomer</w:t>
      </w:r>
      <w:r w:rsidR="000E2693">
        <w:t xml:space="preserve"> attendees </w:t>
      </w:r>
      <w:r w:rsidR="006321C9">
        <w:t xml:space="preserve">had </w:t>
      </w:r>
      <w:r w:rsidR="000E2693">
        <w:t xml:space="preserve">0.26X the odds of attendees without minority status having this charge in </w:t>
      </w:r>
      <w:r w:rsidR="008D12A5">
        <w:t>Calgary’s Adult Court</w:t>
      </w:r>
      <w:r w:rsidR="00EF5C79">
        <w:t>.</w:t>
      </w:r>
      <w:r w:rsidR="00C90804">
        <w:t xml:space="preserve"> </w:t>
      </w:r>
      <w:r w:rsidR="00EF5C79">
        <w:t>‘F</w:t>
      </w:r>
      <w:r w:rsidR="00C90804">
        <w:t xml:space="preserve">ailure to comply’ charges </w:t>
      </w:r>
      <w:r w:rsidR="00EF5C79">
        <w:t xml:space="preserve">deviated </w:t>
      </w:r>
      <w:r w:rsidR="00C90804">
        <w:t>by -12.</w:t>
      </w:r>
      <w:r w:rsidR="003B4AC6">
        <w:t>59</w:t>
      </w:r>
      <w:r w:rsidR="00C90804">
        <w:t xml:space="preserve">% and </w:t>
      </w:r>
      <w:r w:rsidR="003B4AC6">
        <w:t>+11.39</w:t>
      </w:r>
      <w:r w:rsidR="00C90804">
        <w:t>% respectively</w:t>
      </w:r>
      <w:r w:rsidR="00132C71">
        <w:t xml:space="preserve"> (Figure </w:t>
      </w:r>
      <w:r w:rsidR="00264438">
        <w:t>12</w:t>
      </w:r>
      <w:r w:rsidR="00132C71">
        <w:t xml:space="preserve">); further data collection may better elucidate whether this substantial deviation reflects actual differences in frequency between the groups, or if it is attributable to the use of a small sample. </w:t>
      </w:r>
      <w:r w:rsidR="000E1852">
        <w:t xml:space="preserve">Few individuals in </w:t>
      </w:r>
      <w:r w:rsidR="008D12A5">
        <w:t>Calgary’s Adult Court</w:t>
      </w:r>
      <w:r w:rsidR="000E1852">
        <w:t xml:space="preserve"> demonstrated bylaws charges (20); </w:t>
      </w:r>
      <w:r w:rsidR="0004403E">
        <w:t xml:space="preserve">most </w:t>
      </w:r>
      <w:r w:rsidR="000E1852">
        <w:t xml:space="preserve">(7) reported having ‘other’ bylaw charges, while 6 others reported having a ‘Calgary transit offence’. </w:t>
      </w:r>
      <w:r w:rsidR="00172E76">
        <w:t xml:space="preserve">A breakdown of the frequency of bylaw charges across different minority status groups has been omitted, owing to limited data availability. </w:t>
      </w:r>
    </w:p>
    <w:p w14:paraId="44F1E93A" w14:textId="0EF99569" w:rsidR="00476B38" w:rsidRDefault="00476B38" w:rsidP="00010CBD">
      <w:pPr>
        <w:autoSpaceDE w:val="0"/>
        <w:autoSpaceDN w:val="0"/>
        <w:adjustRightInd w:val="0"/>
        <w:spacing w:after="0" w:line="240" w:lineRule="auto"/>
        <w:rPr>
          <w:rFonts w:ascii="Times New Roman" w:hAnsi="Times New Roman" w:cs="Times New Roman"/>
          <w:sz w:val="24"/>
          <w:szCs w:val="24"/>
        </w:rPr>
      </w:pPr>
    </w:p>
    <w:p w14:paraId="35CA36F3" w14:textId="45659A4D" w:rsidR="00476B38" w:rsidRDefault="00476B38" w:rsidP="00010CBD">
      <w:pPr>
        <w:autoSpaceDE w:val="0"/>
        <w:autoSpaceDN w:val="0"/>
        <w:adjustRightInd w:val="0"/>
        <w:spacing w:after="0" w:line="240" w:lineRule="auto"/>
        <w:rPr>
          <w:rFonts w:ascii="Times New Roman" w:hAnsi="Times New Roman" w:cs="Times New Roman"/>
          <w:sz w:val="24"/>
          <w:szCs w:val="24"/>
        </w:rPr>
      </w:pPr>
    </w:p>
    <w:p w14:paraId="17D1B731" w14:textId="1603060F" w:rsidR="00476B38" w:rsidRDefault="00476B38" w:rsidP="00010CBD">
      <w:pPr>
        <w:autoSpaceDE w:val="0"/>
        <w:autoSpaceDN w:val="0"/>
        <w:adjustRightInd w:val="0"/>
        <w:spacing w:after="0" w:line="240" w:lineRule="auto"/>
        <w:rPr>
          <w:rFonts w:ascii="Times New Roman" w:hAnsi="Times New Roman" w:cs="Times New Roman"/>
          <w:sz w:val="24"/>
          <w:szCs w:val="24"/>
        </w:rPr>
      </w:pPr>
    </w:p>
    <w:p w14:paraId="7C0D003A" w14:textId="3011694C" w:rsidR="00476B38" w:rsidRDefault="00476B38" w:rsidP="00010CBD">
      <w:pPr>
        <w:autoSpaceDE w:val="0"/>
        <w:autoSpaceDN w:val="0"/>
        <w:adjustRightInd w:val="0"/>
        <w:spacing w:after="0" w:line="240" w:lineRule="auto"/>
        <w:rPr>
          <w:rFonts w:ascii="Times New Roman" w:hAnsi="Times New Roman" w:cs="Times New Roman"/>
          <w:sz w:val="24"/>
          <w:szCs w:val="24"/>
        </w:rPr>
      </w:pPr>
    </w:p>
    <w:p w14:paraId="3B7B5FA2" w14:textId="6A75D754" w:rsidR="00476B38" w:rsidRDefault="00476B38" w:rsidP="005D3A1D">
      <w:pPr>
        <w:rPr>
          <w:rFonts w:asciiTheme="majorHAnsi" w:hAnsiTheme="majorHAnsi" w:cstheme="majorHAnsi"/>
          <w:sz w:val="24"/>
          <w:szCs w:val="24"/>
        </w:rPr>
      </w:pPr>
    </w:p>
    <w:p w14:paraId="2647793F" w14:textId="331C4734" w:rsidR="00476B38" w:rsidRDefault="00476B38" w:rsidP="005D3A1D">
      <w:pPr>
        <w:rPr>
          <w:rFonts w:asciiTheme="majorHAnsi" w:hAnsiTheme="majorHAnsi" w:cstheme="majorHAnsi"/>
          <w:sz w:val="24"/>
          <w:szCs w:val="24"/>
        </w:rPr>
      </w:pPr>
    </w:p>
    <w:p w14:paraId="5A5A581F" w14:textId="591BFC4A" w:rsidR="00476B38" w:rsidRDefault="00476B38" w:rsidP="005D3A1D">
      <w:pPr>
        <w:rPr>
          <w:rFonts w:asciiTheme="majorHAnsi" w:hAnsiTheme="majorHAnsi" w:cstheme="majorHAnsi"/>
          <w:sz w:val="24"/>
          <w:szCs w:val="24"/>
        </w:rPr>
      </w:pPr>
    </w:p>
    <w:p w14:paraId="08964036" w14:textId="6CAB573D" w:rsidR="004425DF" w:rsidRDefault="004425DF" w:rsidP="00DF547E">
      <w:pPr>
        <w:rPr>
          <w:rFonts w:asciiTheme="majorHAnsi" w:hAnsiTheme="majorHAnsi" w:cstheme="majorHAnsi"/>
          <w:sz w:val="24"/>
          <w:szCs w:val="24"/>
        </w:rPr>
      </w:pPr>
    </w:p>
    <w:p w14:paraId="436B077F" w14:textId="40A8A1E2" w:rsidR="005D3A1D" w:rsidRPr="00063449" w:rsidRDefault="00E6018F" w:rsidP="00C32EF2">
      <w:r w:rsidRPr="00EC2EE1">
        <w:rPr>
          <w:noProof/>
          <w:color w:val="FF0000"/>
          <w:lang w:val="en-US"/>
        </w:rPr>
        <w:lastRenderedPageBreak/>
        <w:drawing>
          <wp:anchor distT="0" distB="0" distL="114300" distR="114300" simplePos="0" relativeHeight="248648192" behindDoc="1" locked="0" layoutInCell="1" allowOverlap="1" wp14:anchorId="4881A74C" wp14:editId="02C0A37B">
            <wp:simplePos x="0" y="0"/>
            <wp:positionH relativeFrom="margin">
              <wp:posOffset>0</wp:posOffset>
            </wp:positionH>
            <wp:positionV relativeFrom="paragraph">
              <wp:posOffset>340616</wp:posOffset>
            </wp:positionV>
            <wp:extent cx="3819525" cy="3028950"/>
            <wp:effectExtent l="0" t="0" r="9525" b="0"/>
            <wp:wrapTight wrapText="bothSides">
              <wp:wrapPolygon edited="0">
                <wp:start x="0" y="0"/>
                <wp:lineTo x="0" y="21464"/>
                <wp:lineTo x="21546" y="21464"/>
                <wp:lineTo x="21546"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19525" cy="3028950"/>
                    </a:xfrm>
                    <a:prstGeom prst="rect">
                      <a:avLst/>
                    </a:prstGeom>
                  </pic:spPr>
                </pic:pic>
              </a:graphicData>
            </a:graphic>
          </wp:anchor>
        </w:drawing>
      </w:r>
      <w:r w:rsidR="00617CEE">
        <w:rPr>
          <w:noProof/>
          <w:lang w:val="en-US"/>
        </w:rPr>
        <mc:AlternateContent>
          <mc:Choice Requires="wps">
            <w:drawing>
              <wp:anchor distT="0" distB="0" distL="114300" distR="114300" simplePos="0" relativeHeight="251434496" behindDoc="1" locked="0" layoutInCell="1" allowOverlap="1" wp14:anchorId="16AB8EE1" wp14:editId="334C4920">
                <wp:simplePos x="0" y="0"/>
                <wp:positionH relativeFrom="margin">
                  <wp:posOffset>0</wp:posOffset>
                </wp:positionH>
                <wp:positionV relativeFrom="margin">
                  <wp:posOffset>74658</wp:posOffset>
                </wp:positionV>
                <wp:extent cx="3848100" cy="381000"/>
                <wp:effectExtent l="0" t="0" r="0" b="0"/>
                <wp:wrapTight wrapText="bothSides">
                  <wp:wrapPolygon edited="0">
                    <wp:start x="0" y="0"/>
                    <wp:lineTo x="0" y="20520"/>
                    <wp:lineTo x="21493" y="20520"/>
                    <wp:lineTo x="21493"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3848100" cy="381000"/>
                        </a:xfrm>
                        <a:prstGeom prst="rect">
                          <a:avLst/>
                        </a:prstGeom>
                        <a:solidFill>
                          <a:prstClr val="white"/>
                        </a:solidFill>
                        <a:ln>
                          <a:noFill/>
                        </a:ln>
                      </wps:spPr>
                      <wps:txbx>
                        <w:txbxContent>
                          <w:p w14:paraId="35E120AF" w14:textId="728940C2" w:rsidR="00A56EB4" w:rsidRPr="0063408E" w:rsidRDefault="00A56EB4" w:rsidP="00BD6FF6">
                            <w:pPr>
                              <w:pStyle w:val="Caption"/>
                            </w:pPr>
                            <w:r>
                              <w:rPr>
                                <w:b/>
                                <w:bCs/>
                              </w:rPr>
                              <w:t>Table 3</w:t>
                            </w:r>
                            <w:r w:rsidRPr="00B63B81">
                              <w:rPr>
                                <w:b/>
                                <w:bCs/>
                              </w:rPr>
                              <w:t>.</w:t>
                            </w:r>
                            <w:r>
                              <w:t xml:space="preserve"> Frequency and proportion of Calgary’s Adult Court attendees by appearance number,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8EE1" id="Text Box 41" o:spid="_x0000_s1057" type="#_x0000_t202" style="position:absolute;margin-left:0;margin-top:5.9pt;width:303pt;height:30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" stroked="f">
                <v:textbox inset="0,0,0,0">
                  <w:txbxContent>
                    <w:p w14:paraId="35E120AF" w14:textId="728940C2" w:rsidR="00A56EB4" w:rsidRPr="0063408E" w:rsidRDefault="00A56EB4" w:rsidP="00BD6FF6">
                      <w:pPr>
                        <w:pStyle w:val="Caption"/>
                      </w:pPr>
                      <w:r>
                        <w:rPr>
                          <w:b/>
                          <w:bCs/>
                        </w:rPr>
                        <w:t>Table 3</w:t>
                      </w:r>
                      <w:r w:rsidRPr="00B63B81">
                        <w:rPr>
                          <w:b/>
                          <w:bCs/>
                        </w:rPr>
                        <w:t>.</w:t>
                      </w:r>
                      <w:r>
                        <w:t xml:space="preserve"> Frequency and proportion of Calgary’s Adult Court attendees by appearance number, between January 2017 and December 2018.</w:t>
                      </w:r>
                    </w:p>
                  </w:txbxContent>
                </v:textbox>
                <w10:wrap type="tight" anchorx="margin" anchory="margin"/>
              </v:shape>
            </w:pict>
          </mc:Fallback>
        </mc:AlternateContent>
      </w:r>
      <w:r w:rsidR="001E1AC5" w:rsidRPr="00F64463">
        <w:t>It</w:t>
      </w:r>
      <w:r w:rsidR="001E1AC5" w:rsidRPr="00063449">
        <w:t xml:space="preserve"> was observed that </w:t>
      </w:r>
      <w:r w:rsidR="002617B9">
        <w:t>approximately half</w:t>
      </w:r>
      <w:r w:rsidR="001E1AC5" w:rsidRPr="00063449">
        <w:t xml:space="preserve"> (50.86%) of attendees at </w:t>
      </w:r>
      <w:r w:rsidR="008D12A5">
        <w:t>Calgary’s Adult Court</w:t>
      </w:r>
      <w:r w:rsidR="001E1AC5" w:rsidRPr="00063449">
        <w:t>, for which data was available, were at their first court appearance, with an</w:t>
      </w:r>
      <w:r w:rsidR="00F64463" w:rsidRPr="00063449">
        <w:t xml:space="preserve"> apparent</w:t>
      </w:r>
      <w:r w:rsidR="001E1AC5" w:rsidRPr="00063449">
        <w:t xml:space="preserve"> inverse relationship between increasing court appearance number and attendee count</w:t>
      </w:r>
      <w:r w:rsidR="00063449" w:rsidRPr="00063449">
        <w:t xml:space="preserve"> (Table 3)</w:t>
      </w:r>
      <w:r w:rsidR="001E1AC5" w:rsidRPr="00063449">
        <w:t xml:space="preserve">. The overwhelming majority of attendees (85.58%), for which data was available, reported having no legal representation at court (Table </w:t>
      </w:r>
      <w:r w:rsidR="00063449" w:rsidRPr="00063449">
        <w:t>4</w:t>
      </w:r>
      <w:r w:rsidR="001E1AC5" w:rsidRPr="00063449">
        <w:t xml:space="preserve">). </w:t>
      </w:r>
      <w:r w:rsidR="00F64463" w:rsidRPr="00063449">
        <w:t xml:space="preserve">Most (77.53%) attendees received services through the organization of a duration of 0-4 minutes, with an inverse relationship between increasing service length and attendee count (Table </w:t>
      </w:r>
      <w:r w:rsidR="00063449" w:rsidRPr="00063449">
        <w:t>5</w:t>
      </w:r>
      <w:r w:rsidR="00F64463" w:rsidRPr="00063449">
        <w:t>).</w:t>
      </w:r>
      <w:r w:rsidR="0062471D">
        <w:t xml:space="preserve"> Only 1.32% of defendants required support exceeding 15 minutes (Table 5). </w:t>
      </w:r>
      <w:r w:rsidR="0062471D" w:rsidRPr="00063449">
        <w:t xml:space="preserve"> </w:t>
      </w:r>
    </w:p>
    <w:p w14:paraId="65D0FD7F" w14:textId="5BD919FC" w:rsidR="005D3A1D" w:rsidRPr="005D3A1D" w:rsidRDefault="005D3A1D" w:rsidP="005D3A1D">
      <w:pPr>
        <w:autoSpaceDE w:val="0"/>
        <w:autoSpaceDN w:val="0"/>
        <w:adjustRightInd w:val="0"/>
        <w:spacing w:after="0" w:line="240" w:lineRule="auto"/>
        <w:rPr>
          <w:rFonts w:ascii="Times New Roman" w:hAnsi="Times New Roman" w:cs="Times New Roman"/>
          <w:sz w:val="24"/>
          <w:szCs w:val="24"/>
        </w:rPr>
      </w:pPr>
    </w:p>
    <w:p w14:paraId="1169C789" w14:textId="48A45863" w:rsidR="008303AC" w:rsidRDefault="008303AC" w:rsidP="00147C80">
      <w:pPr>
        <w:autoSpaceDE w:val="0"/>
        <w:autoSpaceDN w:val="0"/>
        <w:adjustRightInd w:val="0"/>
        <w:spacing w:after="0" w:line="240" w:lineRule="auto"/>
        <w:rPr>
          <w:rFonts w:asciiTheme="majorHAnsi" w:hAnsiTheme="majorHAnsi" w:cstheme="majorHAnsi"/>
          <w:b/>
          <w:bCs/>
        </w:rPr>
      </w:pPr>
    </w:p>
    <w:p w14:paraId="255AEE3F" w14:textId="4AB08565" w:rsidR="00DF68FC" w:rsidRDefault="00DF68FC" w:rsidP="00147C80">
      <w:pPr>
        <w:autoSpaceDE w:val="0"/>
        <w:autoSpaceDN w:val="0"/>
        <w:adjustRightInd w:val="0"/>
        <w:spacing w:after="0" w:line="240" w:lineRule="auto"/>
        <w:rPr>
          <w:rFonts w:asciiTheme="majorHAnsi" w:hAnsiTheme="majorHAnsi" w:cstheme="majorHAnsi"/>
          <w:b/>
          <w:bCs/>
        </w:rPr>
      </w:pPr>
    </w:p>
    <w:p w14:paraId="6A14F731" w14:textId="7ED2B21B" w:rsidR="006A28CA" w:rsidRPr="00CD2F2A" w:rsidRDefault="00CD2F2A" w:rsidP="00CD2F2A">
      <w:pPr>
        <w:autoSpaceDE w:val="0"/>
        <w:autoSpaceDN w:val="0"/>
        <w:adjustRightInd w:val="0"/>
        <w:spacing w:after="0" w:line="240" w:lineRule="auto"/>
        <w:rPr>
          <w:rFonts w:asciiTheme="majorHAnsi" w:hAnsiTheme="majorHAnsi" w:cstheme="majorHAnsi"/>
          <w:b/>
          <w:bCs/>
        </w:rPr>
      </w:pPr>
      <w:r>
        <w:rPr>
          <w:noProof/>
          <w:lang w:val="en-US"/>
        </w:rPr>
        <w:drawing>
          <wp:anchor distT="0" distB="0" distL="114300" distR="114300" simplePos="0" relativeHeight="247862784" behindDoc="1" locked="0" layoutInCell="1" allowOverlap="1" wp14:anchorId="077E06EF" wp14:editId="109E273F">
            <wp:simplePos x="0" y="0"/>
            <wp:positionH relativeFrom="margin">
              <wp:align>left</wp:align>
            </wp:positionH>
            <wp:positionV relativeFrom="paragraph">
              <wp:posOffset>702310</wp:posOffset>
            </wp:positionV>
            <wp:extent cx="3248025" cy="1752600"/>
            <wp:effectExtent l="0" t="0" r="9525" b="0"/>
            <wp:wrapTight wrapText="bothSides">
              <wp:wrapPolygon edited="0">
                <wp:start x="0" y="0"/>
                <wp:lineTo x="0" y="21365"/>
                <wp:lineTo x="21537" y="21365"/>
                <wp:lineTo x="21537"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48025" cy="1752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47765504" behindDoc="1" locked="0" layoutInCell="1" allowOverlap="1" wp14:anchorId="6CAC3137" wp14:editId="1E546578">
                <wp:simplePos x="0" y="0"/>
                <wp:positionH relativeFrom="margin">
                  <wp:align>left</wp:align>
                </wp:positionH>
                <wp:positionV relativeFrom="margin">
                  <wp:posOffset>3630295</wp:posOffset>
                </wp:positionV>
                <wp:extent cx="3171825" cy="419100"/>
                <wp:effectExtent l="0" t="0" r="9525" b="0"/>
                <wp:wrapTight wrapText="bothSides">
                  <wp:wrapPolygon edited="0">
                    <wp:start x="0" y="0"/>
                    <wp:lineTo x="0" y="20618"/>
                    <wp:lineTo x="21535" y="20618"/>
                    <wp:lineTo x="21535" y="0"/>
                    <wp:lineTo x="0" y="0"/>
                  </wp:wrapPolygon>
                </wp:wrapTight>
                <wp:docPr id="176" name="Text Box 176"/>
                <wp:cNvGraphicFramePr/>
                <a:graphic xmlns:a="http://schemas.openxmlformats.org/drawingml/2006/main">
                  <a:graphicData uri="http://schemas.microsoft.com/office/word/2010/wordprocessingShape">
                    <wps:wsp>
                      <wps:cNvSpPr txBox="1"/>
                      <wps:spPr>
                        <a:xfrm>
                          <a:off x="0" y="0"/>
                          <a:ext cx="3171825" cy="419100"/>
                        </a:xfrm>
                        <a:prstGeom prst="rect">
                          <a:avLst/>
                        </a:prstGeom>
                        <a:solidFill>
                          <a:prstClr val="white"/>
                        </a:solidFill>
                        <a:ln>
                          <a:noFill/>
                        </a:ln>
                      </wps:spPr>
                      <wps:txbx>
                        <w:txbxContent>
                          <w:p w14:paraId="0B335BF5" w14:textId="535A80AD" w:rsidR="00A56EB4" w:rsidRPr="0063408E" w:rsidRDefault="00A56EB4" w:rsidP="005945BF">
                            <w:pPr>
                              <w:pStyle w:val="Caption"/>
                            </w:pPr>
                            <w:r>
                              <w:rPr>
                                <w:b/>
                                <w:bCs/>
                              </w:rPr>
                              <w:t>Table 4.</w:t>
                            </w:r>
                            <w:r>
                              <w:t xml:space="preserve"> Frequency and proportion of Calgary’s Adult Court attendees with legal representation,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3137" id="Text Box 176" o:spid="_x0000_s1058" type="#_x0000_t202" style="position:absolute;margin-left:0;margin-top:285.85pt;width:249.75pt;height:33pt;z-index:-2555509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" stroked="f">
                <v:textbox inset="0,0,0,0">
                  <w:txbxContent>
                    <w:p w14:paraId="0B335BF5" w14:textId="535A80AD" w:rsidR="00A56EB4" w:rsidRPr="0063408E" w:rsidRDefault="00A56EB4" w:rsidP="005945BF">
                      <w:pPr>
                        <w:pStyle w:val="Caption"/>
                      </w:pPr>
                      <w:r>
                        <w:rPr>
                          <w:b/>
                          <w:bCs/>
                        </w:rPr>
                        <w:t>Table 4.</w:t>
                      </w:r>
                      <w:r>
                        <w:t xml:space="preserve"> Frequency and proportion of Calgary’s Adult Court attendees with legal representation, between January 2017 and December 2018.</w:t>
                      </w:r>
                    </w:p>
                  </w:txbxContent>
                </v:textbox>
                <w10:wrap type="tight" anchorx="margin" anchory="margin"/>
              </v:shape>
            </w:pict>
          </mc:Fallback>
        </mc:AlternateContent>
      </w:r>
    </w:p>
    <w:p w14:paraId="2C261258" w14:textId="5291B769" w:rsidR="006A28CA" w:rsidRPr="006A28CA" w:rsidRDefault="00E6018F" w:rsidP="006A28CA">
      <w:pPr>
        <w:tabs>
          <w:tab w:val="left" w:pos="1200"/>
        </w:tabs>
        <w:rPr>
          <w:rFonts w:asciiTheme="majorHAnsi" w:hAnsiTheme="majorHAnsi" w:cstheme="majorHAnsi"/>
          <w:color w:val="FF0000"/>
        </w:rPr>
      </w:pPr>
      <w:r>
        <w:rPr>
          <w:noProof/>
          <w:lang w:val="en-US"/>
        </w:rPr>
        <mc:AlternateContent>
          <mc:Choice Requires="wps">
            <w:drawing>
              <wp:anchor distT="0" distB="0" distL="114300" distR="114300" simplePos="0" relativeHeight="247799296" behindDoc="1" locked="0" layoutInCell="1" allowOverlap="1" wp14:anchorId="78DBC420" wp14:editId="26C56E4F">
                <wp:simplePos x="0" y="0"/>
                <wp:positionH relativeFrom="margin">
                  <wp:posOffset>3581400</wp:posOffset>
                </wp:positionH>
                <wp:positionV relativeFrom="page">
                  <wp:posOffset>4289219</wp:posOffset>
                </wp:positionV>
                <wp:extent cx="3038475" cy="419100"/>
                <wp:effectExtent l="0" t="0" r="9525" b="0"/>
                <wp:wrapTight wrapText="bothSides">
                  <wp:wrapPolygon edited="0">
                    <wp:start x="0" y="0"/>
                    <wp:lineTo x="0" y="20618"/>
                    <wp:lineTo x="21532" y="20618"/>
                    <wp:lineTo x="21532" y="0"/>
                    <wp:lineTo x="0" y="0"/>
                  </wp:wrapPolygon>
                </wp:wrapTight>
                <wp:docPr id="184" name="Text Box 184"/>
                <wp:cNvGraphicFramePr/>
                <a:graphic xmlns:a="http://schemas.openxmlformats.org/drawingml/2006/main">
                  <a:graphicData uri="http://schemas.microsoft.com/office/word/2010/wordprocessingShape">
                    <wps:wsp>
                      <wps:cNvSpPr txBox="1"/>
                      <wps:spPr>
                        <a:xfrm>
                          <a:off x="0" y="0"/>
                          <a:ext cx="3038475" cy="419100"/>
                        </a:xfrm>
                        <a:prstGeom prst="rect">
                          <a:avLst/>
                        </a:prstGeom>
                        <a:solidFill>
                          <a:prstClr val="white"/>
                        </a:solidFill>
                        <a:ln>
                          <a:noFill/>
                        </a:ln>
                      </wps:spPr>
                      <wps:txbx>
                        <w:txbxContent>
                          <w:p w14:paraId="0CB7E4EB" w14:textId="3AE2262A" w:rsidR="00A56EB4" w:rsidRPr="0063408E" w:rsidRDefault="00A56EB4" w:rsidP="004D0C94">
                            <w:pPr>
                              <w:pStyle w:val="Caption"/>
                            </w:pPr>
                            <w:r>
                              <w:rPr>
                                <w:b/>
                                <w:bCs/>
                              </w:rPr>
                              <w:t>Table 5</w:t>
                            </w:r>
                            <w:r w:rsidRPr="00B63B81">
                              <w:rPr>
                                <w:b/>
                                <w:bCs/>
                              </w:rPr>
                              <w:t>.</w:t>
                            </w:r>
                            <w:r>
                              <w:t xml:space="preserve"> Frequency and proportion of Calgary’s Adult Court attendees by duration of service provision,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C420" id="Text Box 184" o:spid="_x0000_s1059" type="#_x0000_t202" style="position:absolute;margin-left:282pt;margin-top:337.75pt;width:239.25pt;height:33pt;z-index:-25551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" stroked="f">
                <v:textbox inset="0,0,0,0">
                  <w:txbxContent>
                    <w:p w14:paraId="0CB7E4EB" w14:textId="3AE2262A" w:rsidR="00A56EB4" w:rsidRPr="0063408E" w:rsidRDefault="00A56EB4" w:rsidP="004D0C94">
                      <w:pPr>
                        <w:pStyle w:val="Caption"/>
                      </w:pPr>
                      <w:r>
                        <w:rPr>
                          <w:b/>
                          <w:bCs/>
                        </w:rPr>
                        <w:t>Table 5</w:t>
                      </w:r>
                      <w:r w:rsidRPr="00B63B81">
                        <w:rPr>
                          <w:b/>
                          <w:bCs/>
                        </w:rPr>
                        <w:t>.</w:t>
                      </w:r>
                      <w:r>
                        <w:t xml:space="preserve"> Frequency and proportion of Calgary’s Adult Court attendees by duration of service provision, between January 2017 and December 2018.</w:t>
                      </w:r>
                    </w:p>
                  </w:txbxContent>
                </v:textbox>
                <w10:wrap type="tight" anchorx="margin" anchory="page"/>
              </v:shape>
            </w:pict>
          </mc:Fallback>
        </mc:AlternateContent>
      </w:r>
    </w:p>
    <w:p w14:paraId="7D54B887" w14:textId="7407B3D6" w:rsidR="00124451" w:rsidRPr="00124451" w:rsidRDefault="00E6018F" w:rsidP="00124451">
      <w:pPr>
        <w:rPr>
          <w:rFonts w:asciiTheme="majorHAnsi" w:hAnsiTheme="majorHAnsi" w:cstheme="majorHAnsi"/>
        </w:rPr>
      </w:pPr>
      <w:r>
        <w:rPr>
          <w:noProof/>
          <w:lang w:val="en-US"/>
        </w:rPr>
        <w:drawing>
          <wp:anchor distT="0" distB="0" distL="114300" distR="114300" simplePos="0" relativeHeight="247831040" behindDoc="1" locked="0" layoutInCell="1" allowOverlap="1" wp14:anchorId="0D93719A" wp14:editId="7F258BA3">
            <wp:simplePos x="0" y="0"/>
            <wp:positionH relativeFrom="margin">
              <wp:posOffset>3581400</wp:posOffset>
            </wp:positionH>
            <wp:positionV relativeFrom="paragraph">
              <wp:posOffset>205261</wp:posOffset>
            </wp:positionV>
            <wp:extent cx="3276600" cy="2152650"/>
            <wp:effectExtent l="0" t="0" r="0" b="0"/>
            <wp:wrapTight wrapText="bothSides">
              <wp:wrapPolygon edited="0">
                <wp:start x="0" y="0"/>
                <wp:lineTo x="0" y="21409"/>
                <wp:lineTo x="21474" y="21409"/>
                <wp:lineTo x="21474"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76600" cy="2152650"/>
                    </a:xfrm>
                    <a:prstGeom prst="rect">
                      <a:avLst/>
                    </a:prstGeom>
                  </pic:spPr>
                </pic:pic>
              </a:graphicData>
            </a:graphic>
          </wp:anchor>
        </w:drawing>
      </w:r>
    </w:p>
    <w:p w14:paraId="1CB7F2B5" w14:textId="1F1B828E" w:rsidR="00124451" w:rsidRPr="00124451" w:rsidRDefault="00124451" w:rsidP="00124451">
      <w:pPr>
        <w:rPr>
          <w:rFonts w:asciiTheme="majorHAnsi" w:hAnsiTheme="majorHAnsi" w:cstheme="majorHAnsi"/>
        </w:rPr>
      </w:pPr>
    </w:p>
    <w:p w14:paraId="4C495756" w14:textId="35667905" w:rsidR="00124451" w:rsidRPr="00124451" w:rsidRDefault="00124451" w:rsidP="00124451">
      <w:pPr>
        <w:rPr>
          <w:rFonts w:asciiTheme="majorHAnsi" w:hAnsiTheme="majorHAnsi" w:cstheme="majorHAnsi"/>
        </w:rPr>
      </w:pPr>
    </w:p>
    <w:p w14:paraId="6A1C21CB" w14:textId="2BE5E126" w:rsidR="006030F1" w:rsidRDefault="006030F1" w:rsidP="006030F1">
      <w:pPr>
        <w:rPr>
          <w:rFonts w:asciiTheme="majorHAnsi" w:hAnsiTheme="majorHAnsi" w:cstheme="majorHAnsi"/>
        </w:rPr>
      </w:pPr>
    </w:p>
    <w:p w14:paraId="2CFB292D" w14:textId="77777777" w:rsidR="006030F1" w:rsidRDefault="006030F1" w:rsidP="006030F1">
      <w:pPr>
        <w:rPr>
          <w:rFonts w:asciiTheme="majorHAnsi" w:hAnsiTheme="majorHAnsi" w:cstheme="majorHAnsi"/>
          <w:color w:val="FF0000"/>
        </w:rPr>
      </w:pPr>
    </w:p>
    <w:p w14:paraId="23747055" w14:textId="744103DF" w:rsidR="006030F1" w:rsidRDefault="006030F1">
      <w:pPr>
        <w:rPr>
          <w:rFonts w:asciiTheme="majorHAnsi" w:hAnsiTheme="majorHAnsi" w:cstheme="majorHAnsi"/>
          <w:color w:val="FF0000"/>
        </w:rPr>
      </w:pPr>
    </w:p>
    <w:p w14:paraId="7D3E7E50" w14:textId="77777777" w:rsidR="006030F1" w:rsidRDefault="006030F1">
      <w:pPr>
        <w:rPr>
          <w:rFonts w:asciiTheme="majorHAnsi" w:hAnsiTheme="majorHAnsi" w:cstheme="majorHAnsi"/>
          <w:color w:val="FF0000"/>
        </w:rPr>
      </w:pPr>
    </w:p>
    <w:p w14:paraId="2543C111" w14:textId="49AAD6CC" w:rsidR="00BD6FF6" w:rsidRDefault="00BD6FF6" w:rsidP="008E7EDA">
      <w:pPr>
        <w:rPr>
          <w:rFonts w:asciiTheme="majorHAnsi" w:hAnsiTheme="majorHAnsi" w:cstheme="majorHAnsi"/>
          <w:color w:val="FF0000"/>
        </w:rPr>
      </w:pPr>
    </w:p>
    <w:p w14:paraId="39FF23A8" w14:textId="0C07ABD1" w:rsidR="00091386" w:rsidRDefault="00091386" w:rsidP="008E7EDA">
      <w:pPr>
        <w:rPr>
          <w:rFonts w:asciiTheme="majorHAnsi" w:hAnsiTheme="majorHAnsi" w:cstheme="majorHAnsi"/>
          <w:color w:val="FF0000"/>
        </w:rPr>
      </w:pPr>
    </w:p>
    <w:p w14:paraId="1D5724DB" w14:textId="66004AD4" w:rsidR="00091386" w:rsidRDefault="00091386" w:rsidP="008E7EDA">
      <w:pPr>
        <w:rPr>
          <w:rFonts w:asciiTheme="majorHAnsi" w:hAnsiTheme="majorHAnsi" w:cstheme="majorHAnsi"/>
          <w:color w:val="FF0000"/>
        </w:rPr>
      </w:pPr>
    </w:p>
    <w:p w14:paraId="34438427" w14:textId="21C8A0CD" w:rsidR="00091386" w:rsidRDefault="00091386" w:rsidP="008E7EDA">
      <w:pPr>
        <w:rPr>
          <w:rFonts w:asciiTheme="majorHAnsi" w:hAnsiTheme="majorHAnsi" w:cstheme="majorHAnsi"/>
          <w:color w:val="FF0000"/>
        </w:rPr>
      </w:pPr>
    </w:p>
    <w:p w14:paraId="28CDA2BA" w14:textId="5F6F0D10" w:rsidR="00091386" w:rsidRDefault="00091386" w:rsidP="008E7EDA">
      <w:pPr>
        <w:rPr>
          <w:rFonts w:asciiTheme="majorHAnsi" w:hAnsiTheme="majorHAnsi" w:cstheme="majorHAnsi"/>
          <w:color w:val="FF0000"/>
        </w:rPr>
      </w:pPr>
    </w:p>
    <w:p w14:paraId="4254F521" w14:textId="2EBAD555" w:rsidR="00091386" w:rsidRDefault="00091386" w:rsidP="008E7EDA">
      <w:pPr>
        <w:rPr>
          <w:rFonts w:asciiTheme="majorHAnsi" w:hAnsiTheme="majorHAnsi" w:cstheme="majorHAnsi"/>
          <w:color w:val="FF0000"/>
        </w:rPr>
      </w:pPr>
    </w:p>
    <w:p w14:paraId="5096F5B2" w14:textId="4E435CB8" w:rsidR="00091386" w:rsidRDefault="00091386" w:rsidP="008E7EDA">
      <w:pPr>
        <w:rPr>
          <w:rFonts w:asciiTheme="majorHAnsi" w:hAnsiTheme="majorHAnsi" w:cstheme="majorHAnsi"/>
          <w:color w:val="FF0000"/>
        </w:rPr>
      </w:pPr>
    </w:p>
    <w:p w14:paraId="0948DCF5" w14:textId="761D0A93" w:rsidR="00091386" w:rsidRDefault="00091386" w:rsidP="008E7EDA">
      <w:pPr>
        <w:rPr>
          <w:rFonts w:asciiTheme="majorHAnsi" w:hAnsiTheme="majorHAnsi" w:cstheme="majorHAnsi"/>
          <w:color w:val="FF0000"/>
        </w:rPr>
      </w:pPr>
    </w:p>
    <w:p w14:paraId="532B929A" w14:textId="77777777" w:rsidR="00091386" w:rsidRPr="00124451" w:rsidRDefault="00091386" w:rsidP="008E7EDA">
      <w:pPr>
        <w:rPr>
          <w:rFonts w:asciiTheme="majorHAnsi" w:hAnsiTheme="majorHAnsi" w:cstheme="majorHAnsi"/>
          <w:color w:val="FF0000"/>
        </w:rPr>
      </w:pPr>
    </w:p>
    <w:p w14:paraId="533EF8A3" w14:textId="05CB2C10" w:rsidR="00BD6FF6" w:rsidRPr="00BD6FF6" w:rsidRDefault="008D12A5" w:rsidP="00BD6FF6">
      <w:pPr>
        <w:pStyle w:val="Heading2"/>
      </w:pPr>
      <w:bookmarkStart w:id="35" w:name="_Toc16262347"/>
      <w:r>
        <w:lastRenderedPageBreak/>
        <w:t>North Adult Court</w:t>
      </w:r>
      <w:r w:rsidR="00D606FB">
        <w:rPr>
          <w:noProof/>
          <w:lang w:val="en-US"/>
        </w:rPr>
        <w:drawing>
          <wp:anchor distT="0" distB="0" distL="114300" distR="114300" simplePos="0" relativeHeight="247937536" behindDoc="1" locked="0" layoutInCell="1" allowOverlap="1" wp14:anchorId="2BC5B399" wp14:editId="5E6ADC3B">
            <wp:simplePos x="0" y="0"/>
            <wp:positionH relativeFrom="margin">
              <wp:posOffset>3917950</wp:posOffset>
            </wp:positionH>
            <wp:positionV relativeFrom="page">
              <wp:posOffset>1104900</wp:posOffset>
            </wp:positionV>
            <wp:extent cx="2495550" cy="2391410"/>
            <wp:effectExtent l="0" t="0" r="0" b="8890"/>
            <wp:wrapTight wrapText="bothSides">
              <wp:wrapPolygon edited="0">
                <wp:start x="0" y="0"/>
                <wp:lineTo x="0" y="21508"/>
                <wp:lineTo x="21435" y="21508"/>
                <wp:lineTo x="2143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31090" t="19346" r="30448" b="17983"/>
                    <a:stretch/>
                  </pic:blipFill>
                  <pic:spPr bwMode="auto">
                    <a:xfrm>
                      <a:off x="0" y="0"/>
                      <a:ext cx="2495550" cy="2391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91F">
        <w:rPr>
          <w:noProof/>
          <w:lang w:val="en-US"/>
        </w:rPr>
        <w:drawing>
          <wp:anchor distT="0" distB="0" distL="114300" distR="114300" simplePos="0" relativeHeight="252630528" behindDoc="1" locked="0" layoutInCell="1" allowOverlap="1" wp14:anchorId="0ABBC44C" wp14:editId="448FB28D">
            <wp:simplePos x="0" y="0"/>
            <wp:positionH relativeFrom="column">
              <wp:posOffset>355600</wp:posOffset>
            </wp:positionH>
            <wp:positionV relativeFrom="page">
              <wp:posOffset>1104900</wp:posOffset>
            </wp:positionV>
            <wp:extent cx="2619375" cy="2360295"/>
            <wp:effectExtent l="0" t="0" r="9525" b="1905"/>
            <wp:wrapTight wrapText="bothSides">
              <wp:wrapPolygon edited="0">
                <wp:start x="0" y="0"/>
                <wp:lineTo x="0" y="21443"/>
                <wp:lineTo x="21521" y="21443"/>
                <wp:lineTo x="215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0288" t="20163" r="30769" b="20163"/>
                    <a:stretch/>
                  </pic:blipFill>
                  <pic:spPr bwMode="auto">
                    <a:xfrm>
                      <a:off x="0" y="0"/>
                      <a:ext cx="2619375" cy="2360295"/>
                    </a:xfrm>
                    <a:prstGeom prst="rect">
                      <a:avLst/>
                    </a:prstGeom>
                    <a:noFill/>
                    <a:ln>
                      <a:noFill/>
                    </a:ln>
                    <a:extLst>
                      <a:ext uri="{53640926-AAD7-44D8-BBD7-CCE9431645EC}">
                        <a14:shadowObscured xmlns:a14="http://schemas.microsoft.com/office/drawing/2010/main"/>
                      </a:ext>
                    </a:extLst>
                  </pic:spPr>
                </pic:pic>
              </a:graphicData>
            </a:graphic>
          </wp:anchor>
        </w:drawing>
      </w:r>
      <w:bookmarkEnd w:id="35"/>
    </w:p>
    <w:p w14:paraId="623387AD" w14:textId="0F45EA6A" w:rsidR="00BD6FF6" w:rsidRPr="00BD6FF6" w:rsidRDefault="00BD6FF6" w:rsidP="00BD6FF6"/>
    <w:p w14:paraId="1D27C068" w14:textId="190D158C" w:rsidR="00BD6FF6" w:rsidRDefault="00BD6FF6" w:rsidP="00BD6FF6">
      <w:pPr>
        <w:rPr>
          <w:rFonts w:asciiTheme="majorHAnsi" w:eastAsiaTheme="majorEastAsia" w:hAnsiTheme="majorHAnsi" w:cstheme="majorBidi"/>
          <w:b/>
          <w:bCs/>
          <w:smallCaps/>
          <w:color w:val="595959" w:themeColor="text2"/>
          <w:sz w:val="28"/>
          <w:szCs w:val="28"/>
        </w:rPr>
      </w:pPr>
    </w:p>
    <w:p w14:paraId="26006571" w14:textId="784061C3" w:rsidR="00BD6FF6" w:rsidRDefault="00BD6FF6" w:rsidP="00BD6FF6">
      <w:pPr>
        <w:rPr>
          <w:rFonts w:asciiTheme="majorHAnsi" w:eastAsiaTheme="majorEastAsia" w:hAnsiTheme="majorHAnsi" w:cstheme="majorBidi"/>
          <w:b/>
          <w:bCs/>
          <w:smallCaps/>
          <w:color w:val="595959" w:themeColor="text2"/>
          <w:sz w:val="28"/>
          <w:szCs w:val="28"/>
        </w:rPr>
      </w:pPr>
    </w:p>
    <w:p w14:paraId="0F98DBC4" w14:textId="77777777" w:rsidR="00BD6FF6" w:rsidRPr="00BD6FF6" w:rsidRDefault="00BD6FF6" w:rsidP="00BD6FF6"/>
    <w:p w14:paraId="35B08A39" w14:textId="2952CBD2" w:rsidR="00D9570F" w:rsidRDefault="00D9570F" w:rsidP="00AA437E">
      <w:pPr>
        <w:autoSpaceDE w:val="0"/>
        <w:autoSpaceDN w:val="0"/>
        <w:adjustRightInd w:val="0"/>
        <w:spacing w:after="0" w:line="240" w:lineRule="auto"/>
        <w:rPr>
          <w:rFonts w:ascii="Times New Roman" w:hAnsi="Times New Roman" w:cs="Times New Roman"/>
          <w:sz w:val="24"/>
          <w:szCs w:val="24"/>
        </w:rPr>
      </w:pPr>
    </w:p>
    <w:p w14:paraId="4B05FAC6" w14:textId="77AB2934" w:rsidR="00D9570F" w:rsidRDefault="00D9570F" w:rsidP="00D9570F">
      <w:pPr>
        <w:autoSpaceDE w:val="0"/>
        <w:autoSpaceDN w:val="0"/>
        <w:adjustRightInd w:val="0"/>
        <w:spacing w:after="0" w:line="240" w:lineRule="auto"/>
        <w:rPr>
          <w:rFonts w:ascii="Times New Roman" w:hAnsi="Times New Roman" w:cs="Times New Roman"/>
          <w:sz w:val="24"/>
          <w:szCs w:val="24"/>
        </w:rPr>
      </w:pPr>
    </w:p>
    <w:p w14:paraId="3F725EBD" w14:textId="60F0AFE6" w:rsidR="00D9570F" w:rsidRDefault="00D606FB" w:rsidP="00D9570F">
      <w:pPr>
        <w:autoSpaceDE w:val="0"/>
        <w:autoSpaceDN w:val="0"/>
        <w:adjustRightInd w:val="0"/>
        <w:spacing w:after="0" w:line="240" w:lineRule="auto"/>
        <w:rPr>
          <w:rFonts w:ascii="Times New Roman" w:hAnsi="Times New Roman" w:cs="Times New Roman"/>
          <w:sz w:val="24"/>
          <w:szCs w:val="24"/>
        </w:rPr>
      </w:pPr>
      <w:r w:rsidRPr="00AC0A7E">
        <w:rPr>
          <w:rFonts w:ascii="Times New Roman" w:hAnsi="Times New Roman" w:cs="Times New Roman"/>
          <w:noProof/>
          <w:sz w:val="24"/>
          <w:szCs w:val="24"/>
          <w:lang w:val="en-US"/>
        </w:rPr>
        <mc:AlternateContent>
          <mc:Choice Requires="wps">
            <w:drawing>
              <wp:anchor distT="45720" distB="45720" distL="114300" distR="114300" simplePos="0" relativeHeight="248715776" behindDoc="1" locked="0" layoutInCell="1" allowOverlap="1" wp14:anchorId="5D8A6952" wp14:editId="57C1B35F">
                <wp:simplePos x="0" y="0"/>
                <wp:positionH relativeFrom="margin">
                  <wp:posOffset>469900</wp:posOffset>
                </wp:positionH>
                <wp:positionV relativeFrom="page">
                  <wp:posOffset>3479800</wp:posOffset>
                </wp:positionV>
                <wp:extent cx="2743200" cy="890905"/>
                <wp:effectExtent l="0" t="0" r="0" b="4445"/>
                <wp:wrapTight wrapText="bothSides">
                  <wp:wrapPolygon edited="0">
                    <wp:start x="0" y="0"/>
                    <wp:lineTo x="0" y="21246"/>
                    <wp:lineTo x="21450" y="21246"/>
                    <wp:lineTo x="21450" y="0"/>
                    <wp:lineTo x="0" y="0"/>
                  </wp:wrapPolygon>
                </wp:wrapTight>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90905"/>
                        </a:xfrm>
                        <a:prstGeom prst="rect">
                          <a:avLst/>
                        </a:prstGeom>
                        <a:solidFill>
                          <a:srgbClr val="FFFFFF"/>
                        </a:solidFill>
                        <a:ln w="9525">
                          <a:noFill/>
                          <a:miter lim="800000"/>
                          <a:headEnd/>
                          <a:tailEnd/>
                        </a:ln>
                      </wps:spPr>
                      <wps:txbx>
                        <w:txbxContent>
                          <w:p w14:paraId="7452463F" w14:textId="4D726F7F" w:rsidR="00A56EB4" w:rsidRPr="00AC0A7E" w:rsidRDefault="00A56EB4" w:rsidP="009A091F">
                            <w:pPr>
                              <w:pStyle w:val="Caption"/>
                            </w:pPr>
                            <w:r w:rsidRPr="00AC0A7E">
                              <w:rPr>
                                <w:b/>
                                <w:bCs/>
                              </w:rPr>
                              <w:t xml:space="preserve">Figure </w:t>
                            </w:r>
                            <w:r>
                              <w:rPr>
                                <w:b/>
                                <w:bCs/>
                              </w:rPr>
                              <w:t>14</w:t>
                            </w:r>
                            <w:r w:rsidRPr="00AC0A7E">
                              <w:rPr>
                                <w:b/>
                                <w:bCs/>
                              </w:rPr>
                              <w:t xml:space="preserve">. </w:t>
                            </w:r>
                            <w:r w:rsidRPr="00AC0A7E">
                              <w:t xml:space="preserve"> A pie chart of gender distribution as observed in </w:t>
                            </w:r>
                            <w:r>
                              <w:t>the North Adult Courts</w:t>
                            </w:r>
                            <w:r w:rsidRPr="00AC0A7E">
                              <w:t xml:space="preserve"> between January 2017 and Dec</w:t>
                            </w:r>
                            <w:r>
                              <w:t>/</w:t>
                            </w:r>
                            <w:r w:rsidRPr="00AC0A7E">
                              <w:t xml:space="preserve">ember 2018, from a sample size of </w:t>
                            </w:r>
                            <w:r>
                              <w:t>3345</w:t>
                            </w:r>
                            <w:r w:rsidRPr="00AC0A7E">
                              <w:t>. Slice sizes represent the proportion of attendees identifying as a specific gender.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8A6952" id="_x0000_s1060" type="#_x0000_t202" style="position:absolute;margin-left:37pt;margin-top:274pt;width:3in;height:70.15pt;z-index:-2546007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" stroked="f">
                <v:textbox style="mso-fit-shape-to-text:t">
                  <w:txbxContent>
                    <w:p w14:paraId="7452463F" w14:textId="4D726F7F" w:rsidR="00A56EB4" w:rsidRPr="00AC0A7E" w:rsidRDefault="00A56EB4" w:rsidP="009A091F">
                      <w:pPr>
                        <w:pStyle w:val="Caption"/>
                      </w:pPr>
                      <w:r w:rsidRPr="00AC0A7E">
                        <w:rPr>
                          <w:b/>
                          <w:bCs/>
                        </w:rPr>
                        <w:t xml:space="preserve">Figure </w:t>
                      </w:r>
                      <w:r>
                        <w:rPr>
                          <w:b/>
                          <w:bCs/>
                        </w:rPr>
                        <w:t>14</w:t>
                      </w:r>
                      <w:r w:rsidRPr="00AC0A7E">
                        <w:rPr>
                          <w:b/>
                          <w:bCs/>
                        </w:rPr>
                        <w:t xml:space="preserve">. </w:t>
                      </w:r>
                      <w:r w:rsidRPr="00AC0A7E">
                        <w:t xml:space="preserve"> A pie chart of gender distribution as observed in </w:t>
                      </w:r>
                      <w:r>
                        <w:t>the North Adult Courts</w:t>
                      </w:r>
                      <w:r w:rsidRPr="00AC0A7E">
                        <w:t xml:space="preserve"> between January 2017 and Dec</w:t>
                      </w:r>
                      <w:r>
                        <w:t>/</w:t>
                      </w:r>
                      <w:r w:rsidRPr="00AC0A7E">
                        <w:t xml:space="preserve">ember 2018, from a sample size of </w:t>
                      </w:r>
                      <w:r>
                        <w:t>3345</w:t>
                      </w:r>
                      <w:r w:rsidRPr="00AC0A7E">
                        <w:t>. Slice sizes represent the proportion of attendees identifying as a specific gender.</w:t>
                      </w:r>
                    </w:p>
                  </w:txbxContent>
                </v:textbox>
                <w10:wrap type="tight" anchorx="margin" anchory="page"/>
              </v:shape>
            </w:pict>
          </mc:Fallback>
        </mc:AlternateContent>
      </w:r>
      <w:r w:rsidR="009A091F" w:rsidRPr="00786055">
        <w:rPr>
          <w:noProof/>
          <w:lang w:val="en-US"/>
        </w:rPr>
        <mc:AlternateContent>
          <mc:Choice Requires="wps">
            <w:drawing>
              <wp:anchor distT="0" distB="0" distL="114300" distR="114300" simplePos="0" relativeHeight="249046528" behindDoc="1" locked="0" layoutInCell="1" allowOverlap="1" wp14:anchorId="3EE56EF6" wp14:editId="3D0B2FC9">
                <wp:simplePos x="0" y="0"/>
                <wp:positionH relativeFrom="margin">
                  <wp:posOffset>3924300</wp:posOffset>
                </wp:positionH>
                <wp:positionV relativeFrom="page">
                  <wp:posOffset>3479800</wp:posOffset>
                </wp:positionV>
                <wp:extent cx="2749550" cy="790575"/>
                <wp:effectExtent l="0" t="0" r="0" b="9525"/>
                <wp:wrapTight wrapText="bothSides">
                  <wp:wrapPolygon edited="0">
                    <wp:start x="0" y="0"/>
                    <wp:lineTo x="0" y="21340"/>
                    <wp:lineTo x="21400" y="21340"/>
                    <wp:lineTo x="21400" y="0"/>
                    <wp:lineTo x="0" y="0"/>
                  </wp:wrapPolygon>
                </wp:wrapTight>
                <wp:docPr id="487" name="Text Box 487"/>
                <wp:cNvGraphicFramePr/>
                <a:graphic xmlns:a="http://schemas.openxmlformats.org/drawingml/2006/main">
                  <a:graphicData uri="http://schemas.microsoft.com/office/word/2010/wordprocessingShape">
                    <wps:wsp>
                      <wps:cNvSpPr txBox="1"/>
                      <wps:spPr>
                        <a:xfrm>
                          <a:off x="0" y="0"/>
                          <a:ext cx="2749550" cy="790575"/>
                        </a:xfrm>
                        <a:prstGeom prst="rect">
                          <a:avLst/>
                        </a:prstGeom>
                        <a:solidFill>
                          <a:prstClr val="white"/>
                        </a:solidFill>
                        <a:ln>
                          <a:noFill/>
                        </a:ln>
                      </wps:spPr>
                      <wps:txbx>
                        <w:txbxContent>
                          <w:p w14:paraId="21211C14" w14:textId="2F86C587" w:rsidR="00A56EB4" w:rsidRPr="00701EC7" w:rsidRDefault="00A56EB4" w:rsidP="00786055">
                            <w:pPr>
                              <w:pStyle w:val="Caption"/>
                              <w:rPr>
                                <w:rFonts w:ascii="Times New Roman" w:hAnsi="Times New Roman" w:cs="Times New Roman"/>
                                <w:noProof/>
                                <w:sz w:val="24"/>
                                <w:szCs w:val="24"/>
                              </w:rPr>
                            </w:pPr>
                            <w:r w:rsidRPr="00B63B81">
                              <w:rPr>
                                <w:b/>
                                <w:bCs/>
                              </w:rPr>
                              <w:t xml:space="preserve">Figure </w:t>
                            </w:r>
                            <w:r>
                              <w:rPr>
                                <w:b/>
                                <w:bCs/>
                              </w:rPr>
                              <w:t>15</w:t>
                            </w:r>
                            <w:r w:rsidRPr="00B63B81">
                              <w:rPr>
                                <w:b/>
                                <w:bCs/>
                              </w:rPr>
                              <w:t>.</w:t>
                            </w:r>
                            <w:r>
                              <w:t xml:space="preserve"> A pie chart of age distribution as observed in the North Adult Courts between January 2017 and December 2018, from a sample size of 3326.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6EF6" id="Text Box 487" o:spid="_x0000_s1061" type="#_x0000_t202" style="position:absolute;margin-left:309pt;margin-top:274pt;width:216.5pt;height:62.25pt;z-index:-25426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" stroked="f">
                <v:textbox inset="0,0,0,0">
                  <w:txbxContent>
                    <w:p w14:paraId="21211C14" w14:textId="2F86C587" w:rsidR="00A56EB4" w:rsidRPr="00701EC7" w:rsidRDefault="00A56EB4" w:rsidP="00786055">
                      <w:pPr>
                        <w:pStyle w:val="Caption"/>
                        <w:rPr>
                          <w:rFonts w:ascii="Times New Roman" w:hAnsi="Times New Roman" w:cs="Times New Roman"/>
                          <w:noProof/>
                          <w:sz w:val="24"/>
                          <w:szCs w:val="24"/>
                        </w:rPr>
                      </w:pPr>
                      <w:r w:rsidRPr="00B63B81">
                        <w:rPr>
                          <w:b/>
                          <w:bCs/>
                        </w:rPr>
                        <w:t xml:space="preserve">Figure </w:t>
                      </w:r>
                      <w:r>
                        <w:rPr>
                          <w:b/>
                          <w:bCs/>
                        </w:rPr>
                        <w:t>15</w:t>
                      </w:r>
                      <w:r w:rsidRPr="00B63B81">
                        <w:rPr>
                          <w:b/>
                          <w:bCs/>
                        </w:rPr>
                        <w:t>.</w:t>
                      </w:r>
                      <w:r>
                        <w:t xml:space="preserve"> A pie chart of age distribution as observed in the North Adult Courts between January 2017 and December 2018, from a sample size of 3326. Slice size represents the relative proportion of respondents within an age category. </w:t>
                      </w:r>
                    </w:p>
                  </w:txbxContent>
                </v:textbox>
                <w10:wrap type="tight" anchorx="margin" anchory="page"/>
              </v:shape>
            </w:pict>
          </mc:Fallback>
        </mc:AlternateContent>
      </w:r>
    </w:p>
    <w:p w14:paraId="21A94637" w14:textId="77A1E92A" w:rsidR="00D9570F" w:rsidRDefault="00D9570F" w:rsidP="00D9570F">
      <w:pPr>
        <w:autoSpaceDE w:val="0"/>
        <w:autoSpaceDN w:val="0"/>
        <w:adjustRightInd w:val="0"/>
        <w:spacing w:after="0" w:line="400" w:lineRule="atLeast"/>
        <w:rPr>
          <w:rFonts w:ascii="Times New Roman" w:hAnsi="Times New Roman" w:cs="Times New Roman"/>
          <w:sz w:val="24"/>
          <w:szCs w:val="24"/>
        </w:rPr>
      </w:pPr>
    </w:p>
    <w:p w14:paraId="375A9DA1" w14:textId="46B85220" w:rsidR="0046115D" w:rsidRDefault="004D1034" w:rsidP="00DA1D97">
      <w:pPr>
        <w:autoSpaceDE w:val="0"/>
        <w:autoSpaceDN w:val="0"/>
        <w:adjustRightInd w:val="0"/>
        <w:spacing w:after="0" w:line="24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49370112" behindDoc="1" locked="0" layoutInCell="1" allowOverlap="1" wp14:anchorId="48EE2125" wp14:editId="7134F78D">
                <wp:simplePos x="0" y="0"/>
                <wp:positionH relativeFrom="margin">
                  <wp:align>right</wp:align>
                </wp:positionH>
                <wp:positionV relativeFrom="page">
                  <wp:posOffset>8216900</wp:posOffset>
                </wp:positionV>
                <wp:extent cx="6862445" cy="295275"/>
                <wp:effectExtent l="0" t="0" r="0" b="9525"/>
                <wp:wrapTight wrapText="bothSides">
                  <wp:wrapPolygon edited="0">
                    <wp:start x="0" y="0"/>
                    <wp:lineTo x="0" y="20903"/>
                    <wp:lineTo x="21526" y="20903"/>
                    <wp:lineTo x="21526" y="0"/>
                    <wp:lineTo x="0" y="0"/>
                  </wp:wrapPolygon>
                </wp:wrapTight>
                <wp:docPr id="495" name="Text Box 495"/>
                <wp:cNvGraphicFramePr/>
                <a:graphic xmlns:a="http://schemas.openxmlformats.org/drawingml/2006/main">
                  <a:graphicData uri="http://schemas.microsoft.com/office/word/2010/wordprocessingShape">
                    <wps:wsp>
                      <wps:cNvSpPr txBox="1"/>
                      <wps:spPr>
                        <a:xfrm>
                          <a:off x="0" y="0"/>
                          <a:ext cx="6862445" cy="295275"/>
                        </a:xfrm>
                        <a:prstGeom prst="rect">
                          <a:avLst/>
                        </a:prstGeom>
                        <a:solidFill>
                          <a:prstClr val="white"/>
                        </a:solidFill>
                        <a:ln>
                          <a:noFill/>
                        </a:ln>
                      </wps:spPr>
                      <wps:txbx>
                        <w:txbxContent>
                          <w:p w14:paraId="7B024E42" w14:textId="16EA4CBC" w:rsidR="00A56EB4" w:rsidRPr="006839F3" w:rsidRDefault="00A56EB4" w:rsidP="00F2233B">
                            <w:pPr>
                              <w:pStyle w:val="Caption"/>
                              <w:rPr>
                                <w:rFonts w:ascii="Times New Roman" w:hAnsi="Times New Roman" w:cs="Times New Roman"/>
                                <w:noProof/>
                                <w:sz w:val="24"/>
                                <w:szCs w:val="24"/>
                              </w:rPr>
                            </w:pPr>
                            <w:r w:rsidRPr="00B63B81">
                              <w:rPr>
                                <w:b/>
                                <w:bCs/>
                              </w:rPr>
                              <w:t xml:space="preserve">Figure </w:t>
                            </w:r>
                            <w:r>
                              <w:rPr>
                                <w:b/>
                                <w:bCs/>
                              </w:rPr>
                              <w:t>16</w:t>
                            </w:r>
                            <w:r>
                              <w:t>. A population pyramid representing the frequency (x-axis) of attendee gender (split), stratified by age (y-axis), at the North Adult Courts between January 2017 and December 2018, from a sample size of 3321.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2125" id="Text Box 495" o:spid="_x0000_s1062" type="#_x0000_t202" style="position:absolute;margin-left:489.15pt;margin-top:647pt;width:540.35pt;height:23.25pt;z-index:-253946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" stroked="f">
                <v:textbox inset="0,0,0,0">
                  <w:txbxContent>
                    <w:p w14:paraId="7B024E42" w14:textId="16EA4CBC" w:rsidR="00A56EB4" w:rsidRPr="006839F3" w:rsidRDefault="00A56EB4" w:rsidP="00F2233B">
                      <w:pPr>
                        <w:pStyle w:val="Caption"/>
                        <w:rPr>
                          <w:rFonts w:ascii="Times New Roman" w:hAnsi="Times New Roman" w:cs="Times New Roman"/>
                          <w:noProof/>
                          <w:sz w:val="24"/>
                          <w:szCs w:val="24"/>
                        </w:rPr>
                      </w:pPr>
                      <w:r w:rsidRPr="00B63B81">
                        <w:rPr>
                          <w:b/>
                          <w:bCs/>
                        </w:rPr>
                        <w:t xml:space="preserve">Figure </w:t>
                      </w:r>
                      <w:r>
                        <w:rPr>
                          <w:b/>
                          <w:bCs/>
                        </w:rPr>
                        <w:t>16</w:t>
                      </w:r>
                      <w:r>
                        <w:t>. A population pyramid representing the frequency (x-axis) of attendee gender (split), stratified by age (y-axis), at the North Adult Courts between January 2017 and December 2018, from a sample size of 3321.</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2660224" behindDoc="1" locked="0" layoutInCell="1" allowOverlap="1" wp14:anchorId="15598350" wp14:editId="1809CBA5">
            <wp:simplePos x="0" y="0"/>
            <wp:positionH relativeFrom="margin">
              <wp:posOffset>0</wp:posOffset>
            </wp:positionH>
            <wp:positionV relativeFrom="page">
              <wp:posOffset>4267200</wp:posOffset>
            </wp:positionV>
            <wp:extent cx="6731635" cy="3958590"/>
            <wp:effectExtent l="0" t="0" r="0" b="3810"/>
            <wp:wrapTight wrapText="bothSides">
              <wp:wrapPolygon edited="0">
                <wp:start x="0" y="0"/>
                <wp:lineTo x="0" y="21517"/>
                <wp:lineTo x="21516" y="21517"/>
                <wp:lineTo x="2151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31635" cy="3958590"/>
                    </a:xfrm>
                    <a:prstGeom prst="rect">
                      <a:avLst/>
                    </a:prstGeom>
                    <a:noFill/>
                    <a:ln>
                      <a:noFill/>
                    </a:ln>
                  </pic:spPr>
                </pic:pic>
              </a:graphicData>
            </a:graphic>
          </wp:anchor>
        </w:drawing>
      </w:r>
      <w:r w:rsidR="00D9570F">
        <w:rPr>
          <w:rFonts w:ascii="Times New Roman" w:hAnsi="Times New Roman" w:cs="Times New Roman"/>
          <w:sz w:val="24"/>
          <w:szCs w:val="24"/>
        </w:rPr>
        <w:br w:type="textWrapping" w:clear="all"/>
      </w:r>
      <w:r w:rsidR="008324BF">
        <w:t>It was observed that in defendants receiving services from the Elizabeth Fry Society of Calgary in</w:t>
      </w:r>
      <w:r w:rsidR="00D811CE">
        <w:t xml:space="preserve"> the</w:t>
      </w:r>
      <w:r w:rsidR="008324BF">
        <w:t xml:space="preserve"> </w:t>
      </w:r>
      <w:r w:rsidR="008D12A5">
        <w:t>North Adult Court</w:t>
      </w:r>
      <w:r w:rsidR="00D811CE">
        <w:t>s</w:t>
      </w:r>
      <w:r w:rsidR="008324BF">
        <w:t xml:space="preserve">, distribution was heavily concentrated in younger age groups, and in men. This is reflected in the population pyramid (Figure </w:t>
      </w:r>
      <w:r w:rsidR="008707F6">
        <w:t>16</w:t>
      </w:r>
      <w:r w:rsidR="008324BF">
        <w:t xml:space="preserve">), which is demonstrably bottom-heavy, suggesting a trend towards younger age groups, and left-leaning, suggesting substantial representation of male defendants. More than 3 in 4 (75.61%) defendants identified as male (Figure </w:t>
      </w:r>
      <w:r w:rsidR="008707F6">
        <w:t>14</w:t>
      </w:r>
      <w:r w:rsidR="008324BF">
        <w:t xml:space="preserve">), while 43.99% reported being under the age of 30 </w:t>
      </w:r>
      <w:r w:rsidR="008324BF">
        <w:lastRenderedPageBreak/>
        <w:t xml:space="preserve">(Figure </w:t>
      </w:r>
      <w:r w:rsidR="008707F6">
        <w:t>15</w:t>
      </w:r>
      <w:r w:rsidR="008324BF">
        <w:t xml:space="preserve">). Men under 30 represent the most common demographic supported by the organization, making up 33.91% of all defendants, with a prevalence 3.34X that of their age-matched female peers (Figure </w:t>
      </w:r>
      <w:r w:rsidR="008707F6">
        <w:t>16</w:t>
      </w:r>
      <w:r w:rsidR="008324BF">
        <w:t xml:space="preserve">). With men aged 30-39 making up the second largest demographic observed, more than half of defendants served (55.98%) were under the age of 40, with progressively reduced proportions in subsequent age groups (Figure </w:t>
      </w:r>
      <w:r w:rsidR="00032863">
        <w:t>16</w:t>
      </w:r>
      <w:r w:rsidR="008324BF">
        <w:t xml:space="preserve">). </w:t>
      </w:r>
    </w:p>
    <w:p w14:paraId="4C53F301" w14:textId="14874B14" w:rsidR="00356283" w:rsidRDefault="00356283" w:rsidP="00356283">
      <w:pPr>
        <w:autoSpaceDE w:val="0"/>
        <w:autoSpaceDN w:val="0"/>
        <w:adjustRightInd w:val="0"/>
        <w:spacing w:after="0" w:line="240" w:lineRule="auto"/>
        <w:rPr>
          <w:rFonts w:ascii="Times New Roman" w:hAnsi="Times New Roman" w:cs="Times New Roman"/>
          <w:sz w:val="24"/>
          <w:szCs w:val="24"/>
        </w:rPr>
      </w:pPr>
    </w:p>
    <w:p w14:paraId="720E88D2" w14:textId="6403C89B" w:rsidR="00FB2FF5" w:rsidRDefault="007A17A8" w:rsidP="00FB2FF5">
      <w:pPr>
        <w:autoSpaceDE w:val="0"/>
        <w:autoSpaceDN w:val="0"/>
        <w:adjustRightInd w:val="0"/>
        <w:spacing w:after="0" w:line="240" w:lineRule="auto"/>
        <w:rPr>
          <w:rFonts w:ascii="Times New Roman" w:hAnsi="Times New Roman" w:cs="Times New Roman"/>
          <w:sz w:val="24"/>
          <w:szCs w:val="24"/>
        </w:rPr>
      </w:pPr>
      <w:r w:rsidRPr="00E748BF">
        <w:rPr>
          <w:noProof/>
          <w:lang w:val="en-US"/>
        </w:rPr>
        <mc:AlternateContent>
          <mc:Choice Requires="wps">
            <w:drawing>
              <wp:anchor distT="0" distB="0" distL="114300" distR="114300" simplePos="0" relativeHeight="249702912" behindDoc="1" locked="0" layoutInCell="1" allowOverlap="1" wp14:anchorId="6D9332CD" wp14:editId="4AD63050">
                <wp:simplePos x="0" y="0"/>
                <wp:positionH relativeFrom="margin">
                  <wp:posOffset>3295015</wp:posOffset>
                </wp:positionH>
                <wp:positionV relativeFrom="margin">
                  <wp:posOffset>1171575</wp:posOffset>
                </wp:positionV>
                <wp:extent cx="3443605" cy="878205"/>
                <wp:effectExtent l="0" t="0" r="4445" b="0"/>
                <wp:wrapTight wrapText="bothSides">
                  <wp:wrapPolygon edited="0">
                    <wp:start x="0" y="0"/>
                    <wp:lineTo x="0" y="21085"/>
                    <wp:lineTo x="21508" y="21085"/>
                    <wp:lineTo x="21508" y="0"/>
                    <wp:lineTo x="0" y="0"/>
                  </wp:wrapPolygon>
                </wp:wrapTight>
                <wp:docPr id="508" name="Text Box 508"/>
                <wp:cNvGraphicFramePr/>
                <a:graphic xmlns:a="http://schemas.openxmlformats.org/drawingml/2006/main">
                  <a:graphicData uri="http://schemas.microsoft.com/office/word/2010/wordprocessingShape">
                    <wps:wsp>
                      <wps:cNvSpPr txBox="1"/>
                      <wps:spPr>
                        <a:xfrm>
                          <a:off x="0" y="0"/>
                          <a:ext cx="3443605" cy="878205"/>
                        </a:xfrm>
                        <a:prstGeom prst="rect">
                          <a:avLst/>
                        </a:prstGeom>
                        <a:solidFill>
                          <a:prstClr val="white"/>
                        </a:solidFill>
                        <a:ln>
                          <a:noFill/>
                        </a:ln>
                      </wps:spPr>
                      <wps:txbx>
                        <w:txbxContent>
                          <w:p w14:paraId="2211B361" w14:textId="659A4489" w:rsidR="00A56EB4" w:rsidRPr="00701EC7" w:rsidRDefault="00A56EB4" w:rsidP="00E748BF">
                            <w:pPr>
                              <w:pStyle w:val="Caption"/>
                              <w:rPr>
                                <w:rFonts w:ascii="Times New Roman" w:hAnsi="Times New Roman" w:cs="Times New Roman"/>
                                <w:noProof/>
                                <w:sz w:val="24"/>
                                <w:szCs w:val="24"/>
                              </w:rPr>
                            </w:pPr>
                            <w:r w:rsidRPr="00B63B81">
                              <w:rPr>
                                <w:b/>
                                <w:bCs/>
                              </w:rPr>
                              <w:t xml:space="preserve">Figure </w:t>
                            </w:r>
                            <w:r>
                              <w:rPr>
                                <w:b/>
                                <w:bCs/>
                              </w:rPr>
                              <w:t>17</w:t>
                            </w:r>
                            <w:r w:rsidRPr="00B63B81">
                              <w:rPr>
                                <w:b/>
                                <w:bCs/>
                              </w:rPr>
                              <w:t>.</w:t>
                            </w:r>
                            <w:r>
                              <w:t xml:space="preserve"> A pie chart of minority status distribution as observed in the North Adult Courts between January 2017 and December 2018, from a sample size of 3360. Slice size represents the relative proportion of respondents identifying as part of a minority group. </w:t>
                            </w:r>
                          </w:p>
                          <w:p w14:paraId="1C1B5A1F" w14:textId="77777777" w:rsidR="00A56EB4" w:rsidRPr="00572B34" w:rsidRDefault="00A56EB4" w:rsidP="00E748BF">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32CD" id="Text Box 508" o:spid="_x0000_s1063" type="#_x0000_t202" style="position:absolute;margin-left:259.45pt;margin-top:92.25pt;width:271.15pt;height:69.15pt;z-index:-25361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" stroked="f">
                <v:textbox inset="0,0,0,0">
                  <w:txbxContent>
                    <w:p w14:paraId="2211B361" w14:textId="659A4489" w:rsidR="00A56EB4" w:rsidRPr="00701EC7" w:rsidRDefault="00A56EB4" w:rsidP="00E748BF">
                      <w:pPr>
                        <w:pStyle w:val="Caption"/>
                        <w:rPr>
                          <w:rFonts w:ascii="Times New Roman" w:hAnsi="Times New Roman" w:cs="Times New Roman"/>
                          <w:noProof/>
                          <w:sz w:val="24"/>
                          <w:szCs w:val="24"/>
                        </w:rPr>
                      </w:pPr>
                      <w:r w:rsidRPr="00B63B81">
                        <w:rPr>
                          <w:b/>
                          <w:bCs/>
                        </w:rPr>
                        <w:t xml:space="preserve">Figure </w:t>
                      </w:r>
                      <w:r>
                        <w:rPr>
                          <w:b/>
                          <w:bCs/>
                        </w:rPr>
                        <w:t>17</w:t>
                      </w:r>
                      <w:r w:rsidRPr="00B63B81">
                        <w:rPr>
                          <w:b/>
                          <w:bCs/>
                        </w:rPr>
                        <w:t>.</w:t>
                      </w:r>
                      <w:r>
                        <w:t xml:space="preserve"> A pie chart of minority status distribution as observed in the North Adult Courts between January 2017 and December 2018, from a sample size of 3360. Slice size represents the relative proportion of respondents identifying as part of a minority group. </w:t>
                      </w:r>
                    </w:p>
                    <w:p w14:paraId="1C1B5A1F" w14:textId="77777777" w:rsidR="00A56EB4" w:rsidRPr="00572B34" w:rsidRDefault="00A56EB4" w:rsidP="00E748BF">
                      <w:pPr>
                        <w:pStyle w:val="Caption"/>
                        <w:rPr>
                          <w:rFonts w:ascii="Times New Roman" w:hAnsi="Times New Roman" w:cs="Times New Roman"/>
                          <w:noProof/>
                          <w:sz w:val="24"/>
                          <w:szCs w:val="24"/>
                        </w:rPr>
                      </w:pPr>
                    </w:p>
                  </w:txbxContent>
                </v:textbox>
                <w10:wrap type="tight" anchorx="margin" anchory="margin"/>
              </v:shape>
            </w:pict>
          </mc:Fallback>
        </mc:AlternateContent>
      </w:r>
      <w:r>
        <w:rPr>
          <w:rFonts w:ascii="Times New Roman" w:hAnsi="Times New Roman" w:cs="Times New Roman"/>
          <w:noProof/>
          <w:sz w:val="24"/>
          <w:szCs w:val="24"/>
          <w:lang w:val="en-US"/>
        </w:rPr>
        <w:drawing>
          <wp:anchor distT="0" distB="0" distL="114300" distR="114300" simplePos="0" relativeHeight="252698112" behindDoc="1" locked="0" layoutInCell="1" allowOverlap="1" wp14:anchorId="12195CEC" wp14:editId="16084FD2">
            <wp:simplePos x="0" y="0"/>
            <wp:positionH relativeFrom="column">
              <wp:posOffset>2021</wp:posOffset>
            </wp:positionH>
            <wp:positionV relativeFrom="page">
              <wp:posOffset>1645772</wp:posOffset>
            </wp:positionV>
            <wp:extent cx="3149600" cy="2381250"/>
            <wp:effectExtent l="0" t="0" r="0" b="0"/>
            <wp:wrapTight wrapText="bothSides">
              <wp:wrapPolygon edited="0">
                <wp:start x="0" y="0"/>
                <wp:lineTo x="0" y="21427"/>
                <wp:lineTo x="21426" y="21427"/>
                <wp:lineTo x="21426"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27474" t="21968" r="26563" b="18939"/>
                    <a:stretch/>
                  </pic:blipFill>
                  <pic:spPr bwMode="auto">
                    <a:xfrm>
                      <a:off x="0" y="0"/>
                      <a:ext cx="3149600"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E10EA34" w14:textId="7E4CD13B" w:rsidR="007A17A8" w:rsidRDefault="007A17A8" w:rsidP="007A17A8">
      <w:pPr>
        <w:autoSpaceDE w:val="0"/>
        <w:autoSpaceDN w:val="0"/>
        <w:adjustRightInd w:val="0"/>
        <w:spacing w:after="0" w:line="240" w:lineRule="auto"/>
      </w:pPr>
    </w:p>
    <w:p w14:paraId="60C7DD11" w14:textId="47A9F4A8" w:rsidR="007A17A8" w:rsidRDefault="007A17A8" w:rsidP="007A17A8">
      <w:pPr>
        <w:autoSpaceDE w:val="0"/>
        <w:autoSpaceDN w:val="0"/>
        <w:adjustRightInd w:val="0"/>
        <w:spacing w:after="0" w:line="240" w:lineRule="auto"/>
      </w:pPr>
    </w:p>
    <w:p w14:paraId="2C0942A3" w14:textId="45784D21" w:rsidR="007A17A8" w:rsidRDefault="007A17A8" w:rsidP="007A17A8">
      <w:pPr>
        <w:autoSpaceDE w:val="0"/>
        <w:autoSpaceDN w:val="0"/>
        <w:adjustRightInd w:val="0"/>
        <w:spacing w:after="0" w:line="240" w:lineRule="auto"/>
      </w:pPr>
    </w:p>
    <w:p w14:paraId="24B5A3B2" w14:textId="77777777" w:rsidR="007A17A8" w:rsidRDefault="007A17A8" w:rsidP="007A17A8">
      <w:pPr>
        <w:autoSpaceDE w:val="0"/>
        <w:autoSpaceDN w:val="0"/>
        <w:adjustRightInd w:val="0"/>
        <w:spacing w:after="0" w:line="240" w:lineRule="auto"/>
      </w:pPr>
    </w:p>
    <w:p w14:paraId="5AB384D1" w14:textId="77777777" w:rsidR="007A17A8" w:rsidRDefault="007A17A8" w:rsidP="007A17A8">
      <w:pPr>
        <w:autoSpaceDE w:val="0"/>
        <w:autoSpaceDN w:val="0"/>
        <w:adjustRightInd w:val="0"/>
        <w:spacing w:after="0" w:line="240" w:lineRule="auto"/>
      </w:pPr>
    </w:p>
    <w:p w14:paraId="4568A394" w14:textId="77777777" w:rsidR="007A17A8" w:rsidRDefault="007A17A8" w:rsidP="007A17A8">
      <w:pPr>
        <w:autoSpaceDE w:val="0"/>
        <w:autoSpaceDN w:val="0"/>
        <w:adjustRightInd w:val="0"/>
        <w:spacing w:after="0" w:line="240" w:lineRule="auto"/>
      </w:pPr>
    </w:p>
    <w:p w14:paraId="090173FB" w14:textId="391F9668" w:rsidR="007A17A8" w:rsidRDefault="007A17A8" w:rsidP="007A17A8">
      <w:pPr>
        <w:autoSpaceDE w:val="0"/>
        <w:autoSpaceDN w:val="0"/>
        <w:adjustRightInd w:val="0"/>
        <w:spacing w:after="0" w:line="240" w:lineRule="auto"/>
      </w:pPr>
    </w:p>
    <w:p w14:paraId="65B93BAB" w14:textId="43013285" w:rsidR="007A17A8" w:rsidRDefault="007A17A8" w:rsidP="007A17A8">
      <w:pPr>
        <w:autoSpaceDE w:val="0"/>
        <w:autoSpaceDN w:val="0"/>
        <w:adjustRightInd w:val="0"/>
        <w:spacing w:after="0" w:line="240" w:lineRule="auto"/>
      </w:pPr>
    </w:p>
    <w:p w14:paraId="540E60CB" w14:textId="6873D0B9" w:rsidR="007A17A8" w:rsidRDefault="007A17A8" w:rsidP="007A17A8">
      <w:pPr>
        <w:autoSpaceDE w:val="0"/>
        <w:autoSpaceDN w:val="0"/>
        <w:adjustRightInd w:val="0"/>
        <w:spacing w:after="0" w:line="240" w:lineRule="auto"/>
      </w:pPr>
      <w:r>
        <w:rPr>
          <w:noProof/>
          <w:lang w:val="en-US"/>
        </w:rPr>
        <mc:AlternateContent>
          <mc:Choice Requires="wps">
            <w:drawing>
              <wp:anchor distT="0" distB="0" distL="114300" distR="114300" simplePos="0" relativeHeight="250050048" behindDoc="1" locked="0" layoutInCell="1" allowOverlap="1" wp14:anchorId="7D0CBA03" wp14:editId="57EAEE33">
                <wp:simplePos x="0" y="0"/>
                <wp:positionH relativeFrom="margin">
                  <wp:posOffset>5715</wp:posOffset>
                </wp:positionH>
                <wp:positionV relativeFrom="page">
                  <wp:posOffset>8288655</wp:posOffset>
                </wp:positionV>
                <wp:extent cx="6857365" cy="593725"/>
                <wp:effectExtent l="0" t="0" r="635" b="0"/>
                <wp:wrapTight wrapText="bothSides">
                  <wp:wrapPolygon edited="0">
                    <wp:start x="0" y="0"/>
                    <wp:lineTo x="0" y="20791"/>
                    <wp:lineTo x="21542" y="20791"/>
                    <wp:lineTo x="21542" y="0"/>
                    <wp:lineTo x="0" y="0"/>
                  </wp:wrapPolygon>
                </wp:wrapTight>
                <wp:docPr id="516" name="Text Box 516"/>
                <wp:cNvGraphicFramePr/>
                <a:graphic xmlns:a="http://schemas.openxmlformats.org/drawingml/2006/main">
                  <a:graphicData uri="http://schemas.microsoft.com/office/word/2010/wordprocessingShape">
                    <wps:wsp>
                      <wps:cNvSpPr txBox="1"/>
                      <wps:spPr>
                        <a:xfrm>
                          <a:off x="0" y="0"/>
                          <a:ext cx="6857365" cy="593725"/>
                        </a:xfrm>
                        <a:prstGeom prst="rect">
                          <a:avLst/>
                        </a:prstGeom>
                        <a:solidFill>
                          <a:prstClr val="white"/>
                        </a:solidFill>
                        <a:ln>
                          <a:noFill/>
                        </a:ln>
                      </wps:spPr>
                      <wps:txbx>
                        <w:txbxContent>
                          <w:p w14:paraId="0A5571D4" w14:textId="6D1D55D6" w:rsidR="00A56EB4" w:rsidRPr="00E25FCA" w:rsidRDefault="00A56EB4" w:rsidP="00794544">
                            <w:pPr>
                              <w:pStyle w:val="Caption"/>
                            </w:pPr>
                            <w:r w:rsidRPr="00B63B81">
                              <w:rPr>
                                <w:b/>
                                <w:bCs/>
                              </w:rPr>
                              <w:t xml:space="preserve">Figure </w:t>
                            </w:r>
                            <w:r>
                              <w:rPr>
                                <w:b/>
                                <w:bCs/>
                              </w:rPr>
                              <w:t>18.</w:t>
                            </w:r>
                            <w:r>
                              <w:t xml:space="preserve"> A population pyramid representing the frequency (x-axis) of attendee gender (split), stratified by age (y-axis), and grouped by minority status at the North Adult Courts between January 2017 and December 2018, from a sample size of 3320 (neither: 2374, Indigenous: 828, newcomers: 118). Values exceeding the scale of the count have been indicated within their respective bar, to allow for ease of observing minority group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BA03" id="Text Box 516" o:spid="_x0000_s1064" type="#_x0000_t202" style="position:absolute;margin-left:.45pt;margin-top:652.65pt;width:539.95pt;height:46.75pt;z-index:-2532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" stroked="f">
                <v:textbox inset="0,0,0,0">
                  <w:txbxContent>
                    <w:p w14:paraId="0A5571D4" w14:textId="6D1D55D6" w:rsidR="00A56EB4" w:rsidRPr="00E25FCA" w:rsidRDefault="00A56EB4" w:rsidP="00794544">
                      <w:pPr>
                        <w:pStyle w:val="Caption"/>
                      </w:pPr>
                      <w:r w:rsidRPr="00B63B81">
                        <w:rPr>
                          <w:b/>
                          <w:bCs/>
                        </w:rPr>
                        <w:t xml:space="preserve">Figure </w:t>
                      </w:r>
                      <w:r>
                        <w:rPr>
                          <w:b/>
                          <w:bCs/>
                        </w:rPr>
                        <w:t>18.</w:t>
                      </w:r>
                      <w:r>
                        <w:t xml:space="preserve"> A population pyramid representing the frequency (x-axis) of attendee gender (split), stratified by age (y-axis), and grouped by minority status at the North Adult Courts between January 2017 and December 2018, from a sample size of 3320 (neither: 2374, Indigenous: 828, newcomers: 118). Values exceeding the scale of the count have been indicated within their respective bar, to allow for ease of observing minority group data. </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2732928" behindDoc="1" locked="0" layoutInCell="1" allowOverlap="1" wp14:anchorId="3ADBB606" wp14:editId="6AC0FC3B">
            <wp:simplePos x="0" y="0"/>
            <wp:positionH relativeFrom="margin">
              <wp:posOffset>0</wp:posOffset>
            </wp:positionH>
            <wp:positionV relativeFrom="page">
              <wp:posOffset>4343779</wp:posOffset>
            </wp:positionV>
            <wp:extent cx="6858000" cy="3911600"/>
            <wp:effectExtent l="0" t="0" r="0" b="0"/>
            <wp:wrapTight wrapText="bothSides">
              <wp:wrapPolygon edited="0">
                <wp:start x="0" y="0"/>
                <wp:lineTo x="0" y="21460"/>
                <wp:lineTo x="21540" y="21460"/>
                <wp:lineTo x="21540"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3911600"/>
                    </a:xfrm>
                    <a:prstGeom prst="rect">
                      <a:avLst/>
                    </a:prstGeom>
                    <a:noFill/>
                    <a:ln>
                      <a:noFill/>
                    </a:ln>
                  </pic:spPr>
                </pic:pic>
              </a:graphicData>
            </a:graphic>
            <wp14:sizeRelH relativeFrom="margin">
              <wp14:pctWidth>0</wp14:pctWidth>
            </wp14:sizeRelH>
          </wp:anchor>
        </w:drawing>
      </w:r>
    </w:p>
    <w:p w14:paraId="439267D7" w14:textId="49DDCEEE" w:rsidR="00F42E97" w:rsidRDefault="00377E6F" w:rsidP="00F42E97">
      <w:pPr>
        <w:autoSpaceDE w:val="0"/>
        <w:autoSpaceDN w:val="0"/>
        <w:adjustRightInd w:val="0"/>
        <w:spacing w:after="0" w:line="240" w:lineRule="auto"/>
        <w:rPr>
          <w:rFonts w:ascii="Times New Roman" w:hAnsi="Times New Roman" w:cs="Times New Roman"/>
          <w:sz w:val="24"/>
          <w:szCs w:val="24"/>
        </w:rPr>
      </w:pPr>
      <w:r>
        <w:t xml:space="preserve">It was observed that </w:t>
      </w:r>
      <w:r w:rsidR="0008294A">
        <w:t>nearly</w:t>
      </w:r>
      <w:r>
        <w:t xml:space="preserve"> three in four (7</w:t>
      </w:r>
      <w:r w:rsidR="0008294A">
        <w:t>1.49</w:t>
      </w:r>
      <w:r>
        <w:t>%) defendants receiving services from the Elizabeth Fry Society of Calgary in</w:t>
      </w:r>
      <w:r w:rsidR="00D811CE">
        <w:t xml:space="preserve"> the</w:t>
      </w:r>
      <w:r>
        <w:t xml:space="preserve"> </w:t>
      </w:r>
      <w:r w:rsidR="008D12A5">
        <w:t>North Adult Court</w:t>
      </w:r>
      <w:r w:rsidR="00D811CE">
        <w:t>s</w:t>
      </w:r>
      <w:r>
        <w:t xml:space="preserve"> had no minority status (Figure </w:t>
      </w:r>
      <w:r w:rsidR="00264768">
        <w:t>17</w:t>
      </w:r>
      <w:r>
        <w:t>). When stratified by minority status, distribution was heavily concentrated in younger age categories, and in men, across all groupings.</w:t>
      </w:r>
      <w:r w:rsidR="007A17A8">
        <w:rPr>
          <w:rFonts w:ascii="Times New Roman" w:hAnsi="Times New Roman" w:cs="Times New Roman"/>
          <w:sz w:val="24"/>
          <w:szCs w:val="24"/>
        </w:rPr>
        <w:t xml:space="preserve"> </w:t>
      </w:r>
      <w:r>
        <w:lastRenderedPageBreak/>
        <w:t xml:space="preserve">This is reflected in the population pyramids (Figure </w:t>
      </w:r>
      <w:r w:rsidR="00264768">
        <w:t>18</w:t>
      </w:r>
      <w:r>
        <w:t xml:space="preserve">), which are demonstrably bottom-heavy, suggesting a trend towards younger age groups, and left-leaning, suggesting substantial representation of male defendants. </w:t>
      </w:r>
      <w:r w:rsidR="0008294A">
        <w:t xml:space="preserve">In individuals without minority status, and those identifying as Indigenous, </w:t>
      </w:r>
      <w:r w:rsidR="00264768">
        <w:t xml:space="preserve">individuals </w:t>
      </w:r>
      <w:r>
        <w:t>under 30</w:t>
      </w:r>
      <w:r w:rsidR="00264768">
        <w:t xml:space="preserve"> </w:t>
      </w:r>
      <w:r w:rsidR="0008294A">
        <w:t>represent</w:t>
      </w:r>
      <w:r>
        <w:t xml:space="preserve"> the most common demographic supported, making up </w:t>
      </w:r>
      <w:r w:rsidR="0008294A">
        <w:t>33.66</w:t>
      </w:r>
      <w:r>
        <w:t>%</w:t>
      </w:r>
      <w:r w:rsidR="0008294A">
        <w:t xml:space="preserve"> and</w:t>
      </w:r>
      <w:r>
        <w:t xml:space="preserve"> </w:t>
      </w:r>
      <w:r w:rsidR="0008294A">
        <w:t>35.02</w:t>
      </w:r>
      <w:r>
        <w:t>%</w:t>
      </w:r>
      <w:r w:rsidR="0008294A">
        <w:t xml:space="preserve"> </w:t>
      </w:r>
      <w:r>
        <w:t>of defendants with no minority</w:t>
      </w:r>
      <w:r w:rsidR="0008294A">
        <w:t xml:space="preserve"> and </w:t>
      </w:r>
      <w:r>
        <w:t>Indigenous</w:t>
      </w:r>
      <w:r w:rsidR="0008294A">
        <w:t xml:space="preserve"> </w:t>
      </w:r>
      <w:r>
        <w:t xml:space="preserve">status, with a prevalence </w:t>
      </w:r>
      <w:r w:rsidR="0008294A">
        <w:t>3.58</w:t>
      </w:r>
      <w:r>
        <w:t>X</w:t>
      </w:r>
      <w:r w:rsidR="0008294A">
        <w:t xml:space="preserve"> and</w:t>
      </w:r>
      <w:r>
        <w:t xml:space="preserve"> </w:t>
      </w:r>
      <w:r w:rsidR="0008294A">
        <w:t>2.79</w:t>
      </w:r>
      <w:r>
        <w:t>X</w:t>
      </w:r>
      <w:r w:rsidR="0008294A">
        <w:t xml:space="preserve"> </w:t>
      </w:r>
      <w:r>
        <w:t xml:space="preserve">that of their age-matched female peers, respectively (Figure </w:t>
      </w:r>
      <w:r w:rsidR="00264768">
        <w:t>18</w:t>
      </w:r>
      <w:r>
        <w:t xml:space="preserve">). </w:t>
      </w:r>
      <w:r w:rsidR="0008294A">
        <w:t xml:space="preserve">In defendants of newcomer status, individuals within the under 30 and 30-39 age groups represented the most common demographics supported, making up </w:t>
      </w:r>
      <w:r w:rsidR="0093719A">
        <w:t xml:space="preserve">31.36% and 34.75% of individuals supported, with a prevalence 3.71X and 5.86X that of their age-matched female peers, respectively (Figure </w:t>
      </w:r>
      <w:r w:rsidR="007A17A8" w:rsidRPr="007A17A8">
        <w:rPr>
          <w:rFonts w:ascii="Times New Roman" w:hAnsi="Times New Roman" w:cs="Times New Roman"/>
          <w:noProof/>
          <w:sz w:val="24"/>
          <w:szCs w:val="24"/>
        </w:rPr>
        <mc:AlternateContent>
          <mc:Choice Requires="wps">
            <w:drawing>
              <wp:anchor distT="45720" distB="45720" distL="114300" distR="114300" simplePos="0" relativeHeight="256434688" behindDoc="0" locked="0" layoutInCell="1" allowOverlap="1" wp14:anchorId="4A2F1242" wp14:editId="08995E3F">
                <wp:simplePos x="0" y="0"/>
                <wp:positionH relativeFrom="column">
                  <wp:posOffset>5715</wp:posOffset>
                </wp:positionH>
                <wp:positionV relativeFrom="paragraph">
                  <wp:posOffset>5850321</wp:posOffset>
                </wp:positionV>
                <wp:extent cx="6857365" cy="534035"/>
                <wp:effectExtent l="0" t="0" r="635" b="0"/>
                <wp:wrapSquare wrapText="bothSides"/>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34035"/>
                        </a:xfrm>
                        <a:prstGeom prst="rect">
                          <a:avLst/>
                        </a:prstGeom>
                        <a:solidFill>
                          <a:schemeClr val="accent2"/>
                        </a:solidFill>
                        <a:ln w="9525">
                          <a:noFill/>
                          <a:miter lim="800000"/>
                          <a:headEnd/>
                          <a:tailEnd/>
                        </a:ln>
                      </wps:spPr>
                      <wps:txbx>
                        <w:txbxContent>
                          <w:p w14:paraId="64FB5D7A" w14:textId="09EB0291" w:rsidR="00A56EB4" w:rsidRPr="00391DDA" w:rsidRDefault="00A56EB4" w:rsidP="007A17A8">
                            <w:pPr>
                              <w:autoSpaceDE w:val="0"/>
                              <w:autoSpaceDN w:val="0"/>
                              <w:adjustRightInd w:val="0"/>
                              <w:spacing w:after="0" w:line="240" w:lineRule="auto"/>
                              <w:rPr>
                                <w:rFonts w:ascii="Times New Roman" w:hAnsi="Times New Roman" w:cs="Times New Roman"/>
                                <w:i/>
                                <w:iCs/>
                                <w:sz w:val="18"/>
                                <w:szCs w:val="18"/>
                              </w:rPr>
                            </w:pPr>
                            <w:r w:rsidRPr="00391DDA">
                              <w:rPr>
                                <w:b/>
                                <w:bCs/>
                                <w:i/>
                                <w:iCs/>
                                <w:sz w:val="18"/>
                                <w:szCs w:val="18"/>
                              </w:rPr>
                              <w:t xml:space="preserve">Figure </w:t>
                            </w:r>
                            <w:r>
                              <w:rPr>
                                <w:b/>
                                <w:bCs/>
                                <w:i/>
                                <w:iCs/>
                                <w:sz w:val="18"/>
                                <w:szCs w:val="18"/>
                              </w:rPr>
                              <w:t>19</w:t>
                            </w:r>
                            <w:r w:rsidRPr="00391DDA">
                              <w:rPr>
                                <w:b/>
                                <w:bCs/>
                                <w:i/>
                                <w:iCs/>
                                <w:sz w:val="18"/>
                                <w:szCs w:val="18"/>
                              </w:rPr>
                              <w:t>.</w:t>
                            </w:r>
                            <w:r w:rsidRPr="00391DDA">
                              <w:rPr>
                                <w:i/>
                                <w:iCs/>
                                <w:sz w:val="18"/>
                                <w:szCs w:val="18"/>
                              </w:rPr>
                              <w:t xml:space="preserve"> A bar graph of attendee family size as observed in </w:t>
                            </w:r>
                            <w:r>
                              <w:rPr>
                                <w:i/>
                                <w:iCs/>
                                <w:sz w:val="18"/>
                                <w:szCs w:val="18"/>
                              </w:rPr>
                              <w:t>the North Adult Courts</w:t>
                            </w:r>
                            <w:r w:rsidRPr="00391DDA">
                              <w:rPr>
                                <w:i/>
                                <w:iCs/>
                                <w:sz w:val="18"/>
                                <w:szCs w:val="18"/>
                              </w:rPr>
                              <w:t xml:space="preserve"> between January 2017 and December 201</w:t>
                            </w:r>
                            <w:r>
                              <w:rPr>
                                <w:i/>
                                <w:iCs/>
                                <w:sz w:val="18"/>
                                <w:szCs w:val="18"/>
                              </w:rPr>
                              <w:t>8</w:t>
                            </w:r>
                            <w:r w:rsidRPr="00391DDA">
                              <w:rPr>
                                <w:i/>
                                <w:iCs/>
                                <w:sz w:val="18"/>
                                <w:szCs w:val="18"/>
                              </w:rPr>
                              <w:t xml:space="preserve">, from a sample size of </w:t>
                            </w:r>
                            <w:r>
                              <w:rPr>
                                <w:i/>
                                <w:iCs/>
                                <w:sz w:val="18"/>
                                <w:szCs w:val="18"/>
                              </w:rPr>
                              <w:t>3069</w:t>
                            </w:r>
                            <w:r w:rsidRPr="00391DDA">
                              <w:rPr>
                                <w:i/>
                                <w:iCs/>
                                <w:sz w:val="18"/>
                                <w:szCs w:val="18"/>
                              </w:rPr>
                              <w:t xml:space="preserve">. Bar height corresponds </w:t>
                            </w:r>
                            <w:r>
                              <w:rPr>
                                <w:i/>
                                <w:iCs/>
                                <w:sz w:val="18"/>
                                <w:szCs w:val="18"/>
                              </w:rPr>
                              <w:t>with</w:t>
                            </w:r>
                            <w:r w:rsidRPr="00391DDA">
                              <w:rPr>
                                <w:i/>
                                <w:iCs/>
                                <w:sz w:val="18"/>
                                <w:szCs w:val="18"/>
                              </w:rPr>
                              <w:t xml:space="preserve"> the number of respondents reporting a given family size (y-axis), with relative proportions of family size categories indicated within the bar. </w:t>
                            </w:r>
                          </w:p>
                          <w:p w14:paraId="0E41395D" w14:textId="0527DAA3"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F1242" id="_x0000_s1065" type="#_x0000_t202" style="position:absolute;margin-left:.45pt;margin-top:460.65pt;width:539.95pt;height:42.05pt;z-index:2564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" fillcolor="white [3205]" stroked="f">
                <v:textbox>
                  <w:txbxContent>
                    <w:p w14:paraId="64FB5D7A" w14:textId="09EB0291" w:rsidR="00A56EB4" w:rsidRPr="00391DDA" w:rsidRDefault="00A56EB4" w:rsidP="007A17A8">
                      <w:pPr>
                        <w:autoSpaceDE w:val="0"/>
                        <w:autoSpaceDN w:val="0"/>
                        <w:adjustRightInd w:val="0"/>
                        <w:spacing w:after="0" w:line="240" w:lineRule="auto"/>
                        <w:rPr>
                          <w:rFonts w:ascii="Times New Roman" w:hAnsi="Times New Roman" w:cs="Times New Roman"/>
                          <w:i/>
                          <w:iCs/>
                          <w:sz w:val="18"/>
                          <w:szCs w:val="18"/>
                        </w:rPr>
                      </w:pPr>
                      <w:r w:rsidRPr="00391DDA">
                        <w:rPr>
                          <w:b/>
                          <w:bCs/>
                          <w:i/>
                          <w:iCs/>
                          <w:sz w:val="18"/>
                          <w:szCs w:val="18"/>
                        </w:rPr>
                        <w:t xml:space="preserve">Figure </w:t>
                      </w:r>
                      <w:r>
                        <w:rPr>
                          <w:b/>
                          <w:bCs/>
                          <w:i/>
                          <w:iCs/>
                          <w:sz w:val="18"/>
                          <w:szCs w:val="18"/>
                        </w:rPr>
                        <w:t>19</w:t>
                      </w:r>
                      <w:r w:rsidRPr="00391DDA">
                        <w:rPr>
                          <w:b/>
                          <w:bCs/>
                          <w:i/>
                          <w:iCs/>
                          <w:sz w:val="18"/>
                          <w:szCs w:val="18"/>
                        </w:rPr>
                        <w:t>.</w:t>
                      </w:r>
                      <w:r w:rsidRPr="00391DDA">
                        <w:rPr>
                          <w:i/>
                          <w:iCs/>
                          <w:sz w:val="18"/>
                          <w:szCs w:val="18"/>
                        </w:rPr>
                        <w:t xml:space="preserve"> A bar graph of attendee family size as observed in </w:t>
                      </w:r>
                      <w:r>
                        <w:rPr>
                          <w:i/>
                          <w:iCs/>
                          <w:sz w:val="18"/>
                          <w:szCs w:val="18"/>
                        </w:rPr>
                        <w:t>the North Adult Courts</w:t>
                      </w:r>
                      <w:r w:rsidRPr="00391DDA">
                        <w:rPr>
                          <w:i/>
                          <w:iCs/>
                          <w:sz w:val="18"/>
                          <w:szCs w:val="18"/>
                        </w:rPr>
                        <w:t xml:space="preserve"> between January 2017 and December 201</w:t>
                      </w:r>
                      <w:r>
                        <w:rPr>
                          <w:i/>
                          <w:iCs/>
                          <w:sz w:val="18"/>
                          <w:szCs w:val="18"/>
                        </w:rPr>
                        <w:t>8</w:t>
                      </w:r>
                      <w:r w:rsidRPr="00391DDA">
                        <w:rPr>
                          <w:i/>
                          <w:iCs/>
                          <w:sz w:val="18"/>
                          <w:szCs w:val="18"/>
                        </w:rPr>
                        <w:t xml:space="preserve">, from a sample size of </w:t>
                      </w:r>
                      <w:r>
                        <w:rPr>
                          <w:i/>
                          <w:iCs/>
                          <w:sz w:val="18"/>
                          <w:szCs w:val="18"/>
                        </w:rPr>
                        <w:t>3069</w:t>
                      </w:r>
                      <w:r w:rsidRPr="00391DDA">
                        <w:rPr>
                          <w:i/>
                          <w:iCs/>
                          <w:sz w:val="18"/>
                          <w:szCs w:val="18"/>
                        </w:rPr>
                        <w:t xml:space="preserve">. Bar height corresponds </w:t>
                      </w:r>
                      <w:r>
                        <w:rPr>
                          <w:i/>
                          <w:iCs/>
                          <w:sz w:val="18"/>
                          <w:szCs w:val="18"/>
                        </w:rPr>
                        <w:t>with</w:t>
                      </w:r>
                      <w:r w:rsidRPr="00391DDA">
                        <w:rPr>
                          <w:i/>
                          <w:iCs/>
                          <w:sz w:val="18"/>
                          <w:szCs w:val="18"/>
                        </w:rPr>
                        <w:t xml:space="preserve"> the number of respondents reporting a given family size (y-axis), with relative proportions of family size categories indicated within the bar. </w:t>
                      </w:r>
                    </w:p>
                    <w:p w14:paraId="0E41395D" w14:textId="0527DAA3" w:rsidR="00A56EB4" w:rsidRDefault="00A56EB4"/>
                  </w:txbxContent>
                </v:textbox>
                <w10:wrap type="square"/>
              </v:shape>
            </w:pict>
          </mc:Fallback>
        </mc:AlternateContent>
      </w:r>
      <w:r w:rsidR="007A17A8">
        <w:rPr>
          <w:rFonts w:ascii="Times New Roman" w:hAnsi="Times New Roman" w:cs="Times New Roman"/>
          <w:noProof/>
          <w:sz w:val="24"/>
          <w:szCs w:val="24"/>
          <w:lang w:val="en-US"/>
        </w:rPr>
        <w:drawing>
          <wp:anchor distT="0" distB="0" distL="114300" distR="114300" simplePos="0" relativeHeight="252766720" behindDoc="1" locked="0" layoutInCell="1" allowOverlap="1" wp14:anchorId="2C9C8D5F" wp14:editId="7EC13F32">
            <wp:simplePos x="0" y="0"/>
            <wp:positionH relativeFrom="margin">
              <wp:posOffset>0</wp:posOffset>
            </wp:positionH>
            <wp:positionV relativeFrom="page">
              <wp:posOffset>2218846</wp:posOffset>
            </wp:positionV>
            <wp:extent cx="6858000" cy="4362450"/>
            <wp:effectExtent l="0" t="0" r="0" b="0"/>
            <wp:wrapTight wrapText="bothSides">
              <wp:wrapPolygon edited="0">
                <wp:start x="0" y="0"/>
                <wp:lineTo x="0" y="21506"/>
                <wp:lineTo x="21540" y="21506"/>
                <wp:lineTo x="21540"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768">
        <w:t>18</w:t>
      </w:r>
      <w:r w:rsidR="0093719A">
        <w:t xml:space="preserve">). </w:t>
      </w:r>
    </w:p>
    <w:p w14:paraId="61273BE0" w14:textId="7A10B9CD" w:rsidR="005515CE" w:rsidRDefault="00A47B9B" w:rsidP="005515CE">
      <w:pPr>
        <w:autoSpaceDE w:val="0"/>
        <w:autoSpaceDN w:val="0"/>
        <w:adjustRightInd w:val="0"/>
        <w:spacing w:after="0" w:line="240" w:lineRule="auto"/>
        <w:rPr>
          <w:rFonts w:ascii="Times New Roman" w:hAnsi="Times New Roman" w:cs="Times New Roman"/>
          <w:sz w:val="24"/>
          <w:szCs w:val="24"/>
        </w:rPr>
      </w:pPr>
      <w:r>
        <w:rPr>
          <w:noProof/>
          <w:lang w:val="en-US"/>
        </w:rPr>
        <w:lastRenderedPageBreak/>
        <w:drawing>
          <wp:inline distT="0" distB="0" distL="0" distR="0" wp14:anchorId="3CE413F6" wp14:editId="56A256BA">
            <wp:extent cx="6832600" cy="4120829"/>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39" t="3330" r="1838" b="2815"/>
                    <a:stretch/>
                  </pic:blipFill>
                  <pic:spPr bwMode="auto">
                    <a:xfrm>
                      <a:off x="0" y="0"/>
                      <a:ext cx="6855544" cy="4134667"/>
                    </a:xfrm>
                    <a:prstGeom prst="rect">
                      <a:avLst/>
                    </a:prstGeom>
                    <a:ln>
                      <a:noFill/>
                    </a:ln>
                    <a:extLst>
                      <a:ext uri="{53640926-AAD7-44D8-BBD7-CCE9431645EC}">
                        <a14:shadowObscured xmlns:a14="http://schemas.microsoft.com/office/drawing/2010/main"/>
                      </a:ext>
                    </a:extLst>
                  </pic:spPr>
                </pic:pic>
              </a:graphicData>
            </a:graphic>
          </wp:inline>
        </w:drawing>
      </w:r>
    </w:p>
    <w:p w14:paraId="3930D831" w14:textId="170ECBF9" w:rsidR="005515CE" w:rsidRDefault="000A4AB2" w:rsidP="005515CE">
      <w:pPr>
        <w:autoSpaceDE w:val="0"/>
        <w:autoSpaceDN w:val="0"/>
        <w:adjustRightInd w:val="0"/>
        <w:spacing w:after="0" w:line="24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0456576" behindDoc="1" locked="0" layoutInCell="1" allowOverlap="1" wp14:anchorId="20F5BA4A" wp14:editId="2CE5F743">
                <wp:simplePos x="0" y="0"/>
                <wp:positionH relativeFrom="margin">
                  <wp:align>right</wp:align>
                </wp:positionH>
                <wp:positionV relativeFrom="paragraph">
                  <wp:posOffset>0</wp:posOffset>
                </wp:positionV>
                <wp:extent cx="6851015" cy="635"/>
                <wp:effectExtent l="0" t="0" r="6985" b="8255"/>
                <wp:wrapTight wrapText="bothSides">
                  <wp:wrapPolygon edited="0">
                    <wp:start x="0" y="0"/>
                    <wp:lineTo x="0" y="21156"/>
                    <wp:lineTo x="21562" y="21156"/>
                    <wp:lineTo x="21562" y="0"/>
                    <wp:lineTo x="0" y="0"/>
                  </wp:wrapPolygon>
                </wp:wrapTight>
                <wp:docPr id="525" name="Text Box 525"/>
                <wp:cNvGraphicFramePr/>
                <a:graphic xmlns:a="http://schemas.openxmlformats.org/drawingml/2006/main">
                  <a:graphicData uri="http://schemas.microsoft.com/office/word/2010/wordprocessingShape">
                    <wps:wsp>
                      <wps:cNvSpPr txBox="1"/>
                      <wps:spPr>
                        <a:xfrm>
                          <a:off x="0" y="0"/>
                          <a:ext cx="6851015" cy="635"/>
                        </a:xfrm>
                        <a:prstGeom prst="rect">
                          <a:avLst/>
                        </a:prstGeom>
                        <a:solidFill>
                          <a:prstClr val="white"/>
                        </a:solidFill>
                        <a:ln>
                          <a:noFill/>
                        </a:ln>
                      </wps:spPr>
                      <wps:txbx>
                        <w:txbxContent>
                          <w:p w14:paraId="4798E451" w14:textId="77EF2445" w:rsidR="00A56EB4" w:rsidRPr="008E7C76" w:rsidRDefault="00A56EB4" w:rsidP="000A4AB2">
                            <w:pPr>
                              <w:pStyle w:val="Caption"/>
                              <w:rPr>
                                <w:highlight w:val="yellow"/>
                              </w:rPr>
                            </w:pPr>
                            <w:r w:rsidRPr="00B63B81">
                              <w:rPr>
                                <w:b/>
                                <w:bCs/>
                              </w:rPr>
                              <w:t xml:space="preserve">Figure </w:t>
                            </w:r>
                            <w:r>
                              <w:rPr>
                                <w:b/>
                                <w:bCs/>
                              </w:rPr>
                              <w:t>20</w:t>
                            </w:r>
                            <w:r w:rsidRPr="00B63B81">
                              <w:rPr>
                                <w:b/>
                                <w:bCs/>
                              </w:rPr>
                              <w:t>.</w:t>
                            </w:r>
                            <w:r>
                              <w:t xml:space="preserve"> </w:t>
                            </w:r>
                            <w:r w:rsidRPr="000504B7">
                              <w:t xml:space="preserve">Proportion of attendee households (y-axis) in a given income category (colour legend) by family size (x-axis), grouped by minority status, at </w:t>
                            </w:r>
                            <w:r>
                              <w:t>the North Adult Courts</w:t>
                            </w:r>
                            <w:r w:rsidRPr="000504B7">
                              <w:t xml:space="preserve"> between January 2017 and December 2018. Bar height represents 100% of attendee households in a family size category. This data was generated from a sample size of </w:t>
                            </w:r>
                            <w:r>
                              <w:t>3017</w:t>
                            </w:r>
                            <w:r w:rsidRPr="000504B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F5BA4A" id="Text Box 525" o:spid="_x0000_s1066" type="#_x0000_t202" style="position:absolute;margin-left:488.25pt;margin-top:0;width:539.45pt;height:.05pt;z-index:-252859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" stroked="f">
                <v:textbox style="mso-fit-shape-to-text:t" inset="0,0,0,0">
                  <w:txbxContent>
                    <w:p w14:paraId="4798E451" w14:textId="77EF2445" w:rsidR="00A56EB4" w:rsidRPr="008E7C76" w:rsidRDefault="00A56EB4" w:rsidP="000A4AB2">
                      <w:pPr>
                        <w:pStyle w:val="Caption"/>
                        <w:rPr>
                          <w:highlight w:val="yellow"/>
                        </w:rPr>
                      </w:pPr>
                      <w:r w:rsidRPr="00B63B81">
                        <w:rPr>
                          <w:b/>
                          <w:bCs/>
                        </w:rPr>
                        <w:t xml:space="preserve">Figure </w:t>
                      </w:r>
                      <w:r>
                        <w:rPr>
                          <w:b/>
                          <w:bCs/>
                        </w:rPr>
                        <w:t>20</w:t>
                      </w:r>
                      <w:r w:rsidRPr="00B63B81">
                        <w:rPr>
                          <w:b/>
                          <w:bCs/>
                        </w:rPr>
                        <w:t>.</w:t>
                      </w:r>
                      <w:r>
                        <w:t xml:space="preserve"> </w:t>
                      </w:r>
                      <w:r w:rsidRPr="000504B7">
                        <w:t xml:space="preserve">Proportion of attendee households (y-axis) in a given income category (colour legend) by family size (x-axis), grouped by minority status, at </w:t>
                      </w:r>
                      <w:r>
                        <w:t>the North Adult Courts</w:t>
                      </w:r>
                      <w:r w:rsidRPr="000504B7">
                        <w:t xml:space="preserve"> between January 2017 and December 2018. Bar height represents 100% of attendee households in a family size category. This data was generated from a sample size of </w:t>
                      </w:r>
                      <w:r>
                        <w:t>3017</w:t>
                      </w:r>
                      <w:r w:rsidRPr="000504B7">
                        <w:t xml:space="preserve">. </w:t>
                      </w:r>
                    </w:p>
                  </w:txbxContent>
                </v:textbox>
                <w10:wrap type="tight" anchorx="margin"/>
              </v:shape>
            </w:pict>
          </mc:Fallback>
        </mc:AlternateContent>
      </w:r>
    </w:p>
    <w:p w14:paraId="5AEC3007" w14:textId="1A4B764B" w:rsidR="00C119B2" w:rsidRPr="008C749A" w:rsidRDefault="002B13BC" w:rsidP="00C119B2">
      <w:pPr>
        <w:rPr>
          <w:rFonts w:asciiTheme="majorHAnsi" w:hAnsiTheme="majorHAnsi" w:cstheme="majorHAnsi"/>
          <w:sz w:val="24"/>
          <w:szCs w:val="24"/>
        </w:rPr>
      </w:pPr>
      <w:r>
        <w:rPr>
          <w:noProof/>
          <w:lang w:val="en-US"/>
        </w:rPr>
        <w:lastRenderedPageBreak/>
        <mc:AlternateContent>
          <mc:Choice Requires="wps">
            <w:drawing>
              <wp:anchor distT="0" distB="0" distL="114300" distR="114300" simplePos="0" relativeHeight="247967232" behindDoc="1" locked="0" layoutInCell="1" allowOverlap="1" wp14:anchorId="2A5E9AC8" wp14:editId="0D4B8914">
                <wp:simplePos x="0" y="0"/>
                <wp:positionH relativeFrom="margin">
                  <wp:align>right</wp:align>
                </wp:positionH>
                <wp:positionV relativeFrom="page">
                  <wp:posOffset>1004570</wp:posOffset>
                </wp:positionV>
                <wp:extent cx="6858000" cy="392430"/>
                <wp:effectExtent l="0" t="0" r="0" b="7620"/>
                <wp:wrapTight wrapText="bothSides">
                  <wp:wrapPolygon edited="0">
                    <wp:start x="0" y="0"/>
                    <wp:lineTo x="0" y="20971"/>
                    <wp:lineTo x="21540" y="20971"/>
                    <wp:lineTo x="21540" y="0"/>
                    <wp:lineTo x="0" y="0"/>
                  </wp:wrapPolygon>
                </wp:wrapTight>
                <wp:docPr id="215" name="Text Box 215"/>
                <wp:cNvGraphicFramePr/>
                <a:graphic xmlns:a="http://schemas.openxmlformats.org/drawingml/2006/main">
                  <a:graphicData uri="http://schemas.microsoft.com/office/word/2010/wordprocessingShape">
                    <wps:wsp>
                      <wps:cNvSpPr txBox="1"/>
                      <wps:spPr>
                        <a:xfrm>
                          <a:off x="0" y="0"/>
                          <a:ext cx="6858000" cy="392430"/>
                        </a:xfrm>
                        <a:prstGeom prst="rect">
                          <a:avLst/>
                        </a:prstGeom>
                        <a:solidFill>
                          <a:prstClr val="white"/>
                        </a:solidFill>
                        <a:ln>
                          <a:noFill/>
                        </a:ln>
                      </wps:spPr>
                      <wps:txbx>
                        <w:txbxContent>
                          <w:p w14:paraId="22F8F7F6" w14:textId="5501A3F9" w:rsidR="00A56EB4" w:rsidRPr="0063408E" w:rsidRDefault="00A56EB4" w:rsidP="00634FCD">
                            <w:pPr>
                              <w:pStyle w:val="Caption"/>
                            </w:pPr>
                            <w:r>
                              <w:rPr>
                                <w:b/>
                                <w:bCs/>
                              </w:rPr>
                              <w:t>Table 6</w:t>
                            </w:r>
                            <w:r w:rsidRPr="00B63B81">
                              <w:rPr>
                                <w:b/>
                                <w:bCs/>
                              </w:rPr>
                              <w:t>.</w:t>
                            </w:r>
                            <w:r>
                              <w:t xml:space="preserve"> Number of attendee </w:t>
                            </w:r>
                            <w:r w:rsidRPr="00195523">
                              <w:t>households in various income categories, stratified by family size and minority status, at</w:t>
                            </w:r>
                            <w:r>
                              <w:t xml:space="preserve"> the</w:t>
                            </w:r>
                            <w:r w:rsidRPr="00195523">
                              <w:t xml:space="preserve"> </w:t>
                            </w:r>
                            <w:r>
                              <w:t>North Adult Courts</w:t>
                            </w:r>
                            <w:r w:rsidRPr="00195523">
                              <w:t xml:space="preserve"> between January 2017 and December 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5E9AC8" id="Text Box 215" o:spid="_x0000_s1067" type="#_x0000_t202" style="position:absolute;margin-left:488.8pt;margin-top:79.1pt;width:540pt;height:30.9pt;z-index:-2553492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" stroked="f">
                <v:textbox style="mso-fit-shape-to-text:t" inset="0,0,0,0">
                  <w:txbxContent>
                    <w:p w14:paraId="22F8F7F6" w14:textId="5501A3F9" w:rsidR="00A56EB4" w:rsidRPr="0063408E" w:rsidRDefault="00A56EB4" w:rsidP="00634FCD">
                      <w:pPr>
                        <w:pStyle w:val="Caption"/>
                      </w:pPr>
                      <w:r>
                        <w:rPr>
                          <w:b/>
                          <w:bCs/>
                        </w:rPr>
                        <w:t>Table 6</w:t>
                      </w:r>
                      <w:r w:rsidRPr="00B63B81">
                        <w:rPr>
                          <w:b/>
                          <w:bCs/>
                        </w:rPr>
                        <w:t>.</w:t>
                      </w:r>
                      <w:r>
                        <w:t xml:space="preserve"> Number of attendee </w:t>
                      </w:r>
                      <w:r w:rsidRPr="00195523">
                        <w:t>households in various income categories, stratified by family size and minority status, at</w:t>
                      </w:r>
                      <w:r>
                        <w:t xml:space="preserve"> the</w:t>
                      </w:r>
                      <w:r w:rsidRPr="00195523">
                        <w:t xml:space="preserve"> </w:t>
                      </w:r>
                      <w:r>
                        <w:t>North Adult Courts</w:t>
                      </w:r>
                      <w:r w:rsidRPr="00195523">
                        <w:t xml:space="preserve"> between January 2017 and December 2018. </w:t>
                      </w:r>
                    </w:p>
                  </w:txbxContent>
                </v:textbox>
                <w10:wrap type="tight" anchorx="margin" anchory="page"/>
              </v:shape>
            </w:pict>
          </mc:Fallback>
        </mc:AlternateContent>
      </w:r>
      <w:r>
        <w:rPr>
          <w:noProof/>
          <w:lang w:val="en-US"/>
        </w:rPr>
        <w:drawing>
          <wp:anchor distT="0" distB="0" distL="114300" distR="114300" simplePos="0" relativeHeight="248108544" behindDoc="1" locked="0" layoutInCell="1" allowOverlap="1" wp14:anchorId="2A39E8A5" wp14:editId="25D67F89">
            <wp:simplePos x="0" y="0"/>
            <wp:positionH relativeFrom="margin">
              <wp:align>right</wp:align>
            </wp:positionH>
            <wp:positionV relativeFrom="margin">
              <wp:align>center</wp:align>
            </wp:positionV>
            <wp:extent cx="6858000" cy="7349490"/>
            <wp:effectExtent l="0" t="0" r="0" b="3810"/>
            <wp:wrapTight wrapText="bothSides">
              <wp:wrapPolygon edited="0">
                <wp:start x="0" y="0"/>
                <wp:lineTo x="0" y="21555"/>
                <wp:lineTo x="21540" y="21555"/>
                <wp:lineTo x="215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858000" cy="7349490"/>
                    </a:xfrm>
                    <a:prstGeom prst="rect">
                      <a:avLst/>
                    </a:prstGeom>
                  </pic:spPr>
                </pic:pic>
              </a:graphicData>
            </a:graphic>
          </wp:anchor>
        </w:drawing>
      </w:r>
    </w:p>
    <w:p w14:paraId="34C42F37" w14:textId="346DF23E" w:rsidR="00C119B2" w:rsidRDefault="00C119B2" w:rsidP="00147C80">
      <w:pPr>
        <w:autoSpaceDE w:val="0"/>
        <w:autoSpaceDN w:val="0"/>
        <w:adjustRightInd w:val="0"/>
        <w:spacing w:after="0" w:line="240" w:lineRule="auto"/>
        <w:rPr>
          <w:rFonts w:asciiTheme="majorHAnsi" w:hAnsiTheme="majorHAnsi" w:cstheme="majorHAnsi"/>
          <w:b/>
          <w:bCs/>
        </w:rPr>
      </w:pPr>
    </w:p>
    <w:p w14:paraId="7EB0FAF4" w14:textId="77777777" w:rsidR="00AA5893" w:rsidRDefault="00717077" w:rsidP="00091386">
      <w:pPr>
        <w:pStyle w:val="NoSpacing"/>
      </w:pPr>
      <w:r>
        <w:t>T</w:t>
      </w:r>
      <w:r w:rsidR="00F87EDD">
        <w:t>he majority (76.29%) of attendees indicated that they were part of an immediate family unit of four or fewer individuals, with attendees</w:t>
      </w:r>
      <w:r w:rsidR="00A018BA">
        <w:t xml:space="preserve"> most commonly</w:t>
      </w:r>
      <w:r w:rsidR="00F87EDD">
        <w:t xml:space="preserve"> (21.10%) being part of a family of two (Figure </w:t>
      </w:r>
      <w:r>
        <w:t>19</w:t>
      </w:r>
      <w:r w:rsidR="00F87EDD">
        <w:t xml:space="preserve">). </w:t>
      </w:r>
      <w:r w:rsidR="003949FF">
        <w:lastRenderedPageBreak/>
        <w:t>Generally, a</w:t>
      </w:r>
      <w:r w:rsidR="00F87EDD">
        <w:t xml:space="preserve">n inverse relationship is observed between family size and attendee count (Figure </w:t>
      </w:r>
      <w:r>
        <w:t>19</w:t>
      </w:r>
      <w:r w:rsidR="00F87EDD">
        <w:t xml:space="preserve">). </w:t>
      </w:r>
      <w:r w:rsidR="003949FF">
        <w:t xml:space="preserve">Across all minority status groupings, </w:t>
      </w:r>
      <w:r>
        <w:t xml:space="preserve">there was a trend towards </w:t>
      </w:r>
      <w:r w:rsidR="003949FF">
        <w:t xml:space="preserve">the proportion of households making less than $15,000 </w:t>
      </w:r>
    </w:p>
    <w:p w14:paraId="79ABCFF4" w14:textId="1A5A6B83" w:rsidR="00091386" w:rsidRPr="00091386" w:rsidRDefault="003949FF" w:rsidP="00091386">
      <w:pPr>
        <w:pStyle w:val="NoSpacing"/>
      </w:pPr>
      <w:r>
        <w:t>annually increas</w:t>
      </w:r>
      <w:r w:rsidR="00717077">
        <w:t>ing</w:t>
      </w:r>
      <w:r>
        <w:t xml:space="preserve"> with family size (Figure </w:t>
      </w:r>
      <w:r w:rsidR="00717077">
        <w:t>20</w:t>
      </w:r>
      <w:r>
        <w:t xml:space="preserve">). The lowest income categories are overwhelmingly represented within </w:t>
      </w:r>
      <w:r w:rsidR="00B15DED">
        <w:t xml:space="preserve">both </w:t>
      </w:r>
      <w:r>
        <w:t xml:space="preserve">the </w:t>
      </w:r>
      <w:r w:rsidR="00B15DED">
        <w:t xml:space="preserve">Indigenous and </w:t>
      </w:r>
      <w:r>
        <w:t xml:space="preserve">newcomer grouping, across all family sizes (Figure </w:t>
      </w:r>
      <w:r w:rsidR="00717077">
        <w:t>20</w:t>
      </w:r>
      <w:r>
        <w:t xml:space="preserve">). </w:t>
      </w:r>
      <w:r w:rsidR="00F87EDD">
        <w:t xml:space="preserve"> </w:t>
      </w:r>
    </w:p>
    <w:tbl>
      <w:tblPr>
        <w:tblStyle w:val="GridTable4-Accent11"/>
        <w:tblpPr w:leftFromText="180" w:rightFromText="180" w:vertAnchor="text" w:horzAnchor="margin" w:tblpY="2433"/>
        <w:tblW w:w="0" w:type="auto"/>
        <w:tblLook w:val="04A0" w:firstRow="1" w:lastRow="0" w:firstColumn="1" w:lastColumn="0" w:noHBand="0" w:noVBand="1"/>
      </w:tblPr>
      <w:tblGrid>
        <w:gridCol w:w="2847"/>
        <w:gridCol w:w="2848"/>
      </w:tblGrid>
      <w:tr w:rsidR="00AA5893" w14:paraId="110A6735" w14:textId="77777777" w:rsidTr="00AA589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695" w:type="dxa"/>
            <w:gridSpan w:val="2"/>
          </w:tcPr>
          <w:p w14:paraId="27696312" w14:textId="3B82E393" w:rsidR="00AA5893" w:rsidRDefault="00AA5893" w:rsidP="00AA5893">
            <w:pPr>
              <w:jc w:val="center"/>
            </w:pPr>
            <w:r>
              <w:t xml:space="preserve">Indigenous Attendees at </w:t>
            </w:r>
            <w:r w:rsidR="00D811CE">
              <w:t xml:space="preserve">the </w:t>
            </w:r>
            <w:r>
              <w:t>North Adult Court</w:t>
            </w:r>
            <w:r w:rsidR="00D811CE">
              <w:t>s</w:t>
            </w:r>
          </w:p>
        </w:tc>
      </w:tr>
      <w:tr w:rsidR="00AA5893" w14:paraId="5EE2C841" w14:textId="77777777" w:rsidTr="00AA5893">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847" w:type="dxa"/>
            <w:shd w:val="clear" w:color="auto" w:fill="D9D9D9" w:themeFill="background1" w:themeFillShade="D9"/>
          </w:tcPr>
          <w:p w14:paraId="57262289" w14:textId="77777777" w:rsidR="00AA5893" w:rsidRPr="00DF7C46" w:rsidRDefault="00AA5893" w:rsidP="00AA5893">
            <w:pPr>
              <w:jc w:val="center"/>
            </w:pPr>
            <w:r w:rsidRPr="00DF7C46">
              <w:t>Family Size</w:t>
            </w:r>
          </w:p>
        </w:tc>
        <w:tc>
          <w:tcPr>
            <w:tcW w:w="2848" w:type="dxa"/>
            <w:shd w:val="clear" w:color="auto" w:fill="D9D9D9" w:themeFill="background1" w:themeFillShade="D9"/>
          </w:tcPr>
          <w:p w14:paraId="6D07CA24" w14:textId="77777777" w:rsidR="00AA5893" w:rsidRPr="00DF7C46" w:rsidRDefault="00AA5893" w:rsidP="00AA5893">
            <w:pPr>
              <w:jc w:val="center"/>
              <w:cnfStyle w:val="000000100000" w:firstRow="0" w:lastRow="0" w:firstColumn="0" w:lastColumn="0" w:oddVBand="0" w:evenVBand="0" w:oddHBand="1" w:evenHBand="0" w:firstRowFirstColumn="0" w:firstRowLastColumn="0" w:lastRowFirstColumn="0" w:lastRowLastColumn="0"/>
              <w:rPr>
                <w:b/>
                <w:bCs/>
              </w:rPr>
            </w:pPr>
            <w:r w:rsidRPr="00DF7C46">
              <w:rPr>
                <w:b/>
                <w:bCs/>
              </w:rPr>
              <w:t xml:space="preserve">Odds Ratio for Living Below the Market Basket Measure </w:t>
            </w:r>
            <w:r>
              <w:rPr>
                <w:b/>
                <w:bCs/>
              </w:rPr>
              <w:t>for Rural AB</w:t>
            </w:r>
          </w:p>
        </w:tc>
      </w:tr>
      <w:tr w:rsidR="00AA5893" w14:paraId="278372A5" w14:textId="77777777" w:rsidTr="00AA5893">
        <w:trPr>
          <w:trHeight w:val="348"/>
        </w:trPr>
        <w:tc>
          <w:tcPr>
            <w:cnfStyle w:val="001000000000" w:firstRow="0" w:lastRow="0" w:firstColumn="1" w:lastColumn="0" w:oddVBand="0" w:evenVBand="0" w:oddHBand="0" w:evenHBand="0" w:firstRowFirstColumn="0" w:firstRowLastColumn="0" w:lastRowFirstColumn="0" w:lastRowLastColumn="0"/>
            <w:tcW w:w="2847" w:type="dxa"/>
          </w:tcPr>
          <w:p w14:paraId="3D294526" w14:textId="77777777" w:rsidR="00AA5893" w:rsidRPr="00DF7C46" w:rsidRDefault="00AA5893" w:rsidP="00AA5893">
            <w:pPr>
              <w:jc w:val="center"/>
              <w:rPr>
                <w:b w:val="0"/>
                <w:bCs w:val="0"/>
              </w:rPr>
            </w:pPr>
            <w:r>
              <w:rPr>
                <w:b w:val="0"/>
                <w:bCs w:val="0"/>
              </w:rPr>
              <w:t>1</w:t>
            </w:r>
          </w:p>
        </w:tc>
        <w:tc>
          <w:tcPr>
            <w:tcW w:w="2848" w:type="dxa"/>
          </w:tcPr>
          <w:p w14:paraId="734E8CFB" w14:textId="77777777" w:rsidR="00AA5893" w:rsidRPr="00DF7C46" w:rsidRDefault="00AA5893" w:rsidP="00AA5893">
            <w:pPr>
              <w:jc w:val="center"/>
              <w:cnfStyle w:val="000000000000" w:firstRow="0" w:lastRow="0" w:firstColumn="0" w:lastColumn="0" w:oddVBand="0" w:evenVBand="0" w:oddHBand="0" w:evenHBand="0" w:firstRowFirstColumn="0" w:firstRowLastColumn="0" w:lastRowFirstColumn="0" w:lastRowLastColumn="0"/>
            </w:pPr>
            <w:r>
              <w:t>5.09</w:t>
            </w:r>
          </w:p>
        </w:tc>
      </w:tr>
      <w:tr w:rsidR="00AA5893" w14:paraId="489F2A2D" w14:textId="77777777" w:rsidTr="00AA589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847" w:type="dxa"/>
          </w:tcPr>
          <w:p w14:paraId="78D1E859" w14:textId="77777777" w:rsidR="00AA5893" w:rsidRPr="00DF7C46" w:rsidRDefault="00AA5893" w:rsidP="00AA5893">
            <w:pPr>
              <w:jc w:val="center"/>
              <w:rPr>
                <w:b w:val="0"/>
                <w:bCs w:val="0"/>
              </w:rPr>
            </w:pPr>
            <w:r>
              <w:rPr>
                <w:b w:val="0"/>
                <w:bCs w:val="0"/>
              </w:rPr>
              <w:t>3</w:t>
            </w:r>
          </w:p>
        </w:tc>
        <w:tc>
          <w:tcPr>
            <w:tcW w:w="2848" w:type="dxa"/>
          </w:tcPr>
          <w:p w14:paraId="27CB9851" w14:textId="77777777" w:rsidR="00AA5893" w:rsidRPr="00DF7C46" w:rsidRDefault="00AA5893" w:rsidP="00AA5893">
            <w:pPr>
              <w:jc w:val="center"/>
              <w:cnfStyle w:val="000000100000" w:firstRow="0" w:lastRow="0" w:firstColumn="0" w:lastColumn="0" w:oddVBand="0" w:evenVBand="0" w:oddHBand="1" w:evenHBand="0" w:firstRowFirstColumn="0" w:firstRowLastColumn="0" w:lastRowFirstColumn="0" w:lastRowLastColumn="0"/>
            </w:pPr>
            <w:r>
              <w:t>15.63</w:t>
            </w:r>
          </w:p>
        </w:tc>
      </w:tr>
      <w:tr w:rsidR="00AA5893" w14:paraId="51D407EB" w14:textId="77777777" w:rsidTr="00AA5893">
        <w:trPr>
          <w:trHeight w:val="321"/>
        </w:trPr>
        <w:tc>
          <w:tcPr>
            <w:cnfStyle w:val="001000000000" w:firstRow="0" w:lastRow="0" w:firstColumn="1" w:lastColumn="0" w:oddVBand="0" w:evenVBand="0" w:oddHBand="0" w:evenHBand="0" w:firstRowFirstColumn="0" w:firstRowLastColumn="0" w:lastRowFirstColumn="0" w:lastRowLastColumn="0"/>
            <w:tcW w:w="2847" w:type="dxa"/>
          </w:tcPr>
          <w:p w14:paraId="1D21D685" w14:textId="77777777" w:rsidR="00AA5893" w:rsidRPr="00DF7C46" w:rsidRDefault="00AA5893" w:rsidP="00AA5893">
            <w:pPr>
              <w:jc w:val="center"/>
              <w:rPr>
                <w:b w:val="0"/>
                <w:bCs w:val="0"/>
              </w:rPr>
            </w:pPr>
            <w:r>
              <w:rPr>
                <w:b w:val="0"/>
                <w:bCs w:val="0"/>
              </w:rPr>
              <w:t>4</w:t>
            </w:r>
          </w:p>
        </w:tc>
        <w:tc>
          <w:tcPr>
            <w:tcW w:w="2848" w:type="dxa"/>
          </w:tcPr>
          <w:p w14:paraId="362F5B72" w14:textId="77777777" w:rsidR="00AA5893" w:rsidRPr="00DF7C46" w:rsidRDefault="00AA5893" w:rsidP="00AA5893">
            <w:pPr>
              <w:jc w:val="center"/>
              <w:cnfStyle w:val="000000000000" w:firstRow="0" w:lastRow="0" w:firstColumn="0" w:lastColumn="0" w:oddVBand="0" w:evenVBand="0" w:oddHBand="0" w:evenHBand="0" w:firstRowFirstColumn="0" w:firstRowLastColumn="0" w:lastRowFirstColumn="0" w:lastRowLastColumn="0"/>
            </w:pPr>
            <w:r>
              <w:t>3.10</w:t>
            </w:r>
          </w:p>
        </w:tc>
      </w:tr>
    </w:tbl>
    <w:p w14:paraId="6BC3FF75" w14:textId="29BD7F31" w:rsidR="00A376CF" w:rsidRDefault="00FA590D" w:rsidP="002A2368">
      <w:pPr>
        <w:pStyle w:val="NoSpacing"/>
      </w:pPr>
      <w:r>
        <w:rPr>
          <w:noProof/>
        </w:rPr>
        <mc:AlternateContent>
          <mc:Choice Requires="wps">
            <w:drawing>
              <wp:anchor distT="45720" distB="45720" distL="114300" distR="114300" simplePos="0" relativeHeight="256441856" behindDoc="0" locked="0" layoutInCell="1" allowOverlap="1" wp14:anchorId="443B578C" wp14:editId="30E7783F">
                <wp:simplePos x="0" y="0"/>
                <wp:positionH relativeFrom="column">
                  <wp:posOffset>4458401</wp:posOffset>
                </wp:positionH>
                <wp:positionV relativeFrom="paragraph">
                  <wp:posOffset>3574415</wp:posOffset>
                </wp:positionV>
                <wp:extent cx="2291715" cy="1341755"/>
                <wp:effectExtent l="0" t="0" r="0" b="0"/>
                <wp:wrapSquare wrapText="bothSides"/>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341755"/>
                        </a:xfrm>
                        <a:prstGeom prst="rect">
                          <a:avLst/>
                        </a:prstGeom>
                        <a:solidFill>
                          <a:schemeClr val="accent2"/>
                        </a:solidFill>
                        <a:ln w="9525">
                          <a:noFill/>
                          <a:miter lim="800000"/>
                          <a:headEnd/>
                          <a:tailEnd/>
                        </a:ln>
                      </wps:spPr>
                      <wps:txbx>
                        <w:txbxContent>
                          <w:p w14:paraId="0264F8B2" w14:textId="39D8843B" w:rsidR="00A56EB4" w:rsidRDefault="00A56EB4" w:rsidP="00FA590D">
                            <w:pPr>
                              <w:pStyle w:val="Caption"/>
                            </w:pPr>
                            <w:r w:rsidRPr="00913601">
                              <w:rPr>
                                <w:b/>
                                <w:bCs/>
                              </w:rPr>
                              <w:t xml:space="preserve">Figure </w:t>
                            </w:r>
                            <w:r>
                              <w:rPr>
                                <w:b/>
                                <w:bCs/>
                              </w:rPr>
                              <w:t xml:space="preserve">21. </w:t>
                            </w:r>
                            <w:r>
                              <w:t>A pie chart of the type of offence preceding defendants’ administration charges, as observed in the North Adult Courts between January 2017 and December 2018, from a sample size of 122. Slice size represents the relative proportion of respondents convicted of a given offence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B578C" id="_x0000_s1068" type="#_x0000_t202" style="position:absolute;margin-left:351.05pt;margin-top:281.45pt;width:180.45pt;height:105.65pt;z-index:2564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" fillcolor="white [3205]" stroked="f">
                <v:textbox>
                  <w:txbxContent>
                    <w:p w14:paraId="0264F8B2" w14:textId="39D8843B" w:rsidR="00A56EB4" w:rsidRDefault="00A56EB4" w:rsidP="00FA590D">
                      <w:pPr>
                        <w:pStyle w:val="Caption"/>
                      </w:pPr>
                      <w:r w:rsidRPr="00913601">
                        <w:rPr>
                          <w:b/>
                          <w:bCs/>
                        </w:rPr>
                        <w:t xml:space="preserve">Figure </w:t>
                      </w:r>
                      <w:r>
                        <w:rPr>
                          <w:b/>
                          <w:bCs/>
                        </w:rPr>
                        <w:t xml:space="preserve">21. </w:t>
                      </w:r>
                      <w:r>
                        <w:t>A pie chart of the type of offence preceding defendants’ administration charges, as observed in the North Adult Courts between January 2017 and December 2018, from a sample size of 122. Slice size represents the relative proportion of respondents convicted of a given offence type.</w:t>
                      </w:r>
                    </w:p>
                  </w:txbxContent>
                </v:textbox>
                <w10:wrap type="square"/>
              </v:shape>
            </w:pict>
          </mc:Fallback>
        </mc:AlternateContent>
      </w:r>
      <w:r w:rsidR="00AA5893">
        <w:rPr>
          <w:noProof/>
          <w:lang w:val="en-US"/>
        </w:rPr>
        <mc:AlternateContent>
          <mc:Choice Requires="wps">
            <w:drawing>
              <wp:anchor distT="0" distB="0" distL="114300" distR="114300" simplePos="0" relativeHeight="252833280" behindDoc="1" locked="0" layoutInCell="1" allowOverlap="1" wp14:anchorId="6A6211AB" wp14:editId="3AFCDBAF">
                <wp:simplePos x="0" y="0"/>
                <wp:positionH relativeFrom="margin">
                  <wp:posOffset>-41275</wp:posOffset>
                </wp:positionH>
                <wp:positionV relativeFrom="page">
                  <wp:posOffset>2220381</wp:posOffset>
                </wp:positionV>
                <wp:extent cx="3606800" cy="617220"/>
                <wp:effectExtent l="0" t="0" r="0" b="0"/>
                <wp:wrapTight wrapText="bothSides">
                  <wp:wrapPolygon edited="0">
                    <wp:start x="0" y="0"/>
                    <wp:lineTo x="0" y="20667"/>
                    <wp:lineTo x="21448" y="20667"/>
                    <wp:lineTo x="21448" y="0"/>
                    <wp:lineTo x="0" y="0"/>
                  </wp:wrapPolygon>
                </wp:wrapTight>
                <wp:docPr id="157" name="Text Box 157"/>
                <wp:cNvGraphicFramePr/>
                <a:graphic xmlns:a="http://schemas.openxmlformats.org/drawingml/2006/main">
                  <a:graphicData uri="http://schemas.microsoft.com/office/word/2010/wordprocessingShape">
                    <wps:wsp>
                      <wps:cNvSpPr txBox="1"/>
                      <wps:spPr>
                        <a:xfrm>
                          <a:off x="0" y="0"/>
                          <a:ext cx="3606800" cy="617220"/>
                        </a:xfrm>
                        <a:prstGeom prst="rect">
                          <a:avLst/>
                        </a:prstGeom>
                        <a:solidFill>
                          <a:prstClr val="white"/>
                        </a:solidFill>
                        <a:ln>
                          <a:noFill/>
                        </a:ln>
                      </wps:spPr>
                      <wps:txbx>
                        <w:txbxContent>
                          <w:p w14:paraId="7E6A959C" w14:textId="04EE832B" w:rsidR="00A56EB4" w:rsidRPr="0063408E" w:rsidRDefault="00A56EB4" w:rsidP="00A37D5F">
                            <w:pPr>
                              <w:pStyle w:val="Caption"/>
                            </w:pPr>
                            <w:r>
                              <w:rPr>
                                <w:b/>
                                <w:bCs/>
                              </w:rPr>
                              <w:t>Table 7</w:t>
                            </w:r>
                            <w:r w:rsidRPr="00B63B81">
                              <w:rPr>
                                <w:b/>
                                <w:bCs/>
                              </w:rPr>
                              <w:t>.</w:t>
                            </w:r>
                            <w:r>
                              <w:t xml:space="preserve"> Odds of Indigenous attendees in the North Adult Courts, from January 2017-December 2018, living below the Market Basket Measure (MBM) value for Calgary, relative to attendees without minority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11AB" id="Text Box 157" o:spid="_x0000_s1069" type="#_x0000_t202" style="position:absolute;margin-left:-3.25pt;margin-top:174.85pt;width:284pt;height:48.6pt;z-index:-250483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" stroked="f">
                <v:textbox inset="0,0,0,0">
                  <w:txbxContent>
                    <w:p w14:paraId="7E6A959C" w14:textId="04EE832B" w:rsidR="00A56EB4" w:rsidRPr="0063408E" w:rsidRDefault="00A56EB4" w:rsidP="00A37D5F">
                      <w:pPr>
                        <w:pStyle w:val="Caption"/>
                      </w:pPr>
                      <w:r>
                        <w:rPr>
                          <w:b/>
                          <w:bCs/>
                        </w:rPr>
                        <w:t>Table 7</w:t>
                      </w:r>
                      <w:r w:rsidRPr="00B63B81">
                        <w:rPr>
                          <w:b/>
                          <w:bCs/>
                        </w:rPr>
                        <w:t>.</w:t>
                      </w:r>
                      <w:r>
                        <w:t xml:space="preserve"> Odds of Indigenous attendees in the North Adult Courts, from January 2017-December 2018, living below the Market Basket Measure (MBM) value for Calgary, relative to attendees without minority status.</w:t>
                      </w:r>
                    </w:p>
                  </w:txbxContent>
                </v:textbox>
                <w10:wrap type="tight" anchorx="margin" anchory="page"/>
              </v:shape>
            </w:pict>
          </mc:Fallback>
        </mc:AlternateContent>
      </w:r>
      <w:r w:rsidR="0090047C">
        <w:t>T</w:t>
      </w:r>
      <w:r w:rsidR="00F87EDD">
        <w:t xml:space="preserve">here exists an observable general trend towards groups with minority status demonstrating a greater proportion of individuals with an annual household income of less than $15,000, and a lesser proportion with more than $55,0000, in contrast to individuals without minority status (Figure </w:t>
      </w:r>
      <w:r w:rsidR="00717077">
        <w:t>20</w:t>
      </w:r>
      <w:r w:rsidR="00F87EDD">
        <w:t xml:space="preserve">, Table </w:t>
      </w:r>
      <w:r w:rsidR="00717077">
        <w:t>6</w:t>
      </w:r>
      <w:r w:rsidR="00F87EDD">
        <w:t xml:space="preserve">). This observation is corroborated by the odds ratio values for Indigenous families’ annual household income, relative to families without minority status. The odds of Indigenous families of </w:t>
      </w:r>
      <w:r w:rsidR="00B15DED">
        <w:t>one, three, and four</w:t>
      </w:r>
      <w:r w:rsidR="00F87EDD">
        <w:t xml:space="preserve"> members falling below the Market Basket Measure (</w:t>
      </w:r>
      <w:r w:rsidR="00917002">
        <w:t>MBM, Appendix 9.1; Statistics Canada, 2015</w:t>
      </w:r>
      <w:r w:rsidR="00F87EDD">
        <w:t xml:space="preserve">) value for a living income in </w:t>
      </w:r>
      <w:r w:rsidR="001B7927">
        <w:t>rural Alberta</w:t>
      </w:r>
      <w:r w:rsidR="00F87EDD">
        <w:t xml:space="preserve"> are </w:t>
      </w:r>
      <w:r w:rsidR="00B15DED">
        <w:t xml:space="preserve">5.09X, </w:t>
      </w:r>
      <w:r w:rsidR="001B7927">
        <w:t>15.63</w:t>
      </w:r>
      <w:r w:rsidR="00B15DED">
        <w:t xml:space="preserve">X, and 3.10X </w:t>
      </w:r>
      <w:r w:rsidR="00F87EDD">
        <w:t>that of non-Indigenous families of a comparable size, respectively</w:t>
      </w:r>
      <w:r w:rsidR="0031403F">
        <w:t xml:space="preserve"> (Table 7)</w:t>
      </w:r>
      <w:r w:rsidR="00F87EDD">
        <w:t xml:space="preserve">. </w:t>
      </w:r>
      <w:r w:rsidR="00B15DED">
        <w:t xml:space="preserve">No values were calculated for families of two or five, owing to </w:t>
      </w:r>
      <w:r w:rsidR="0021238D">
        <w:t>a deficit of</w:t>
      </w:r>
      <w:r w:rsidR="00B15DED">
        <w:t xml:space="preserve"> individuals living abo</w:t>
      </w:r>
      <w:r w:rsidR="0021238D">
        <w:t>ve</w:t>
      </w:r>
      <w:r w:rsidR="00B15DED">
        <w:t xml:space="preserve"> </w:t>
      </w:r>
      <w:r w:rsidR="0021238D">
        <w:t xml:space="preserve">the </w:t>
      </w:r>
      <w:r w:rsidR="00B15DED">
        <w:t xml:space="preserve">MBM. </w:t>
      </w:r>
      <w:r w:rsidR="00F87EDD">
        <w:t xml:space="preserve">These values are artificially depressed, owing to limitations associated with data collection. Counts are derived from preestablished income categories (discrete variables), necessitating that categories inclusive of MBM values be excluded. This excludes families whose income falls marginally below the MBM values. Odds ratios have been related to a specific value, such that a group has ‘X odds of being below the appropriate MBM value by at least $Y’. For further information on the calculation and interpretation of these values, please see Appendix </w:t>
      </w:r>
      <w:r w:rsidR="00A0269C">
        <w:t>9.2</w:t>
      </w:r>
      <w:r w:rsidR="00F87EDD">
        <w:t>.</w:t>
      </w:r>
    </w:p>
    <w:p w14:paraId="722463A9" w14:textId="2149783E" w:rsidR="00BD33B2" w:rsidRPr="00A376CF" w:rsidRDefault="00FA590D" w:rsidP="00A376CF">
      <w:pPr>
        <w:pStyle w:val="Caption"/>
      </w:pPr>
      <w:r>
        <w:rPr>
          <w:noProof/>
          <w:lang w:val="en-US"/>
        </w:rPr>
        <w:drawing>
          <wp:anchor distT="0" distB="0" distL="114300" distR="114300" simplePos="0" relativeHeight="252798464" behindDoc="1" locked="0" layoutInCell="1" allowOverlap="1" wp14:anchorId="1C95C7FE" wp14:editId="11849767">
            <wp:simplePos x="0" y="0"/>
            <wp:positionH relativeFrom="margin">
              <wp:posOffset>1270</wp:posOffset>
            </wp:positionH>
            <wp:positionV relativeFrom="page">
              <wp:posOffset>4817069</wp:posOffset>
            </wp:positionV>
            <wp:extent cx="4354830" cy="2256790"/>
            <wp:effectExtent l="0" t="0" r="7620" b="0"/>
            <wp:wrapTight wrapText="bothSides">
              <wp:wrapPolygon edited="0">
                <wp:start x="0" y="0"/>
                <wp:lineTo x="0" y="21333"/>
                <wp:lineTo x="21543" y="21333"/>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196" r="3703"/>
                    <a:stretch/>
                  </pic:blipFill>
                  <pic:spPr bwMode="auto">
                    <a:xfrm>
                      <a:off x="0" y="0"/>
                      <a:ext cx="4354830" cy="2256790"/>
                    </a:xfrm>
                    <a:prstGeom prst="rect">
                      <a:avLst/>
                    </a:prstGeom>
                    <a:ln>
                      <a:noFill/>
                    </a:ln>
                    <a:extLst>
                      <a:ext uri="{53640926-AAD7-44D8-BBD7-CCE9431645EC}">
                        <a14:shadowObscured xmlns:a14="http://schemas.microsoft.com/office/drawing/2010/main"/>
                      </a:ext>
                    </a:extLst>
                  </pic:spPr>
                </pic:pic>
              </a:graphicData>
            </a:graphic>
          </wp:anchor>
        </w:drawing>
      </w:r>
    </w:p>
    <w:p w14:paraId="79104D11" w14:textId="2C6AA099" w:rsidR="00BD33B2" w:rsidRDefault="00443BB4" w:rsidP="00BD33B2">
      <w:pPr>
        <w:autoSpaceDE w:val="0"/>
        <w:autoSpaceDN w:val="0"/>
        <w:adjustRightInd w:val="0"/>
        <w:spacing w:after="0" w:line="400" w:lineRule="atLeast"/>
        <w:rPr>
          <w:rFonts w:ascii="Times New Roman" w:hAnsi="Times New Roman" w:cs="Times New Roman"/>
          <w:sz w:val="24"/>
          <w:szCs w:val="24"/>
        </w:rPr>
      </w:pPr>
      <w:r>
        <w:rPr>
          <w:noProof/>
          <w:lang w:val="en-US"/>
        </w:rPr>
        <w:lastRenderedPageBreak/>
        <w:drawing>
          <wp:anchor distT="0" distB="0" distL="114300" distR="114300" simplePos="0" relativeHeight="252925440" behindDoc="1" locked="0" layoutInCell="1" allowOverlap="1" wp14:anchorId="2C1E9C4F" wp14:editId="26B10131">
            <wp:simplePos x="0" y="0"/>
            <wp:positionH relativeFrom="margin">
              <wp:align>left</wp:align>
            </wp:positionH>
            <wp:positionV relativeFrom="page">
              <wp:posOffset>5245100</wp:posOffset>
            </wp:positionV>
            <wp:extent cx="6648450" cy="3581400"/>
            <wp:effectExtent l="0" t="0" r="0" b="0"/>
            <wp:wrapTight wrapText="bothSides">
              <wp:wrapPolygon edited="0">
                <wp:start x="0" y="0"/>
                <wp:lineTo x="0" y="21485"/>
                <wp:lineTo x="21538" y="21485"/>
                <wp:lineTo x="21538"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2133" b="3156"/>
                    <a:stretch/>
                  </pic:blipFill>
                  <pic:spPr bwMode="auto">
                    <a:xfrm>
                      <a:off x="0" y="0"/>
                      <a:ext cx="6648450" cy="3581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25552" w:rsidRPr="00325552">
        <w:rPr>
          <w:rFonts w:ascii="Times New Roman" w:hAnsi="Times New Roman" w:cs="Times New Roman"/>
          <w:noProof/>
          <w:sz w:val="24"/>
          <w:szCs w:val="24"/>
          <w:lang w:val="en-US"/>
        </w:rPr>
        <mc:AlternateContent>
          <mc:Choice Requires="wps">
            <w:drawing>
              <wp:anchor distT="45720" distB="45720" distL="114300" distR="114300" simplePos="0" relativeHeight="252894720" behindDoc="1" locked="0" layoutInCell="1" allowOverlap="1" wp14:anchorId="426F061A" wp14:editId="6F87862C">
                <wp:simplePos x="0" y="0"/>
                <wp:positionH relativeFrom="margin">
                  <wp:align>right</wp:align>
                </wp:positionH>
                <wp:positionV relativeFrom="page">
                  <wp:posOffset>8775700</wp:posOffset>
                </wp:positionV>
                <wp:extent cx="6832600" cy="482600"/>
                <wp:effectExtent l="0" t="0" r="6350" b="0"/>
                <wp:wrapTight wrapText="bothSides">
                  <wp:wrapPolygon edited="0">
                    <wp:start x="0" y="0"/>
                    <wp:lineTo x="0" y="20463"/>
                    <wp:lineTo x="21560" y="20463"/>
                    <wp:lineTo x="21560" y="0"/>
                    <wp:lineTo x="0" y="0"/>
                  </wp:wrapPolygon>
                </wp:wrapTight>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482600"/>
                        </a:xfrm>
                        <a:prstGeom prst="rect">
                          <a:avLst/>
                        </a:prstGeom>
                        <a:solidFill>
                          <a:srgbClr val="FFFFFF"/>
                        </a:solidFill>
                        <a:ln w="9525">
                          <a:noFill/>
                          <a:miter lim="800000"/>
                          <a:headEnd/>
                          <a:tailEnd/>
                        </a:ln>
                      </wps:spPr>
                      <wps:txbx>
                        <w:txbxContent>
                          <w:p w14:paraId="79668050" w14:textId="199246B7" w:rsidR="00A56EB4" w:rsidRPr="00325552" w:rsidRDefault="00A56EB4" w:rsidP="00325552">
                            <w:pPr>
                              <w:pStyle w:val="Caption"/>
                              <w:rPr>
                                <w:highlight w:val="yellow"/>
                              </w:rPr>
                            </w:pPr>
                            <w:r w:rsidRPr="00325552">
                              <w:rPr>
                                <w:b/>
                                <w:bCs/>
                              </w:rPr>
                              <w:t xml:space="preserve">Figure </w:t>
                            </w:r>
                            <w:r>
                              <w:rPr>
                                <w:b/>
                                <w:bCs/>
                              </w:rPr>
                              <w:t>22</w:t>
                            </w:r>
                            <w:r w:rsidRPr="00325552">
                              <w:t xml:space="preserve">. A bar graph of the frequency of various types of administration charges for defendants without minority status, as observed in </w:t>
                            </w:r>
                            <w:r>
                              <w:t>North Adult Courts</w:t>
                            </w:r>
                            <w:r w:rsidRPr="00325552">
                              <w:t xml:space="preserve"> between January 2017 and December 2018, from a sample size of 272. Bar height corresponds to the number of respondents with a given charge (y-axis), with relative proportions of charge type categories within the bar.</w:t>
                            </w:r>
                          </w:p>
                          <w:p w14:paraId="7D6C8B49" w14:textId="5FED927D" w:rsidR="00A56EB4" w:rsidRPr="00325552"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F061A" id="_x0000_s1070" type="#_x0000_t202" style="position:absolute;margin-left:486.8pt;margin-top:691pt;width:538pt;height:38pt;z-index:-2504217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" stroked="f">
                <v:textbox>
                  <w:txbxContent>
                    <w:p w14:paraId="79668050" w14:textId="199246B7" w:rsidR="00A56EB4" w:rsidRPr="00325552" w:rsidRDefault="00A56EB4" w:rsidP="00325552">
                      <w:pPr>
                        <w:pStyle w:val="Caption"/>
                        <w:rPr>
                          <w:highlight w:val="yellow"/>
                        </w:rPr>
                      </w:pPr>
                      <w:r w:rsidRPr="00325552">
                        <w:rPr>
                          <w:b/>
                          <w:bCs/>
                        </w:rPr>
                        <w:t xml:space="preserve">Figure </w:t>
                      </w:r>
                      <w:r>
                        <w:rPr>
                          <w:b/>
                          <w:bCs/>
                        </w:rPr>
                        <w:t>22</w:t>
                      </w:r>
                      <w:r w:rsidRPr="00325552">
                        <w:t xml:space="preserve">. A bar graph of the frequency of various types of administration charges for defendants without minority status, as observed in </w:t>
                      </w:r>
                      <w:r>
                        <w:t>North Adult Courts</w:t>
                      </w:r>
                      <w:r w:rsidRPr="00325552">
                        <w:t xml:space="preserve"> between January 2017 and December 2018, from a sample size of 272. Bar height corresponds to the number of respondents with a given charge (y-axis), with relative proportions of charge type categories within the bar.</w:t>
                      </w:r>
                    </w:p>
                    <w:p w14:paraId="7D6C8B49" w14:textId="5FED927D" w:rsidR="00A56EB4" w:rsidRPr="00325552" w:rsidRDefault="00A56EB4"/>
                  </w:txbxContent>
                </v:textbox>
                <w10:wrap type="tight" anchorx="margin" anchory="page"/>
              </v:shape>
            </w:pict>
          </mc:Fallback>
        </mc:AlternateContent>
      </w:r>
      <w:r w:rsidR="00325552">
        <w:rPr>
          <w:noProof/>
          <w:lang w:val="en-US"/>
        </w:rPr>
        <mc:AlternateContent>
          <mc:Choice Requires="wps">
            <w:drawing>
              <wp:anchor distT="0" distB="0" distL="114300" distR="114300" simplePos="0" relativeHeight="250693120" behindDoc="1" locked="0" layoutInCell="1" allowOverlap="1" wp14:anchorId="5B5EE59D" wp14:editId="3D3329DD">
                <wp:simplePos x="0" y="0"/>
                <wp:positionH relativeFrom="margin">
                  <wp:align>right</wp:align>
                </wp:positionH>
                <wp:positionV relativeFrom="page">
                  <wp:posOffset>4798695</wp:posOffset>
                </wp:positionV>
                <wp:extent cx="6851015" cy="525145"/>
                <wp:effectExtent l="0" t="0" r="6985" b="8255"/>
                <wp:wrapTight wrapText="bothSides">
                  <wp:wrapPolygon edited="0">
                    <wp:start x="0" y="0"/>
                    <wp:lineTo x="0" y="21156"/>
                    <wp:lineTo x="21562" y="21156"/>
                    <wp:lineTo x="21562"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851015" cy="525145"/>
                        </a:xfrm>
                        <a:prstGeom prst="rect">
                          <a:avLst/>
                        </a:prstGeom>
                        <a:solidFill>
                          <a:prstClr val="white"/>
                        </a:solidFill>
                        <a:ln>
                          <a:noFill/>
                        </a:ln>
                      </wps:spPr>
                      <wps:txbx>
                        <w:txbxContent>
                          <w:p w14:paraId="384F78AB" w14:textId="634CEFA4" w:rsidR="00A56EB4" w:rsidRPr="00E04F82" w:rsidRDefault="00A56EB4" w:rsidP="00AE33EB">
                            <w:pPr>
                              <w:pStyle w:val="Caption"/>
                              <w:rPr>
                                <w:highlight w:val="yellow"/>
                              </w:rPr>
                            </w:pPr>
                            <w:r w:rsidRPr="00B63B81">
                              <w:rPr>
                                <w:b/>
                                <w:bCs/>
                              </w:rPr>
                              <w:t xml:space="preserve">Figure </w:t>
                            </w:r>
                            <w:r>
                              <w:rPr>
                                <w:b/>
                                <w:bCs/>
                              </w:rPr>
                              <w:t>21</w:t>
                            </w:r>
                            <w:r w:rsidRPr="00E04F82">
                              <w:t xml:space="preserve">. A bar graph of </w:t>
                            </w:r>
                            <w:r>
                              <w:t>the frequency of various types of administration charges,</w:t>
                            </w:r>
                            <w:r w:rsidRPr="00E04F82">
                              <w:t xml:space="preserve"> as observed in </w:t>
                            </w:r>
                            <w:r>
                              <w:t>the North Adult Courts</w:t>
                            </w:r>
                            <w:r w:rsidRPr="00E04F82">
                              <w:t xml:space="preserve"> between January 2017 and December 201</w:t>
                            </w:r>
                            <w:r>
                              <w:t>8</w:t>
                            </w:r>
                            <w:r w:rsidRPr="00E04F82">
                              <w:t xml:space="preserve">, from a sample size of </w:t>
                            </w:r>
                            <w:r>
                              <w:t>406</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5EE59D" id="Text Box 28" o:spid="_x0000_s1071" type="#_x0000_t202" style="position:absolute;margin-left:488.25pt;margin-top:377.85pt;width:539.45pt;height:41.35pt;z-index:-25262336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" stroked="f">
                <v:textbox style="mso-fit-shape-to-text:t" inset="0,0,0,0">
                  <w:txbxContent>
                    <w:p w14:paraId="384F78AB" w14:textId="634CEFA4" w:rsidR="00A56EB4" w:rsidRPr="00E04F82" w:rsidRDefault="00A56EB4" w:rsidP="00AE33EB">
                      <w:pPr>
                        <w:pStyle w:val="Caption"/>
                        <w:rPr>
                          <w:highlight w:val="yellow"/>
                        </w:rPr>
                      </w:pPr>
                      <w:r w:rsidRPr="00B63B81">
                        <w:rPr>
                          <w:b/>
                          <w:bCs/>
                        </w:rPr>
                        <w:t xml:space="preserve">Figure </w:t>
                      </w:r>
                      <w:r>
                        <w:rPr>
                          <w:b/>
                          <w:bCs/>
                        </w:rPr>
                        <w:t>21</w:t>
                      </w:r>
                      <w:r w:rsidRPr="00E04F82">
                        <w:t xml:space="preserve">. A bar graph of </w:t>
                      </w:r>
                      <w:r>
                        <w:t>the frequency of various types of administration charges,</w:t>
                      </w:r>
                      <w:r w:rsidRPr="00E04F82">
                        <w:t xml:space="preserve"> as observed in </w:t>
                      </w:r>
                      <w:r>
                        <w:t>the North Adult Courts</w:t>
                      </w:r>
                      <w:r w:rsidRPr="00E04F82">
                        <w:t xml:space="preserve"> between January 2017 and December 201</w:t>
                      </w:r>
                      <w:r>
                        <w:t>8</w:t>
                      </w:r>
                      <w:r w:rsidRPr="00E04F82">
                        <w:t xml:space="preserve">, from a sample size of </w:t>
                      </w:r>
                      <w:r>
                        <w:t>406</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v:textbox>
                <w10:wrap type="tight" anchorx="margin" anchory="page"/>
              </v:shape>
            </w:pict>
          </mc:Fallback>
        </mc:AlternateContent>
      </w:r>
      <w:r w:rsidR="0013200A">
        <w:rPr>
          <w:rFonts w:ascii="Times New Roman" w:hAnsi="Times New Roman" w:cs="Times New Roman"/>
          <w:noProof/>
          <w:sz w:val="24"/>
          <w:szCs w:val="24"/>
          <w:lang w:val="en-US"/>
        </w:rPr>
        <w:drawing>
          <wp:anchor distT="0" distB="0" distL="114300" distR="114300" simplePos="0" relativeHeight="252864000" behindDoc="1" locked="0" layoutInCell="1" allowOverlap="1" wp14:anchorId="5A269B0E" wp14:editId="6ED9E211">
            <wp:simplePos x="0" y="0"/>
            <wp:positionH relativeFrom="margin">
              <wp:align>left</wp:align>
            </wp:positionH>
            <wp:positionV relativeFrom="page">
              <wp:posOffset>863600</wp:posOffset>
            </wp:positionV>
            <wp:extent cx="6692900" cy="3935095"/>
            <wp:effectExtent l="0" t="0" r="0" b="8255"/>
            <wp:wrapTight wrapText="bothSides">
              <wp:wrapPolygon edited="0">
                <wp:start x="0" y="0"/>
                <wp:lineTo x="0" y="21541"/>
                <wp:lineTo x="21518" y="21541"/>
                <wp:lineTo x="21518"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0125" cy="3939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38C45" w14:textId="6A912CD3" w:rsidR="00BD33B2" w:rsidRDefault="00BD33B2" w:rsidP="003C7129">
      <w:pPr>
        <w:autoSpaceDE w:val="0"/>
        <w:autoSpaceDN w:val="0"/>
        <w:adjustRightInd w:val="0"/>
        <w:spacing w:after="0" w:line="240" w:lineRule="auto"/>
        <w:rPr>
          <w:rFonts w:ascii="Times New Roman" w:hAnsi="Times New Roman" w:cs="Times New Roman"/>
          <w:sz w:val="24"/>
          <w:szCs w:val="24"/>
        </w:rPr>
      </w:pPr>
    </w:p>
    <w:p w14:paraId="50E8DB14" w14:textId="2CBF68DC" w:rsidR="00BD33B2" w:rsidRDefault="00745F92" w:rsidP="004A4D89">
      <w:pPr>
        <w:pStyle w:val="Caption"/>
        <w:rPr>
          <w:rFonts w:ascii="Times New Roman" w:hAnsi="Times New Roman" w:cs="Times New Roman"/>
          <w:sz w:val="24"/>
          <w:szCs w:val="24"/>
        </w:rPr>
      </w:pPr>
      <w:r>
        <w:rPr>
          <w:noProof/>
          <w:lang w:val="en-US"/>
        </w:rPr>
        <w:lastRenderedPageBreak/>
        <w:drawing>
          <wp:anchor distT="0" distB="0" distL="114300" distR="114300" simplePos="0" relativeHeight="252961280" behindDoc="1" locked="0" layoutInCell="1" allowOverlap="1" wp14:anchorId="427F581F" wp14:editId="37C29DC3">
            <wp:simplePos x="0" y="0"/>
            <wp:positionH relativeFrom="margin">
              <wp:posOffset>119751</wp:posOffset>
            </wp:positionH>
            <wp:positionV relativeFrom="page">
              <wp:posOffset>747206</wp:posOffset>
            </wp:positionV>
            <wp:extent cx="6591300" cy="3714750"/>
            <wp:effectExtent l="0" t="0" r="0" b="0"/>
            <wp:wrapTight wrapText="bothSides">
              <wp:wrapPolygon edited="0">
                <wp:start x="0" y="0"/>
                <wp:lineTo x="0" y="21489"/>
                <wp:lineTo x="21538" y="21489"/>
                <wp:lineTo x="21538"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91300" cy="3714750"/>
                    </a:xfrm>
                    <a:prstGeom prst="rect">
                      <a:avLst/>
                    </a:prstGeom>
                  </pic:spPr>
                </pic:pic>
              </a:graphicData>
            </a:graphic>
          </wp:anchor>
        </w:drawing>
      </w:r>
      <w:r w:rsidR="004A4D89" w:rsidRPr="00B63B81">
        <w:rPr>
          <w:b/>
          <w:bCs/>
        </w:rPr>
        <w:t xml:space="preserve">Figure </w:t>
      </w:r>
      <w:r w:rsidR="00A01B78">
        <w:rPr>
          <w:b/>
          <w:bCs/>
        </w:rPr>
        <w:t>23.</w:t>
      </w:r>
      <w:r w:rsidR="004A4D89" w:rsidRPr="00E04F82">
        <w:t xml:space="preserve"> A bar graph of </w:t>
      </w:r>
      <w:r w:rsidR="004A4D89">
        <w:t>the frequency of various types of administration charges for defendants who identify as Indigenous,</w:t>
      </w:r>
      <w:r w:rsidR="004A4D89" w:rsidRPr="00E04F82">
        <w:t xml:space="preserve"> as observed in </w:t>
      </w:r>
      <w:r w:rsidR="006136BE">
        <w:t xml:space="preserve">the </w:t>
      </w:r>
      <w:r w:rsidR="008D12A5">
        <w:t>North Adult Court</w:t>
      </w:r>
      <w:r w:rsidR="006136BE">
        <w:t>s</w:t>
      </w:r>
      <w:r w:rsidR="004A4D89" w:rsidRPr="00E04F82">
        <w:t xml:space="preserve"> between January 2017 and December 201</w:t>
      </w:r>
      <w:r w:rsidR="0083236B">
        <w:t>8</w:t>
      </w:r>
      <w:r w:rsidR="004A4D89" w:rsidRPr="00E04F82">
        <w:t xml:space="preserve">, from a sample size of </w:t>
      </w:r>
      <w:r w:rsidR="004A4D89">
        <w:t>130</w:t>
      </w:r>
      <w:r w:rsidR="004A4D89" w:rsidRPr="00E04F82">
        <w:t xml:space="preserve">. Bar height corresponds to the number of respondents </w:t>
      </w:r>
      <w:r w:rsidR="004A4D89">
        <w:t>with a given charge</w:t>
      </w:r>
      <w:r w:rsidR="004A4D89" w:rsidRPr="00E04F82">
        <w:t xml:space="preserve"> (y-axis), with relative proportions of </w:t>
      </w:r>
      <w:r w:rsidR="004A4D89">
        <w:t>charge type</w:t>
      </w:r>
      <w:r w:rsidR="004A4D89" w:rsidRPr="00E04F82">
        <w:t xml:space="preserve"> categories indicated within the bar.</w:t>
      </w:r>
    </w:p>
    <w:p w14:paraId="722E4FEF" w14:textId="407A4AF8" w:rsidR="00723268" w:rsidRPr="00172E76" w:rsidRDefault="00723268" w:rsidP="00723268">
      <w:r>
        <w:t xml:space="preserve">Overall, the original charges preceding an administration charge in </w:t>
      </w:r>
      <w:r w:rsidR="006136BE">
        <w:t xml:space="preserve">the </w:t>
      </w:r>
      <w:r w:rsidR="008D12A5">
        <w:t>North Adult Court</w:t>
      </w:r>
      <w:r w:rsidR="006136BE">
        <w:t>s</w:t>
      </w:r>
      <w:r>
        <w:t xml:space="preserve"> were overwhelmingly (97.54%) criminal (Figure </w:t>
      </w:r>
      <w:r w:rsidR="0083236B">
        <w:t>21</w:t>
      </w:r>
      <w:r>
        <w:t xml:space="preserve">). ‘Failure to appear’ </w:t>
      </w:r>
      <w:r w:rsidR="00BC3EDF">
        <w:t xml:space="preserve">and ‘failure to comply’ </w:t>
      </w:r>
      <w:r>
        <w:t>represented the most frequent administrative charge</w:t>
      </w:r>
      <w:r w:rsidR="00BC3EDF">
        <w:t>s</w:t>
      </w:r>
      <w:r>
        <w:t xml:space="preserve"> overall, and across individuals of </w:t>
      </w:r>
      <w:r w:rsidR="00BC3EDF">
        <w:t>Indigenous no minority status</w:t>
      </w:r>
      <w:r>
        <w:t xml:space="preserve"> (Figure </w:t>
      </w:r>
      <w:r w:rsidR="00964A14">
        <w:t>21</w:t>
      </w:r>
      <w:r>
        <w:t xml:space="preserve">). </w:t>
      </w:r>
      <w:r w:rsidR="007F7164">
        <w:t>Statistics for the newcomer group have been omitted, owing to limited data availability. In the Indigenous group t</w:t>
      </w:r>
      <w:r>
        <w:t xml:space="preserve">here existed limited deviation </w:t>
      </w:r>
      <w:r w:rsidR="00BC3EDF">
        <w:t>from the frequencies observed in individuals of no minority status</w:t>
      </w:r>
      <w:r>
        <w:t xml:space="preserve"> f</w:t>
      </w:r>
      <w:r w:rsidR="007F7164">
        <w:t xml:space="preserve">or </w:t>
      </w:r>
      <w:r>
        <w:t>the</w:t>
      </w:r>
      <w:r w:rsidR="00BC3EDF">
        <w:t xml:space="preserve"> </w:t>
      </w:r>
      <w:r>
        <w:t xml:space="preserve">frequency of administration charges for ‘failure to appear’, ‘unlawfully at large’, </w:t>
      </w:r>
      <w:r w:rsidR="00B72BC6">
        <w:t xml:space="preserve">and </w:t>
      </w:r>
      <w:r>
        <w:t>‘</w:t>
      </w:r>
      <w:r w:rsidR="00BC3EDF">
        <w:t>failure to comply</w:t>
      </w:r>
      <w:r>
        <w:t>’</w:t>
      </w:r>
      <w:r w:rsidR="00B72BC6">
        <w:t xml:space="preserve"> </w:t>
      </w:r>
      <w:r>
        <w:t xml:space="preserve">charges, demonstrating a maximum difference of </w:t>
      </w:r>
      <w:r w:rsidR="00BC3EDF">
        <w:t xml:space="preserve">1.65%, 0.33%, </w:t>
      </w:r>
      <w:r w:rsidR="00B72BC6">
        <w:t xml:space="preserve">and </w:t>
      </w:r>
      <w:r w:rsidR="00BC3EDF">
        <w:t xml:space="preserve">3.38% </w:t>
      </w:r>
      <w:r>
        <w:t xml:space="preserve">respectively (Figure </w:t>
      </w:r>
      <w:r w:rsidR="00847855">
        <w:t>23</w:t>
      </w:r>
      <w:r>
        <w:t>).</w:t>
      </w:r>
      <w:r w:rsidR="00B72BC6">
        <w:t xml:space="preserve"> A statistically significant difference</w:t>
      </w:r>
      <w:r w:rsidR="006321C9">
        <w:t xml:space="preserve"> was observed in the frequency of ‘other’ administration charges (X</w:t>
      </w:r>
      <w:r w:rsidR="006321C9" w:rsidRPr="006321C9">
        <w:rPr>
          <w:vertAlign w:val="superscript"/>
        </w:rPr>
        <w:t>2</w:t>
      </w:r>
      <w:r w:rsidR="006321C9">
        <w:t xml:space="preserve"> = 5.24, p-value = 0.02, p&lt;0.05), with indigenous court attendees demonstrating 3.50X the odds of attendees without minority status of having this charge in</w:t>
      </w:r>
      <w:r w:rsidR="006136BE">
        <w:t xml:space="preserve"> the</w:t>
      </w:r>
      <w:r w:rsidR="006321C9">
        <w:t xml:space="preserve"> </w:t>
      </w:r>
      <w:r w:rsidR="008D12A5">
        <w:t>North Adult Court</w:t>
      </w:r>
      <w:r w:rsidR="006136BE">
        <w:t>s</w:t>
      </w:r>
      <w:r w:rsidR="006321C9">
        <w:t>.</w:t>
      </w:r>
      <w:r>
        <w:t xml:space="preserve"> Notably, </w:t>
      </w:r>
      <w:r w:rsidR="00BC3EDF">
        <w:t xml:space="preserve">there was </w:t>
      </w:r>
      <w:r>
        <w:t>deviation from the ‘breach of probation</w:t>
      </w:r>
      <w:r w:rsidR="00BC3EDF">
        <w:t xml:space="preserve">’ </w:t>
      </w:r>
      <w:r>
        <w:t>charges by -</w:t>
      </w:r>
      <w:r w:rsidR="00BC3EDF">
        <w:t>16.17%</w:t>
      </w:r>
      <w:r>
        <w:t xml:space="preserve"> (Figure </w:t>
      </w:r>
      <w:r w:rsidR="00847855">
        <w:t>23</w:t>
      </w:r>
      <w:r w:rsidR="00BC3EDF">
        <w:t>)</w:t>
      </w:r>
      <w:r>
        <w:t xml:space="preserve">. </w:t>
      </w:r>
      <w:r w:rsidR="00BC3EDF">
        <w:t>Too f</w:t>
      </w:r>
      <w:r>
        <w:t xml:space="preserve">ew individuals </w:t>
      </w:r>
      <w:r w:rsidR="007F7164">
        <w:t xml:space="preserve">(1) </w:t>
      </w:r>
      <w:r>
        <w:t xml:space="preserve">in </w:t>
      </w:r>
      <w:r w:rsidR="006136BE">
        <w:t xml:space="preserve">the </w:t>
      </w:r>
      <w:r w:rsidR="008D12A5">
        <w:t>North Adult Court</w:t>
      </w:r>
      <w:r w:rsidR="006136BE">
        <w:t>s</w:t>
      </w:r>
      <w:r>
        <w:t xml:space="preserve"> demonstrated bylaws charges </w:t>
      </w:r>
      <w:r w:rsidR="00E73424">
        <w:t>to warrant</w:t>
      </w:r>
      <w:r w:rsidR="00183D9E">
        <w:t xml:space="preserve"> </w:t>
      </w:r>
      <w:r w:rsidR="002713E0">
        <w:t>further analysis</w:t>
      </w:r>
      <w:r w:rsidR="00183D9E">
        <w:t>.</w:t>
      </w:r>
    </w:p>
    <w:p w14:paraId="102967F5" w14:textId="439DFF4E" w:rsidR="00BD33B2" w:rsidRDefault="00BD33B2" w:rsidP="00BD33B2">
      <w:pPr>
        <w:autoSpaceDE w:val="0"/>
        <w:autoSpaceDN w:val="0"/>
        <w:adjustRightInd w:val="0"/>
        <w:spacing w:after="0" w:line="400" w:lineRule="atLeast"/>
        <w:rPr>
          <w:rFonts w:ascii="Times New Roman" w:hAnsi="Times New Roman" w:cs="Times New Roman"/>
          <w:sz w:val="24"/>
          <w:szCs w:val="24"/>
        </w:rPr>
      </w:pPr>
    </w:p>
    <w:p w14:paraId="71C5B211" w14:textId="32E44334" w:rsidR="00BD33B2" w:rsidRDefault="00BD33B2" w:rsidP="00BD33B2">
      <w:pPr>
        <w:autoSpaceDE w:val="0"/>
        <w:autoSpaceDN w:val="0"/>
        <w:adjustRightInd w:val="0"/>
        <w:spacing w:after="0" w:line="400" w:lineRule="atLeast"/>
        <w:rPr>
          <w:rFonts w:ascii="Times New Roman" w:hAnsi="Times New Roman" w:cs="Times New Roman"/>
          <w:sz w:val="24"/>
          <w:szCs w:val="24"/>
        </w:rPr>
      </w:pPr>
    </w:p>
    <w:p w14:paraId="66007820" w14:textId="119F92B4" w:rsidR="00BD33B2" w:rsidRDefault="00BD33B2" w:rsidP="00BD33B2">
      <w:pPr>
        <w:autoSpaceDE w:val="0"/>
        <w:autoSpaceDN w:val="0"/>
        <w:adjustRightInd w:val="0"/>
        <w:spacing w:after="0" w:line="240" w:lineRule="auto"/>
        <w:rPr>
          <w:rFonts w:ascii="Times New Roman" w:hAnsi="Times New Roman" w:cs="Times New Roman"/>
          <w:sz w:val="24"/>
          <w:szCs w:val="24"/>
        </w:rPr>
      </w:pPr>
    </w:p>
    <w:p w14:paraId="6C73C53A" w14:textId="57F7B66D" w:rsidR="00D3494D" w:rsidRDefault="00D3494D" w:rsidP="00D3494D">
      <w:pPr>
        <w:autoSpaceDE w:val="0"/>
        <w:autoSpaceDN w:val="0"/>
        <w:adjustRightInd w:val="0"/>
        <w:spacing w:after="0" w:line="400" w:lineRule="atLeast"/>
        <w:rPr>
          <w:rFonts w:ascii="Times New Roman" w:hAnsi="Times New Roman" w:cs="Times New Roman"/>
          <w:sz w:val="24"/>
          <w:szCs w:val="24"/>
        </w:rPr>
      </w:pPr>
    </w:p>
    <w:p w14:paraId="19F9358A" w14:textId="77777777" w:rsidR="00612C0A" w:rsidRDefault="00612C0A" w:rsidP="00147C80">
      <w:pPr>
        <w:autoSpaceDE w:val="0"/>
        <w:autoSpaceDN w:val="0"/>
        <w:adjustRightInd w:val="0"/>
        <w:spacing w:after="0" w:line="240" w:lineRule="auto"/>
        <w:rPr>
          <w:rFonts w:ascii="Times New Roman" w:hAnsi="Times New Roman" w:cs="Times New Roman"/>
          <w:sz w:val="24"/>
          <w:szCs w:val="24"/>
        </w:rPr>
      </w:pPr>
    </w:p>
    <w:p w14:paraId="55C6B43B" w14:textId="1EBE8678" w:rsidR="00612C0A" w:rsidRDefault="00612C0A" w:rsidP="00147C80">
      <w:pPr>
        <w:autoSpaceDE w:val="0"/>
        <w:autoSpaceDN w:val="0"/>
        <w:adjustRightInd w:val="0"/>
        <w:spacing w:after="0" w:line="240" w:lineRule="auto"/>
        <w:rPr>
          <w:rFonts w:ascii="Times New Roman" w:hAnsi="Times New Roman" w:cs="Times New Roman"/>
          <w:sz w:val="24"/>
          <w:szCs w:val="24"/>
        </w:rPr>
      </w:pPr>
    </w:p>
    <w:p w14:paraId="0E3967DD" w14:textId="4B523A96" w:rsidR="00745F92" w:rsidRDefault="00745F92" w:rsidP="00147C80">
      <w:pPr>
        <w:autoSpaceDE w:val="0"/>
        <w:autoSpaceDN w:val="0"/>
        <w:adjustRightInd w:val="0"/>
        <w:spacing w:after="0" w:line="240" w:lineRule="auto"/>
        <w:rPr>
          <w:rFonts w:ascii="Times New Roman" w:hAnsi="Times New Roman" w:cs="Times New Roman"/>
          <w:sz w:val="24"/>
          <w:szCs w:val="24"/>
        </w:rPr>
      </w:pPr>
    </w:p>
    <w:p w14:paraId="2C9E7A43" w14:textId="56C53A26" w:rsidR="00745F92" w:rsidRDefault="00745F92" w:rsidP="00147C80">
      <w:pPr>
        <w:autoSpaceDE w:val="0"/>
        <w:autoSpaceDN w:val="0"/>
        <w:adjustRightInd w:val="0"/>
        <w:spacing w:after="0" w:line="240" w:lineRule="auto"/>
        <w:rPr>
          <w:rFonts w:ascii="Times New Roman" w:hAnsi="Times New Roman" w:cs="Times New Roman"/>
          <w:sz w:val="24"/>
          <w:szCs w:val="24"/>
        </w:rPr>
      </w:pPr>
    </w:p>
    <w:p w14:paraId="6754AD87" w14:textId="77777777" w:rsidR="00745F92" w:rsidRDefault="00745F92" w:rsidP="00147C80">
      <w:pPr>
        <w:autoSpaceDE w:val="0"/>
        <w:autoSpaceDN w:val="0"/>
        <w:adjustRightInd w:val="0"/>
        <w:spacing w:after="0" w:line="240" w:lineRule="auto"/>
        <w:rPr>
          <w:rFonts w:ascii="Times New Roman" w:hAnsi="Times New Roman" w:cs="Times New Roman"/>
          <w:sz w:val="24"/>
          <w:szCs w:val="24"/>
        </w:rPr>
      </w:pPr>
    </w:p>
    <w:p w14:paraId="05422C48" w14:textId="77777777" w:rsidR="00612C0A" w:rsidRDefault="00612C0A" w:rsidP="00147C80">
      <w:pPr>
        <w:autoSpaceDE w:val="0"/>
        <w:autoSpaceDN w:val="0"/>
        <w:adjustRightInd w:val="0"/>
        <w:spacing w:after="0" w:line="240" w:lineRule="auto"/>
        <w:rPr>
          <w:rFonts w:ascii="Times New Roman" w:hAnsi="Times New Roman" w:cs="Times New Roman"/>
          <w:sz w:val="24"/>
          <w:szCs w:val="24"/>
        </w:rPr>
      </w:pPr>
    </w:p>
    <w:p w14:paraId="08697C07" w14:textId="77777777" w:rsidR="00612C0A" w:rsidRDefault="00612C0A" w:rsidP="00147C80">
      <w:pPr>
        <w:autoSpaceDE w:val="0"/>
        <w:autoSpaceDN w:val="0"/>
        <w:adjustRightInd w:val="0"/>
        <w:spacing w:after="0" w:line="240" w:lineRule="auto"/>
        <w:rPr>
          <w:rFonts w:ascii="Times New Roman" w:hAnsi="Times New Roman" w:cs="Times New Roman"/>
          <w:sz w:val="24"/>
          <w:szCs w:val="24"/>
        </w:rPr>
      </w:pPr>
    </w:p>
    <w:p w14:paraId="5986BD20" w14:textId="426E7DA0" w:rsidR="00C119B2" w:rsidRPr="00612C0A" w:rsidRDefault="00C119B2" w:rsidP="00147C80">
      <w:pPr>
        <w:autoSpaceDE w:val="0"/>
        <w:autoSpaceDN w:val="0"/>
        <w:adjustRightInd w:val="0"/>
        <w:spacing w:after="0" w:line="240" w:lineRule="auto"/>
        <w:rPr>
          <w:rFonts w:ascii="Times New Roman" w:hAnsi="Times New Roman" w:cs="Times New Roman"/>
          <w:sz w:val="24"/>
          <w:szCs w:val="24"/>
        </w:rPr>
      </w:pPr>
    </w:p>
    <w:p w14:paraId="3D5239C5" w14:textId="2A3BB4F1" w:rsidR="00745F92" w:rsidRDefault="00745F92" w:rsidP="0062471D">
      <w:r>
        <w:rPr>
          <w:noProof/>
          <w:lang w:val="en-US"/>
        </w:rPr>
        <w:drawing>
          <wp:anchor distT="0" distB="0" distL="114300" distR="114300" simplePos="0" relativeHeight="250818048" behindDoc="1" locked="0" layoutInCell="1" allowOverlap="1" wp14:anchorId="7F1162A6" wp14:editId="402B17C8">
            <wp:simplePos x="0" y="0"/>
            <wp:positionH relativeFrom="margin">
              <wp:posOffset>10820</wp:posOffset>
            </wp:positionH>
            <wp:positionV relativeFrom="margin">
              <wp:posOffset>481396</wp:posOffset>
            </wp:positionV>
            <wp:extent cx="3857625" cy="3000375"/>
            <wp:effectExtent l="0" t="0" r="9525" b="9525"/>
            <wp:wrapTight wrapText="bothSides">
              <wp:wrapPolygon edited="0">
                <wp:start x="0" y="0"/>
                <wp:lineTo x="0" y="21531"/>
                <wp:lineTo x="21547" y="21531"/>
                <wp:lineTo x="21547"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57625" cy="3000375"/>
                    </a:xfrm>
                    <a:prstGeom prst="rect">
                      <a:avLst/>
                    </a:prstGeom>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50775040" behindDoc="1" locked="0" layoutInCell="1" allowOverlap="1" wp14:anchorId="12F925C9" wp14:editId="503C3A9B">
                <wp:simplePos x="0" y="0"/>
                <wp:positionH relativeFrom="margin">
                  <wp:posOffset>11298</wp:posOffset>
                </wp:positionH>
                <wp:positionV relativeFrom="page">
                  <wp:posOffset>842398</wp:posOffset>
                </wp:positionV>
                <wp:extent cx="3872865" cy="314325"/>
                <wp:effectExtent l="0" t="0" r="0" b="9525"/>
                <wp:wrapTight wrapText="bothSides">
                  <wp:wrapPolygon edited="0">
                    <wp:start x="0" y="0"/>
                    <wp:lineTo x="0" y="20945"/>
                    <wp:lineTo x="21462" y="20945"/>
                    <wp:lineTo x="2146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872865" cy="314325"/>
                        </a:xfrm>
                        <a:prstGeom prst="rect">
                          <a:avLst/>
                        </a:prstGeom>
                        <a:solidFill>
                          <a:prstClr val="white"/>
                        </a:solidFill>
                        <a:ln>
                          <a:noFill/>
                        </a:ln>
                      </wps:spPr>
                      <wps:txbx>
                        <w:txbxContent>
                          <w:p w14:paraId="4989CD62" w14:textId="1AEDD3B4" w:rsidR="00A56EB4" w:rsidRPr="00177D78" w:rsidRDefault="00A56EB4" w:rsidP="00CA0448">
                            <w:pPr>
                              <w:pStyle w:val="Caption"/>
                              <w:rPr>
                                <w:b/>
                                <w:bCs/>
                              </w:rPr>
                            </w:pPr>
                            <w:r>
                              <w:rPr>
                                <w:b/>
                                <w:bCs/>
                              </w:rPr>
                              <w:t>Table 8</w:t>
                            </w:r>
                            <w:r w:rsidRPr="00B63B81">
                              <w:rPr>
                                <w:b/>
                                <w:bCs/>
                              </w:rPr>
                              <w:t>.</w:t>
                            </w:r>
                            <w:r>
                              <w:t xml:space="preserve"> Frequency and proportion of North Adult Court attendees by number of court appearances,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925C9" id="Text Box 3" o:spid="_x0000_s1072" type="#_x0000_t202" style="position:absolute;margin-left:.9pt;margin-top:66.35pt;width:304.95pt;height:24.75pt;z-index:-25254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" stroked="f">
                <v:textbox inset="0,0,0,0">
                  <w:txbxContent>
                    <w:p w14:paraId="4989CD62" w14:textId="1AEDD3B4" w:rsidR="00A56EB4" w:rsidRPr="00177D78" w:rsidRDefault="00A56EB4" w:rsidP="00CA0448">
                      <w:pPr>
                        <w:pStyle w:val="Caption"/>
                        <w:rPr>
                          <w:b/>
                          <w:bCs/>
                        </w:rPr>
                      </w:pPr>
                      <w:r>
                        <w:rPr>
                          <w:b/>
                          <w:bCs/>
                        </w:rPr>
                        <w:t>Table 8</w:t>
                      </w:r>
                      <w:r w:rsidRPr="00B63B81">
                        <w:rPr>
                          <w:b/>
                          <w:bCs/>
                        </w:rPr>
                        <w:t>.</w:t>
                      </w:r>
                      <w:r>
                        <w:t xml:space="preserve"> Frequency and proportion of North Adult Court attendees by number of court appearances, between January 2017 and December 2018.</w:t>
                      </w:r>
                    </w:p>
                  </w:txbxContent>
                </v:textbox>
                <w10:wrap type="tight" anchorx="margin" anchory="page"/>
              </v:shape>
            </w:pict>
          </mc:Fallback>
        </mc:AlternateContent>
      </w:r>
      <w:r w:rsidR="00612C0A">
        <w:t>Most</w:t>
      </w:r>
      <w:r>
        <w:t xml:space="preserve"> frequently</w:t>
      </w:r>
      <w:r w:rsidR="0057752A" w:rsidRPr="00A41DB4">
        <w:t xml:space="preserve"> (</w:t>
      </w:r>
      <w:r w:rsidR="0020699F">
        <w:t>37.22</w:t>
      </w:r>
      <w:r w:rsidR="0057752A" w:rsidRPr="00A41DB4">
        <w:t>%)</w:t>
      </w:r>
      <w:r>
        <w:t xml:space="preserve">, </w:t>
      </w:r>
      <w:r w:rsidR="0057752A" w:rsidRPr="00A41DB4">
        <w:t xml:space="preserve">attendees at </w:t>
      </w:r>
      <w:r w:rsidR="006136BE">
        <w:t xml:space="preserve">the </w:t>
      </w:r>
      <w:r w:rsidR="008D12A5">
        <w:t>North Adult</w:t>
      </w:r>
      <w:r>
        <w:t xml:space="preserve"> </w:t>
      </w:r>
      <w:r w:rsidR="008D12A5">
        <w:t>Court</w:t>
      </w:r>
      <w:r w:rsidR="006136BE">
        <w:t>s</w:t>
      </w:r>
      <w:r w:rsidR="0057752A" w:rsidRPr="00A41DB4">
        <w:t>, for which data was available, were at their first court appearance, with an apparent inverse relationship between increasing court appearance number and attendee count</w:t>
      </w:r>
      <w:r w:rsidR="00256CC3">
        <w:t xml:space="preserve"> (Table 8)</w:t>
      </w:r>
      <w:r w:rsidR="0057752A" w:rsidRPr="00A41DB4">
        <w:t xml:space="preserve">. </w:t>
      </w:r>
      <w:r w:rsidR="006E23CC" w:rsidRPr="00A41DB4">
        <w:t>Most (</w:t>
      </w:r>
      <w:r w:rsidR="006E23CC">
        <w:t>78.19</w:t>
      </w:r>
      <w:r w:rsidR="006E23CC" w:rsidRPr="00A41DB4">
        <w:t xml:space="preserve">%) attendees received services through the organization of a duration of 0-4 minutes, with an inverse relationship between increasing service length and attendee count (Table </w:t>
      </w:r>
      <w:r w:rsidR="006E23CC">
        <w:t>9</w:t>
      </w:r>
      <w:r w:rsidR="006E23CC" w:rsidRPr="00A41DB4">
        <w:t xml:space="preserve">). </w:t>
      </w:r>
      <w:r w:rsidR="0062471D">
        <w:t>Only 1.84% of defendants required support exceeding 15 minutes (Table 9).</w:t>
      </w:r>
      <w:r w:rsidR="0062471D" w:rsidRPr="00A41DB4">
        <w:t xml:space="preserve"> The</w:t>
      </w:r>
      <w:r w:rsidR="0057752A" w:rsidRPr="00A41DB4">
        <w:t xml:space="preserve"> majority of attendees (</w:t>
      </w:r>
      <w:r w:rsidR="0020699F">
        <w:t>75.14</w:t>
      </w:r>
      <w:r w:rsidR="0057752A" w:rsidRPr="00A41DB4">
        <w:t>%)</w:t>
      </w:r>
      <w:r w:rsidR="006E23CC">
        <w:t xml:space="preserve"> </w:t>
      </w:r>
      <w:r w:rsidR="0057752A" w:rsidRPr="00A41DB4">
        <w:t xml:space="preserve">reported having no legal representation at court (Table </w:t>
      </w:r>
      <w:r w:rsidR="006E23CC">
        <w:t>10</w:t>
      </w:r>
      <w:r w:rsidR="0057752A" w:rsidRPr="00A41DB4">
        <w:t>).</w:t>
      </w:r>
      <w:r w:rsidR="0062471D">
        <w:t xml:space="preserve"> </w:t>
      </w:r>
      <w:r w:rsidR="0062471D" w:rsidRPr="00063449">
        <w:t xml:space="preserve"> </w:t>
      </w:r>
    </w:p>
    <w:p w14:paraId="76C6F005" w14:textId="4D6F4EED" w:rsidR="00745F92" w:rsidRDefault="00745F92">
      <w:r>
        <w:rPr>
          <w:noProof/>
          <w:lang w:val="en-US"/>
        </w:rPr>
        <w:drawing>
          <wp:anchor distT="0" distB="0" distL="114300" distR="114300" simplePos="0" relativeHeight="247045632" behindDoc="1" locked="0" layoutInCell="1" allowOverlap="1" wp14:anchorId="6F23994B" wp14:editId="31A13C2D">
            <wp:simplePos x="0" y="0"/>
            <wp:positionH relativeFrom="margin">
              <wp:posOffset>11430</wp:posOffset>
            </wp:positionH>
            <wp:positionV relativeFrom="page">
              <wp:posOffset>6821426</wp:posOffset>
            </wp:positionV>
            <wp:extent cx="3305175" cy="1724025"/>
            <wp:effectExtent l="0" t="0" r="9525" b="9525"/>
            <wp:wrapTight wrapText="bothSides">
              <wp:wrapPolygon edited="0">
                <wp:start x="0" y="0"/>
                <wp:lineTo x="0" y="21481"/>
                <wp:lineTo x="21538" y="21481"/>
                <wp:lineTo x="21538"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305175" cy="1724025"/>
                    </a:xfrm>
                    <a:prstGeom prst="rect">
                      <a:avLst/>
                    </a:prstGeom>
                  </pic:spPr>
                </pic:pic>
              </a:graphicData>
            </a:graphic>
          </wp:anchor>
        </w:drawing>
      </w:r>
      <w:r>
        <w:rPr>
          <w:noProof/>
          <w:lang w:val="en-US"/>
        </w:rPr>
        <mc:AlternateContent>
          <mc:Choice Requires="wps">
            <w:drawing>
              <wp:anchor distT="0" distB="0" distL="114300" distR="114300" simplePos="0" relativeHeight="246991360" behindDoc="1" locked="0" layoutInCell="1" allowOverlap="1" wp14:anchorId="1682C4CE" wp14:editId="118E6B75">
                <wp:simplePos x="0" y="0"/>
                <wp:positionH relativeFrom="margin">
                  <wp:posOffset>1435</wp:posOffset>
                </wp:positionH>
                <wp:positionV relativeFrom="margin">
                  <wp:posOffset>5764736</wp:posOffset>
                </wp:positionV>
                <wp:extent cx="3238500" cy="407035"/>
                <wp:effectExtent l="0" t="0" r="0" b="0"/>
                <wp:wrapTight wrapText="bothSides">
                  <wp:wrapPolygon edited="0">
                    <wp:start x="0" y="0"/>
                    <wp:lineTo x="0" y="20218"/>
                    <wp:lineTo x="21473" y="20218"/>
                    <wp:lineTo x="21473" y="0"/>
                    <wp:lineTo x="0" y="0"/>
                  </wp:wrapPolygon>
                </wp:wrapTight>
                <wp:docPr id="462" name="Text Box 462"/>
                <wp:cNvGraphicFramePr/>
                <a:graphic xmlns:a="http://schemas.openxmlformats.org/drawingml/2006/main">
                  <a:graphicData uri="http://schemas.microsoft.com/office/word/2010/wordprocessingShape">
                    <wps:wsp>
                      <wps:cNvSpPr txBox="1"/>
                      <wps:spPr>
                        <a:xfrm>
                          <a:off x="0" y="0"/>
                          <a:ext cx="3238500" cy="407035"/>
                        </a:xfrm>
                        <a:prstGeom prst="rect">
                          <a:avLst/>
                        </a:prstGeom>
                        <a:solidFill>
                          <a:prstClr val="white"/>
                        </a:solidFill>
                        <a:ln>
                          <a:noFill/>
                        </a:ln>
                      </wps:spPr>
                      <wps:txbx>
                        <w:txbxContent>
                          <w:p w14:paraId="2C92AD73" w14:textId="507ADE2D" w:rsidR="00A56EB4" w:rsidRPr="0063408E" w:rsidRDefault="00A56EB4" w:rsidP="004C7A40">
                            <w:pPr>
                              <w:pStyle w:val="Caption"/>
                            </w:pPr>
                            <w:r>
                              <w:rPr>
                                <w:b/>
                                <w:bCs/>
                              </w:rPr>
                              <w:t>Table 10</w:t>
                            </w:r>
                            <w:r w:rsidRPr="00B63B81">
                              <w:rPr>
                                <w:b/>
                                <w:bCs/>
                              </w:rPr>
                              <w:t>.</w:t>
                            </w:r>
                            <w:r>
                              <w:t xml:space="preserve"> Frequency and proportion of North Adult Court attendees with legal representation,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2C4CE" id="Text Box 462" o:spid="_x0000_s1073" type="#_x0000_t202" style="position:absolute;margin-left:.1pt;margin-top:453.9pt;width:255pt;height:32.05pt;z-index:-256325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" stroked="f">
                <v:textbox inset="0,0,0,0">
                  <w:txbxContent>
                    <w:p w14:paraId="2C92AD73" w14:textId="507ADE2D" w:rsidR="00A56EB4" w:rsidRPr="0063408E" w:rsidRDefault="00A56EB4" w:rsidP="004C7A40">
                      <w:pPr>
                        <w:pStyle w:val="Caption"/>
                      </w:pPr>
                      <w:r>
                        <w:rPr>
                          <w:b/>
                          <w:bCs/>
                        </w:rPr>
                        <w:t>Table 10</w:t>
                      </w:r>
                      <w:r w:rsidRPr="00B63B81">
                        <w:rPr>
                          <w:b/>
                          <w:bCs/>
                        </w:rPr>
                        <w:t>.</w:t>
                      </w:r>
                      <w:r>
                        <w:t xml:space="preserve"> Frequency and proportion of North Adult Court attendees with legal representation, between January 2017 and December 2018.</w:t>
                      </w:r>
                    </w:p>
                  </w:txbxContent>
                </v:textbox>
                <w10:wrap type="tight" anchorx="margin" anchory="margin"/>
              </v:shape>
            </w:pict>
          </mc:Fallback>
        </mc:AlternateContent>
      </w:r>
      <w:r>
        <w:rPr>
          <w:noProof/>
          <w:lang w:val="en-US"/>
        </w:rPr>
        <w:drawing>
          <wp:anchor distT="0" distB="0" distL="114300" distR="114300" simplePos="0" relativeHeight="253006336" behindDoc="1" locked="0" layoutInCell="1" allowOverlap="1" wp14:anchorId="5AE295F1" wp14:editId="1FBD2A91">
            <wp:simplePos x="0" y="0"/>
            <wp:positionH relativeFrom="margin">
              <wp:posOffset>11867</wp:posOffset>
            </wp:positionH>
            <wp:positionV relativeFrom="page">
              <wp:posOffset>4595371</wp:posOffset>
            </wp:positionV>
            <wp:extent cx="3998595" cy="1695450"/>
            <wp:effectExtent l="0" t="0" r="1905" b="0"/>
            <wp:wrapTight wrapText="bothSides">
              <wp:wrapPolygon edited="0">
                <wp:start x="0" y="0"/>
                <wp:lineTo x="0" y="21357"/>
                <wp:lineTo x="21507" y="21357"/>
                <wp:lineTo x="21507"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98595" cy="1695450"/>
                    </a:xfrm>
                    <a:prstGeom prst="rect">
                      <a:avLst/>
                    </a:prstGeom>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51479552" behindDoc="1" locked="0" layoutInCell="1" allowOverlap="1" wp14:anchorId="57DBB89D" wp14:editId="3716C5F5">
                <wp:simplePos x="0" y="0"/>
                <wp:positionH relativeFrom="margin">
                  <wp:posOffset>4907</wp:posOffset>
                </wp:positionH>
                <wp:positionV relativeFrom="margin">
                  <wp:posOffset>3617166</wp:posOffset>
                </wp:positionV>
                <wp:extent cx="4004310" cy="317500"/>
                <wp:effectExtent l="0" t="0" r="0" b="6350"/>
                <wp:wrapTight wrapText="bothSides">
                  <wp:wrapPolygon edited="0">
                    <wp:start x="0" y="0"/>
                    <wp:lineTo x="0" y="20736"/>
                    <wp:lineTo x="21477" y="20736"/>
                    <wp:lineTo x="21477"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4004310" cy="317500"/>
                        </a:xfrm>
                        <a:prstGeom prst="rect">
                          <a:avLst/>
                        </a:prstGeom>
                        <a:solidFill>
                          <a:prstClr val="white"/>
                        </a:solidFill>
                        <a:ln>
                          <a:noFill/>
                        </a:ln>
                      </wps:spPr>
                      <wps:txbx>
                        <w:txbxContent>
                          <w:p w14:paraId="68F88C5D" w14:textId="65520D49" w:rsidR="00A56EB4" w:rsidRPr="0063408E" w:rsidRDefault="00A56EB4" w:rsidP="00591974">
                            <w:pPr>
                              <w:pStyle w:val="Caption"/>
                            </w:pPr>
                            <w:r>
                              <w:rPr>
                                <w:b/>
                                <w:bCs/>
                              </w:rPr>
                              <w:t>Table 9</w:t>
                            </w:r>
                            <w:r w:rsidRPr="00B63B81">
                              <w:rPr>
                                <w:b/>
                                <w:bCs/>
                              </w:rPr>
                              <w:t>.</w:t>
                            </w:r>
                            <w:r>
                              <w:t xml:space="preserve"> Frequency and proportion of North Adult Court attendees by duration of service provision,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BB89D" id="Text Box 43" o:spid="_x0000_s1074" type="#_x0000_t202" style="position:absolute;margin-left:.4pt;margin-top:284.8pt;width:315.3pt;height:2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" stroked="f">
                <v:textbox inset="0,0,0,0">
                  <w:txbxContent>
                    <w:p w14:paraId="68F88C5D" w14:textId="65520D49" w:rsidR="00A56EB4" w:rsidRPr="0063408E" w:rsidRDefault="00A56EB4" w:rsidP="00591974">
                      <w:pPr>
                        <w:pStyle w:val="Caption"/>
                      </w:pPr>
                      <w:r>
                        <w:rPr>
                          <w:b/>
                          <w:bCs/>
                        </w:rPr>
                        <w:t>Table 9</w:t>
                      </w:r>
                      <w:r w:rsidRPr="00B63B81">
                        <w:rPr>
                          <w:b/>
                          <w:bCs/>
                        </w:rPr>
                        <w:t>.</w:t>
                      </w:r>
                      <w:r>
                        <w:t xml:space="preserve"> Frequency and proportion of North Adult Court attendees by duration of service provision, between January 2017 and December 2018.</w:t>
                      </w:r>
                    </w:p>
                  </w:txbxContent>
                </v:textbox>
                <w10:wrap type="tight" anchorx="margin" anchory="margin"/>
              </v:shape>
            </w:pict>
          </mc:Fallback>
        </mc:AlternateContent>
      </w:r>
      <w:r>
        <w:br w:type="page"/>
      </w:r>
    </w:p>
    <w:p w14:paraId="2A369771" w14:textId="77777777" w:rsidR="0057752A" w:rsidRDefault="0057752A" w:rsidP="0062471D"/>
    <w:p w14:paraId="07BF4465" w14:textId="3BB785E9" w:rsidR="000A7EAD" w:rsidRDefault="008D12A5" w:rsidP="000A7EAD">
      <w:pPr>
        <w:pStyle w:val="Heading2"/>
      </w:pPr>
      <w:bookmarkStart w:id="36" w:name="_Toc16262348"/>
      <w:r>
        <w:t>South Adult Court</w:t>
      </w:r>
      <w:bookmarkEnd w:id="36"/>
      <w:r w:rsidR="000A7EAD">
        <w:t xml:space="preserve"> </w:t>
      </w:r>
    </w:p>
    <w:p w14:paraId="3DB94600" w14:textId="12A40292" w:rsidR="000A7EAD" w:rsidRPr="00A41DB4" w:rsidRDefault="000A7EAD" w:rsidP="0062471D"/>
    <w:p w14:paraId="031CC89A" w14:textId="112681E7" w:rsidR="005F272D" w:rsidRDefault="0081061B" w:rsidP="005F27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3056512" behindDoc="1" locked="0" layoutInCell="1" allowOverlap="1" wp14:anchorId="2D67C844" wp14:editId="7FB51434">
            <wp:simplePos x="0" y="0"/>
            <wp:positionH relativeFrom="page">
              <wp:posOffset>588514</wp:posOffset>
            </wp:positionH>
            <wp:positionV relativeFrom="page">
              <wp:posOffset>1571419</wp:posOffset>
            </wp:positionV>
            <wp:extent cx="2799732" cy="2336800"/>
            <wp:effectExtent l="0" t="0" r="635" b="6350"/>
            <wp:wrapTight wrapText="bothSides">
              <wp:wrapPolygon edited="0">
                <wp:start x="0" y="0"/>
                <wp:lineTo x="0" y="21483"/>
                <wp:lineTo x="21458" y="21483"/>
                <wp:lineTo x="21458"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a:extLst>
                        <a:ext uri="{28A0092B-C50C-407E-A947-70E740481C1C}">
                          <a14:useLocalDpi xmlns:a14="http://schemas.microsoft.com/office/drawing/2010/main" val="0"/>
                        </a:ext>
                      </a:extLst>
                    </a:blip>
                    <a:srcRect l="28957" t="21597" r="29395" b="19297"/>
                    <a:stretch/>
                  </pic:blipFill>
                  <pic:spPr bwMode="auto">
                    <a:xfrm>
                      <a:off x="0" y="0"/>
                      <a:ext cx="2799732"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873B2" w14:textId="0D523F42" w:rsidR="005F272D" w:rsidRDefault="00E92AFF" w:rsidP="005F27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48013312" behindDoc="1" locked="0" layoutInCell="1" allowOverlap="1" wp14:anchorId="3501E79D" wp14:editId="60D504AD">
            <wp:simplePos x="0" y="0"/>
            <wp:positionH relativeFrom="column">
              <wp:posOffset>920312</wp:posOffset>
            </wp:positionH>
            <wp:positionV relativeFrom="page">
              <wp:posOffset>1750695</wp:posOffset>
            </wp:positionV>
            <wp:extent cx="2637155" cy="2235200"/>
            <wp:effectExtent l="0" t="0" r="0" b="0"/>
            <wp:wrapTight wrapText="bothSides">
              <wp:wrapPolygon edited="0">
                <wp:start x="0" y="0"/>
                <wp:lineTo x="0" y="21355"/>
                <wp:lineTo x="21376" y="21355"/>
                <wp:lineTo x="21376"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a:extLst>
                        <a:ext uri="{28A0092B-C50C-407E-A947-70E740481C1C}">
                          <a14:useLocalDpi xmlns:a14="http://schemas.microsoft.com/office/drawing/2010/main" val="0"/>
                        </a:ext>
                      </a:extLst>
                    </a:blip>
                    <a:srcRect l="29846" t="22553" r="30063" b="19647"/>
                    <a:stretch/>
                  </pic:blipFill>
                  <pic:spPr bwMode="auto">
                    <a:xfrm>
                      <a:off x="0" y="0"/>
                      <a:ext cx="2637155" cy="223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F43B5" w14:textId="54DDB6BF" w:rsidR="00010BDE" w:rsidRDefault="00010BDE" w:rsidP="00010BDE">
      <w:pPr>
        <w:autoSpaceDE w:val="0"/>
        <w:autoSpaceDN w:val="0"/>
        <w:adjustRightInd w:val="0"/>
        <w:spacing w:after="0" w:line="240" w:lineRule="auto"/>
        <w:rPr>
          <w:rFonts w:ascii="Times New Roman" w:hAnsi="Times New Roman" w:cs="Times New Roman"/>
          <w:sz w:val="24"/>
          <w:szCs w:val="24"/>
        </w:rPr>
      </w:pPr>
    </w:p>
    <w:p w14:paraId="2F38EB8B" w14:textId="5B55652B" w:rsidR="00C81C1F" w:rsidRDefault="00C81C1F" w:rsidP="00C81C1F">
      <w:pPr>
        <w:autoSpaceDE w:val="0"/>
        <w:autoSpaceDN w:val="0"/>
        <w:adjustRightInd w:val="0"/>
        <w:spacing w:after="0" w:line="240" w:lineRule="auto"/>
        <w:rPr>
          <w:rFonts w:ascii="Times New Roman" w:hAnsi="Times New Roman" w:cs="Times New Roman"/>
          <w:sz w:val="24"/>
          <w:szCs w:val="24"/>
        </w:rPr>
      </w:pPr>
    </w:p>
    <w:p w14:paraId="35B11162" w14:textId="565D0467" w:rsidR="00C81C1F" w:rsidRDefault="00C81C1F" w:rsidP="00C81C1F">
      <w:pPr>
        <w:autoSpaceDE w:val="0"/>
        <w:autoSpaceDN w:val="0"/>
        <w:adjustRightInd w:val="0"/>
        <w:spacing w:after="0" w:line="240" w:lineRule="auto"/>
        <w:rPr>
          <w:rFonts w:ascii="Times New Roman" w:hAnsi="Times New Roman" w:cs="Times New Roman"/>
          <w:sz w:val="24"/>
          <w:szCs w:val="24"/>
        </w:rPr>
      </w:pPr>
    </w:p>
    <w:p w14:paraId="64F4A6EE" w14:textId="5FFADC6F" w:rsidR="00C81C1F" w:rsidRDefault="00C81C1F" w:rsidP="00C81C1F">
      <w:pPr>
        <w:autoSpaceDE w:val="0"/>
        <w:autoSpaceDN w:val="0"/>
        <w:adjustRightInd w:val="0"/>
        <w:spacing w:after="0" w:line="400" w:lineRule="atLeast"/>
        <w:rPr>
          <w:rFonts w:ascii="Times New Roman" w:hAnsi="Times New Roman" w:cs="Times New Roman"/>
          <w:sz w:val="24"/>
          <w:szCs w:val="24"/>
        </w:rPr>
      </w:pPr>
    </w:p>
    <w:p w14:paraId="3B755025" w14:textId="0B1FB827" w:rsidR="00010BDE" w:rsidRDefault="00010BDE" w:rsidP="00010BDE">
      <w:pPr>
        <w:autoSpaceDE w:val="0"/>
        <w:autoSpaceDN w:val="0"/>
        <w:adjustRightInd w:val="0"/>
        <w:spacing w:after="0" w:line="240" w:lineRule="auto"/>
        <w:rPr>
          <w:rFonts w:ascii="Times New Roman" w:hAnsi="Times New Roman" w:cs="Times New Roman"/>
          <w:sz w:val="24"/>
          <w:szCs w:val="24"/>
        </w:rPr>
      </w:pPr>
    </w:p>
    <w:p w14:paraId="70ADC4C7" w14:textId="229FC099" w:rsidR="0081061B" w:rsidRDefault="0081061B" w:rsidP="00D43838">
      <w:pPr>
        <w:autoSpaceDE w:val="0"/>
        <w:autoSpaceDN w:val="0"/>
        <w:adjustRightInd w:val="0"/>
        <w:spacing w:after="0" w:line="240" w:lineRule="auto"/>
        <w:rPr>
          <w:rFonts w:ascii="Times New Roman" w:hAnsi="Times New Roman" w:cs="Times New Roman"/>
          <w:sz w:val="24"/>
          <w:szCs w:val="24"/>
        </w:rPr>
      </w:pPr>
    </w:p>
    <w:p w14:paraId="4E7C5BD1" w14:textId="77777777" w:rsidR="0081061B" w:rsidRDefault="0081061B" w:rsidP="00D43838">
      <w:pPr>
        <w:autoSpaceDE w:val="0"/>
        <w:autoSpaceDN w:val="0"/>
        <w:adjustRightInd w:val="0"/>
        <w:spacing w:after="0" w:line="240" w:lineRule="auto"/>
        <w:rPr>
          <w:rFonts w:ascii="Times New Roman" w:hAnsi="Times New Roman" w:cs="Times New Roman"/>
          <w:sz w:val="24"/>
          <w:szCs w:val="24"/>
        </w:rPr>
      </w:pPr>
    </w:p>
    <w:p w14:paraId="5EDFC68D" w14:textId="77777777" w:rsidR="0081061B" w:rsidRDefault="0081061B" w:rsidP="00D43838">
      <w:pPr>
        <w:autoSpaceDE w:val="0"/>
        <w:autoSpaceDN w:val="0"/>
        <w:adjustRightInd w:val="0"/>
        <w:spacing w:after="0" w:line="240" w:lineRule="auto"/>
        <w:rPr>
          <w:rFonts w:ascii="Times New Roman" w:hAnsi="Times New Roman" w:cs="Times New Roman"/>
          <w:sz w:val="24"/>
          <w:szCs w:val="24"/>
        </w:rPr>
      </w:pPr>
    </w:p>
    <w:p w14:paraId="71331DD5" w14:textId="77777777" w:rsidR="0081061B" w:rsidRDefault="0081061B" w:rsidP="00D43838">
      <w:pPr>
        <w:autoSpaceDE w:val="0"/>
        <w:autoSpaceDN w:val="0"/>
        <w:adjustRightInd w:val="0"/>
        <w:spacing w:after="0" w:line="240" w:lineRule="auto"/>
        <w:rPr>
          <w:rFonts w:ascii="Times New Roman" w:hAnsi="Times New Roman" w:cs="Times New Roman"/>
          <w:sz w:val="24"/>
          <w:szCs w:val="24"/>
        </w:rPr>
      </w:pPr>
    </w:p>
    <w:p w14:paraId="632C891E" w14:textId="04AF7D20" w:rsidR="0081061B" w:rsidRDefault="0081061B" w:rsidP="00D43838">
      <w:pPr>
        <w:autoSpaceDE w:val="0"/>
        <w:autoSpaceDN w:val="0"/>
        <w:adjustRightInd w:val="0"/>
        <w:spacing w:after="0" w:line="240" w:lineRule="auto"/>
        <w:rPr>
          <w:rFonts w:ascii="Times New Roman" w:hAnsi="Times New Roman" w:cs="Times New Roman"/>
          <w:sz w:val="24"/>
          <w:szCs w:val="24"/>
        </w:rPr>
      </w:pPr>
    </w:p>
    <w:p w14:paraId="7B043D6C" w14:textId="2A21B83C" w:rsidR="0081061B" w:rsidRDefault="0081061B" w:rsidP="00D43838">
      <w:pPr>
        <w:autoSpaceDE w:val="0"/>
        <w:autoSpaceDN w:val="0"/>
        <w:adjustRightInd w:val="0"/>
        <w:spacing w:after="0" w:line="240" w:lineRule="auto"/>
        <w:rPr>
          <w:rFonts w:ascii="Times New Roman" w:hAnsi="Times New Roman" w:cs="Times New Roman"/>
          <w:sz w:val="24"/>
          <w:szCs w:val="24"/>
        </w:rPr>
      </w:pPr>
    </w:p>
    <w:p w14:paraId="0967CFFF" w14:textId="6AA5AC30" w:rsidR="00B07246" w:rsidRDefault="00E92AFF" w:rsidP="00D43838">
      <w:pPr>
        <w:autoSpaceDE w:val="0"/>
        <w:autoSpaceDN w:val="0"/>
        <w:adjustRightInd w:val="0"/>
        <w:spacing w:after="0" w:line="240" w:lineRule="auto"/>
        <w:rPr>
          <w:rFonts w:ascii="Times New Roman" w:hAnsi="Times New Roman" w:cs="Times New Roman"/>
          <w:sz w:val="24"/>
          <w:szCs w:val="24"/>
        </w:rPr>
      </w:pPr>
      <w:r w:rsidRPr="00F2233B">
        <w:rPr>
          <w:noProof/>
          <w:lang w:val="en-US"/>
        </w:rPr>
        <mc:AlternateContent>
          <mc:Choice Requires="wps">
            <w:drawing>
              <wp:anchor distT="0" distB="0" distL="114300" distR="114300" simplePos="0" relativeHeight="249096704" behindDoc="1" locked="0" layoutInCell="1" allowOverlap="1" wp14:anchorId="495697ED" wp14:editId="67214F5D">
                <wp:simplePos x="0" y="0"/>
                <wp:positionH relativeFrom="margin">
                  <wp:posOffset>3934460</wp:posOffset>
                </wp:positionH>
                <wp:positionV relativeFrom="page">
                  <wp:posOffset>4003675</wp:posOffset>
                </wp:positionV>
                <wp:extent cx="2616200" cy="790575"/>
                <wp:effectExtent l="0" t="0" r="0" b="9525"/>
                <wp:wrapTight wrapText="bothSides">
                  <wp:wrapPolygon edited="0">
                    <wp:start x="0" y="0"/>
                    <wp:lineTo x="0" y="21340"/>
                    <wp:lineTo x="21390" y="21340"/>
                    <wp:lineTo x="21390" y="0"/>
                    <wp:lineTo x="0" y="0"/>
                  </wp:wrapPolygon>
                </wp:wrapTight>
                <wp:docPr id="488" name="Text Box 488"/>
                <wp:cNvGraphicFramePr/>
                <a:graphic xmlns:a="http://schemas.openxmlformats.org/drawingml/2006/main">
                  <a:graphicData uri="http://schemas.microsoft.com/office/word/2010/wordprocessingShape">
                    <wps:wsp>
                      <wps:cNvSpPr txBox="1"/>
                      <wps:spPr>
                        <a:xfrm>
                          <a:off x="0" y="0"/>
                          <a:ext cx="2616200" cy="790575"/>
                        </a:xfrm>
                        <a:prstGeom prst="rect">
                          <a:avLst/>
                        </a:prstGeom>
                        <a:solidFill>
                          <a:prstClr val="white"/>
                        </a:solidFill>
                        <a:ln>
                          <a:noFill/>
                        </a:ln>
                      </wps:spPr>
                      <wps:txbx>
                        <w:txbxContent>
                          <w:p w14:paraId="577C861F" w14:textId="7B778F2E" w:rsidR="00A56EB4" w:rsidRPr="00701EC7" w:rsidRDefault="00A56EB4" w:rsidP="00F2233B">
                            <w:pPr>
                              <w:pStyle w:val="Caption"/>
                              <w:rPr>
                                <w:rFonts w:ascii="Times New Roman" w:hAnsi="Times New Roman" w:cs="Times New Roman"/>
                                <w:noProof/>
                                <w:sz w:val="24"/>
                                <w:szCs w:val="24"/>
                              </w:rPr>
                            </w:pPr>
                            <w:r w:rsidRPr="00B63B81">
                              <w:rPr>
                                <w:b/>
                                <w:bCs/>
                              </w:rPr>
                              <w:t>Figure 2</w:t>
                            </w:r>
                            <w:r>
                              <w:rPr>
                                <w:b/>
                                <w:bCs/>
                              </w:rPr>
                              <w:t>5</w:t>
                            </w:r>
                            <w:r w:rsidRPr="00B63B81">
                              <w:rPr>
                                <w:b/>
                                <w:bCs/>
                              </w:rPr>
                              <w:t>.</w:t>
                            </w:r>
                            <w:r>
                              <w:t xml:space="preserve"> A pie chart of age distribution as observed in the South Adult Courts between January 2017 and December 2018, from a sample size of 1865.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697ED" id="Text Box 488" o:spid="_x0000_s1075" type="#_x0000_t202" style="position:absolute;margin-left:309.8pt;margin-top:315.25pt;width:206pt;height:62.25pt;z-index:-25421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" stroked="f">
                <v:textbox inset="0,0,0,0">
                  <w:txbxContent>
                    <w:p w14:paraId="577C861F" w14:textId="7B778F2E" w:rsidR="00A56EB4" w:rsidRPr="00701EC7" w:rsidRDefault="00A56EB4" w:rsidP="00F2233B">
                      <w:pPr>
                        <w:pStyle w:val="Caption"/>
                        <w:rPr>
                          <w:rFonts w:ascii="Times New Roman" w:hAnsi="Times New Roman" w:cs="Times New Roman"/>
                          <w:noProof/>
                          <w:sz w:val="24"/>
                          <w:szCs w:val="24"/>
                        </w:rPr>
                      </w:pPr>
                      <w:r w:rsidRPr="00B63B81">
                        <w:rPr>
                          <w:b/>
                          <w:bCs/>
                        </w:rPr>
                        <w:t>Figure 2</w:t>
                      </w:r>
                      <w:r>
                        <w:rPr>
                          <w:b/>
                          <w:bCs/>
                        </w:rPr>
                        <w:t>5</w:t>
                      </w:r>
                      <w:r w:rsidRPr="00B63B81">
                        <w:rPr>
                          <w:b/>
                          <w:bCs/>
                        </w:rPr>
                        <w:t>.</w:t>
                      </w:r>
                      <w:r>
                        <w:t xml:space="preserve"> A pie chart of age distribution as observed in the South Adult Courts between January 2017 and December 2018, from a sample size of 1865. Slice size represents the relative proportion of respondents within an age category. </w:t>
                      </w:r>
                    </w:p>
                  </w:txbxContent>
                </v:textbox>
                <w10:wrap type="tight" anchorx="margin" anchory="page"/>
              </v:shape>
            </w:pict>
          </mc:Fallback>
        </mc:AlternateContent>
      </w:r>
      <w:r w:rsidR="0081061B" w:rsidRPr="00AC0A7E">
        <w:rPr>
          <w:rFonts w:ascii="Times New Roman" w:hAnsi="Times New Roman" w:cs="Times New Roman"/>
          <w:noProof/>
          <w:sz w:val="24"/>
          <w:szCs w:val="24"/>
          <w:lang w:val="en-US"/>
        </w:rPr>
        <mc:AlternateContent>
          <mc:Choice Requires="wps">
            <w:drawing>
              <wp:anchor distT="45720" distB="45720" distL="114300" distR="114300" simplePos="0" relativeHeight="248764928" behindDoc="1" locked="0" layoutInCell="1" allowOverlap="1" wp14:anchorId="70B6F590" wp14:editId="03EE9FEB">
                <wp:simplePos x="0" y="0"/>
                <wp:positionH relativeFrom="margin">
                  <wp:posOffset>224221</wp:posOffset>
                </wp:positionH>
                <wp:positionV relativeFrom="page">
                  <wp:posOffset>3925265</wp:posOffset>
                </wp:positionV>
                <wp:extent cx="2743200" cy="787400"/>
                <wp:effectExtent l="0" t="0" r="0" b="0"/>
                <wp:wrapTight wrapText="bothSides">
                  <wp:wrapPolygon edited="0">
                    <wp:start x="0" y="0"/>
                    <wp:lineTo x="0" y="20903"/>
                    <wp:lineTo x="21450" y="20903"/>
                    <wp:lineTo x="21450" y="0"/>
                    <wp:lineTo x="0" y="0"/>
                  </wp:wrapPolygon>
                </wp:wrapTight>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87400"/>
                        </a:xfrm>
                        <a:prstGeom prst="rect">
                          <a:avLst/>
                        </a:prstGeom>
                        <a:solidFill>
                          <a:srgbClr val="FFFFFF"/>
                        </a:solidFill>
                        <a:ln w="9525">
                          <a:noFill/>
                          <a:miter lim="800000"/>
                          <a:headEnd/>
                          <a:tailEnd/>
                        </a:ln>
                      </wps:spPr>
                      <wps:txbx>
                        <w:txbxContent>
                          <w:p w14:paraId="28EE23E3" w14:textId="0EE48135" w:rsidR="00A56EB4" w:rsidRPr="00AC0A7E" w:rsidRDefault="00A56EB4" w:rsidP="005B1279">
                            <w:pPr>
                              <w:pStyle w:val="Caption"/>
                            </w:pPr>
                            <w:r w:rsidRPr="00AC0A7E">
                              <w:rPr>
                                <w:b/>
                                <w:bCs/>
                              </w:rPr>
                              <w:t xml:space="preserve">Figure </w:t>
                            </w:r>
                            <w:r>
                              <w:rPr>
                                <w:b/>
                                <w:bCs/>
                              </w:rPr>
                              <w:t>24</w:t>
                            </w:r>
                            <w:r w:rsidRPr="00AC0A7E">
                              <w:rPr>
                                <w:b/>
                                <w:bCs/>
                              </w:rPr>
                              <w:t xml:space="preserve">. </w:t>
                            </w:r>
                            <w:r w:rsidRPr="00AC0A7E">
                              <w:t xml:space="preserve"> A pie chart of gender distribution as observed in</w:t>
                            </w:r>
                            <w:r>
                              <w:t xml:space="preserve"> the South Adult C</w:t>
                            </w:r>
                            <w:r w:rsidRPr="00AC0A7E">
                              <w:t>ourt</w:t>
                            </w:r>
                            <w:r>
                              <w:t>s</w:t>
                            </w:r>
                            <w:r w:rsidRPr="00AC0A7E">
                              <w:t xml:space="preserve"> between January 2017 and December 2018, from a sample size of </w:t>
                            </w:r>
                            <w:r>
                              <w:t>1877</w:t>
                            </w:r>
                            <w:r w:rsidRPr="00AC0A7E">
                              <w:t>. Slice sizes represent the proportion of attendees identifying as a specific gender.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B6F590" id="_x0000_s1076" type="#_x0000_t202" style="position:absolute;margin-left:17.65pt;margin-top:309.1pt;width:3in;height:62pt;z-index:-25455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" stroked="f">
                <v:textbox>
                  <w:txbxContent>
                    <w:p w14:paraId="28EE23E3" w14:textId="0EE48135" w:rsidR="00A56EB4" w:rsidRPr="00AC0A7E" w:rsidRDefault="00A56EB4" w:rsidP="005B1279">
                      <w:pPr>
                        <w:pStyle w:val="Caption"/>
                      </w:pPr>
                      <w:r w:rsidRPr="00AC0A7E">
                        <w:rPr>
                          <w:b/>
                          <w:bCs/>
                        </w:rPr>
                        <w:t xml:space="preserve">Figure </w:t>
                      </w:r>
                      <w:r>
                        <w:rPr>
                          <w:b/>
                          <w:bCs/>
                        </w:rPr>
                        <w:t>24</w:t>
                      </w:r>
                      <w:r w:rsidRPr="00AC0A7E">
                        <w:rPr>
                          <w:b/>
                          <w:bCs/>
                        </w:rPr>
                        <w:t xml:space="preserve">. </w:t>
                      </w:r>
                      <w:r w:rsidRPr="00AC0A7E">
                        <w:t xml:space="preserve"> A pie chart of gender distribution as observed in</w:t>
                      </w:r>
                      <w:r>
                        <w:t xml:space="preserve"> the South Adult C</w:t>
                      </w:r>
                      <w:r w:rsidRPr="00AC0A7E">
                        <w:t>ourt</w:t>
                      </w:r>
                      <w:r>
                        <w:t>s</w:t>
                      </w:r>
                      <w:r w:rsidRPr="00AC0A7E">
                        <w:t xml:space="preserve"> between January 2017 and December 2018, from a sample size of </w:t>
                      </w:r>
                      <w:r>
                        <w:t>1877</w:t>
                      </w:r>
                      <w:r w:rsidRPr="00AC0A7E">
                        <w:t>. Slice sizes represent the proportion of attendees identifying as a specific gender.</w:t>
                      </w:r>
                    </w:p>
                  </w:txbxContent>
                </v:textbox>
                <w10:wrap type="tight" anchorx="margin" anchory="page"/>
              </v:shape>
            </w:pict>
          </mc:Fallback>
        </mc:AlternateContent>
      </w:r>
    </w:p>
    <w:p w14:paraId="6789CA51" w14:textId="22253209" w:rsidR="0081061B" w:rsidRDefault="00335542">
      <w:r>
        <w:rPr>
          <w:noProof/>
          <w:lang w:val="en-US"/>
        </w:rPr>
        <mc:AlternateContent>
          <mc:Choice Requires="wps">
            <w:drawing>
              <wp:anchor distT="0" distB="0" distL="114300" distR="114300" simplePos="0" relativeHeight="249405952" behindDoc="1" locked="0" layoutInCell="1" allowOverlap="1" wp14:anchorId="3ABB9B6F" wp14:editId="7479BAE2">
                <wp:simplePos x="0" y="0"/>
                <wp:positionH relativeFrom="margin">
                  <wp:posOffset>-4445</wp:posOffset>
                </wp:positionH>
                <wp:positionV relativeFrom="page">
                  <wp:posOffset>8904638</wp:posOffset>
                </wp:positionV>
                <wp:extent cx="6862445" cy="295275"/>
                <wp:effectExtent l="0" t="0" r="0" b="9525"/>
                <wp:wrapTight wrapText="bothSides">
                  <wp:wrapPolygon edited="0">
                    <wp:start x="0" y="0"/>
                    <wp:lineTo x="0" y="20903"/>
                    <wp:lineTo x="21526" y="20903"/>
                    <wp:lineTo x="21526" y="0"/>
                    <wp:lineTo x="0" y="0"/>
                  </wp:wrapPolygon>
                </wp:wrapTight>
                <wp:docPr id="496" name="Text Box 496"/>
                <wp:cNvGraphicFramePr/>
                <a:graphic xmlns:a="http://schemas.openxmlformats.org/drawingml/2006/main">
                  <a:graphicData uri="http://schemas.microsoft.com/office/word/2010/wordprocessingShape">
                    <wps:wsp>
                      <wps:cNvSpPr txBox="1"/>
                      <wps:spPr>
                        <a:xfrm>
                          <a:off x="0" y="0"/>
                          <a:ext cx="6862445" cy="295275"/>
                        </a:xfrm>
                        <a:prstGeom prst="rect">
                          <a:avLst/>
                        </a:prstGeom>
                        <a:solidFill>
                          <a:prstClr val="white"/>
                        </a:solidFill>
                        <a:ln>
                          <a:noFill/>
                        </a:ln>
                      </wps:spPr>
                      <wps:txbx>
                        <w:txbxContent>
                          <w:p w14:paraId="21C32678" w14:textId="4A14F2D5" w:rsidR="00A56EB4" w:rsidRPr="006839F3" w:rsidRDefault="00A56EB4" w:rsidP="00F2233B">
                            <w:pPr>
                              <w:pStyle w:val="Caption"/>
                              <w:rPr>
                                <w:rFonts w:ascii="Times New Roman" w:hAnsi="Times New Roman" w:cs="Times New Roman"/>
                                <w:noProof/>
                                <w:sz w:val="24"/>
                                <w:szCs w:val="24"/>
                              </w:rPr>
                            </w:pPr>
                            <w:r w:rsidRPr="00B63B81">
                              <w:rPr>
                                <w:b/>
                                <w:bCs/>
                              </w:rPr>
                              <w:t xml:space="preserve">Figure </w:t>
                            </w:r>
                            <w:r>
                              <w:rPr>
                                <w:b/>
                                <w:bCs/>
                              </w:rPr>
                              <w:t>26</w:t>
                            </w:r>
                            <w:r>
                              <w:t>. A population pyramid representing the frequency (x-axis) of attendee gender (split), stratified by age (y-axis), at the South Adult Courts between January 2017 and December 2018, from a sample size of 1861.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9B6F" id="Text Box 496" o:spid="_x0000_s1077" type="#_x0000_t202" style="position:absolute;margin-left:-.35pt;margin-top:701.15pt;width:540.35pt;height:23.25pt;z-index:-25391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" stroked="f">
                <v:textbox inset="0,0,0,0">
                  <w:txbxContent>
                    <w:p w14:paraId="21C32678" w14:textId="4A14F2D5" w:rsidR="00A56EB4" w:rsidRPr="006839F3" w:rsidRDefault="00A56EB4" w:rsidP="00F2233B">
                      <w:pPr>
                        <w:pStyle w:val="Caption"/>
                        <w:rPr>
                          <w:rFonts w:ascii="Times New Roman" w:hAnsi="Times New Roman" w:cs="Times New Roman"/>
                          <w:noProof/>
                          <w:sz w:val="24"/>
                          <w:szCs w:val="24"/>
                        </w:rPr>
                      </w:pPr>
                      <w:r w:rsidRPr="00B63B81">
                        <w:rPr>
                          <w:b/>
                          <w:bCs/>
                        </w:rPr>
                        <w:t xml:space="preserve">Figure </w:t>
                      </w:r>
                      <w:r>
                        <w:rPr>
                          <w:b/>
                          <w:bCs/>
                        </w:rPr>
                        <w:t>26</w:t>
                      </w:r>
                      <w:r>
                        <w:t>. A population pyramid representing the frequency (x-axis) of attendee gender (split), stratified by age (y-axis), at the South Adult Courts between January 2017 and December 2018, from a sample size of 1861.</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3092352" behindDoc="1" locked="0" layoutInCell="1" allowOverlap="1" wp14:anchorId="1C8697FD" wp14:editId="7D0358FF">
            <wp:simplePos x="0" y="0"/>
            <wp:positionH relativeFrom="margin">
              <wp:posOffset>11875</wp:posOffset>
            </wp:positionH>
            <wp:positionV relativeFrom="page">
              <wp:posOffset>4804311</wp:posOffset>
            </wp:positionV>
            <wp:extent cx="6858000" cy="4032250"/>
            <wp:effectExtent l="0" t="0" r="0" b="6350"/>
            <wp:wrapTight wrapText="bothSides">
              <wp:wrapPolygon edited="0">
                <wp:start x="0" y="0"/>
                <wp:lineTo x="0" y="21532"/>
                <wp:lineTo x="21540" y="21532"/>
                <wp:lineTo x="21540"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4032250"/>
                    </a:xfrm>
                    <a:prstGeom prst="rect">
                      <a:avLst/>
                    </a:prstGeom>
                    <a:noFill/>
                    <a:ln>
                      <a:noFill/>
                    </a:ln>
                  </pic:spPr>
                </pic:pic>
              </a:graphicData>
            </a:graphic>
          </wp:anchor>
        </w:drawing>
      </w:r>
      <w:r w:rsidR="0081061B">
        <w:br w:type="page"/>
      </w:r>
    </w:p>
    <w:p w14:paraId="455D30FD" w14:textId="632FFA6F" w:rsidR="00D43838" w:rsidRDefault="004766BE" w:rsidP="00C81874">
      <w:pPr>
        <w:pStyle w:val="NoSpacing"/>
        <w:rPr>
          <w:rFonts w:ascii="Times New Roman" w:hAnsi="Times New Roman" w:cs="Times New Roman"/>
          <w:sz w:val="24"/>
          <w:szCs w:val="24"/>
        </w:rPr>
      </w:pPr>
      <w:r w:rsidRPr="00E748BF">
        <w:rPr>
          <w:noProof/>
          <w:lang w:val="en-US"/>
        </w:rPr>
        <w:lastRenderedPageBreak/>
        <mc:AlternateContent>
          <mc:Choice Requires="wps">
            <w:drawing>
              <wp:anchor distT="0" distB="0" distL="114300" distR="114300" simplePos="0" relativeHeight="249750016" behindDoc="1" locked="0" layoutInCell="1" allowOverlap="1" wp14:anchorId="58A5CB56" wp14:editId="047A3A3B">
                <wp:simplePos x="0" y="0"/>
                <wp:positionH relativeFrom="margin">
                  <wp:posOffset>100330</wp:posOffset>
                </wp:positionH>
                <wp:positionV relativeFrom="page">
                  <wp:posOffset>3502660</wp:posOffset>
                </wp:positionV>
                <wp:extent cx="3360420" cy="734695"/>
                <wp:effectExtent l="0" t="0" r="0" b="8255"/>
                <wp:wrapTight wrapText="bothSides">
                  <wp:wrapPolygon edited="0">
                    <wp:start x="0" y="0"/>
                    <wp:lineTo x="0" y="21283"/>
                    <wp:lineTo x="21429" y="21283"/>
                    <wp:lineTo x="21429" y="0"/>
                    <wp:lineTo x="0" y="0"/>
                  </wp:wrapPolygon>
                </wp:wrapTight>
                <wp:docPr id="509" name="Text Box 509"/>
                <wp:cNvGraphicFramePr/>
                <a:graphic xmlns:a="http://schemas.openxmlformats.org/drawingml/2006/main">
                  <a:graphicData uri="http://schemas.microsoft.com/office/word/2010/wordprocessingShape">
                    <wps:wsp>
                      <wps:cNvSpPr txBox="1"/>
                      <wps:spPr>
                        <a:xfrm>
                          <a:off x="0" y="0"/>
                          <a:ext cx="3360420" cy="734695"/>
                        </a:xfrm>
                        <a:prstGeom prst="rect">
                          <a:avLst/>
                        </a:prstGeom>
                        <a:solidFill>
                          <a:prstClr val="white"/>
                        </a:solidFill>
                        <a:ln>
                          <a:noFill/>
                        </a:ln>
                      </wps:spPr>
                      <wps:txbx>
                        <w:txbxContent>
                          <w:p w14:paraId="4D364FC4" w14:textId="533B83E5" w:rsidR="00A56EB4" w:rsidRPr="00701EC7" w:rsidRDefault="00A56EB4" w:rsidP="00E748BF">
                            <w:pPr>
                              <w:pStyle w:val="Caption"/>
                              <w:rPr>
                                <w:rFonts w:ascii="Times New Roman" w:hAnsi="Times New Roman" w:cs="Times New Roman"/>
                                <w:noProof/>
                                <w:sz w:val="24"/>
                                <w:szCs w:val="24"/>
                              </w:rPr>
                            </w:pPr>
                            <w:r w:rsidRPr="00B63B81">
                              <w:rPr>
                                <w:b/>
                                <w:bCs/>
                              </w:rPr>
                              <w:t xml:space="preserve">Figure </w:t>
                            </w:r>
                            <w:r>
                              <w:rPr>
                                <w:b/>
                                <w:bCs/>
                              </w:rPr>
                              <w:t>27</w:t>
                            </w:r>
                            <w:r w:rsidRPr="00B63B81">
                              <w:rPr>
                                <w:b/>
                                <w:bCs/>
                              </w:rPr>
                              <w:t>.</w:t>
                            </w:r>
                            <w:r>
                              <w:t xml:space="preserve"> A pie chart of minority status distribution as observed in the South Adult Courts between January 2017 and December 2018, from a sample size of 1886. Slice size represents the relative proportion of respondents identifying as part of a minority group. </w:t>
                            </w:r>
                          </w:p>
                          <w:p w14:paraId="379EE47A" w14:textId="77777777" w:rsidR="00A56EB4" w:rsidRPr="00572B34" w:rsidRDefault="00A56EB4" w:rsidP="00E748BF">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CB56" id="Text Box 509" o:spid="_x0000_s1078" type="#_x0000_t202" style="position:absolute;margin-left:7.9pt;margin-top:275.8pt;width:264.6pt;height:57.85pt;z-index:-25356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" stroked="f">
                <v:textbox inset="0,0,0,0">
                  <w:txbxContent>
                    <w:p w14:paraId="4D364FC4" w14:textId="533B83E5" w:rsidR="00A56EB4" w:rsidRPr="00701EC7" w:rsidRDefault="00A56EB4" w:rsidP="00E748BF">
                      <w:pPr>
                        <w:pStyle w:val="Caption"/>
                        <w:rPr>
                          <w:rFonts w:ascii="Times New Roman" w:hAnsi="Times New Roman" w:cs="Times New Roman"/>
                          <w:noProof/>
                          <w:sz w:val="24"/>
                          <w:szCs w:val="24"/>
                        </w:rPr>
                      </w:pPr>
                      <w:r w:rsidRPr="00B63B81">
                        <w:rPr>
                          <w:b/>
                          <w:bCs/>
                        </w:rPr>
                        <w:t xml:space="preserve">Figure </w:t>
                      </w:r>
                      <w:r>
                        <w:rPr>
                          <w:b/>
                          <w:bCs/>
                        </w:rPr>
                        <w:t>27</w:t>
                      </w:r>
                      <w:r w:rsidRPr="00B63B81">
                        <w:rPr>
                          <w:b/>
                          <w:bCs/>
                        </w:rPr>
                        <w:t>.</w:t>
                      </w:r>
                      <w:r>
                        <w:t xml:space="preserve"> A pie chart of minority status distribution as observed in the South Adult Courts between January 2017 and December 2018, from a sample size of 1886. Slice size represents the relative proportion of respondents identifying as part of a minority group. </w:t>
                      </w:r>
                    </w:p>
                    <w:p w14:paraId="379EE47A" w14:textId="77777777" w:rsidR="00A56EB4" w:rsidRPr="00572B34" w:rsidRDefault="00A56EB4" w:rsidP="00E748BF">
                      <w:pPr>
                        <w:pStyle w:val="Caption"/>
                        <w:rPr>
                          <w:rFonts w:ascii="Times New Roman" w:hAnsi="Times New Roman" w:cs="Times New Roman"/>
                          <w:noProof/>
                          <w:sz w:val="24"/>
                          <w:szCs w:val="24"/>
                        </w:rPr>
                      </w:pP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3140480" behindDoc="1" locked="0" layoutInCell="1" allowOverlap="1" wp14:anchorId="35747DB8" wp14:editId="6018AC31">
            <wp:simplePos x="0" y="0"/>
            <wp:positionH relativeFrom="column">
              <wp:posOffset>10672</wp:posOffset>
            </wp:positionH>
            <wp:positionV relativeFrom="page">
              <wp:posOffset>747922</wp:posOffset>
            </wp:positionV>
            <wp:extent cx="3432175" cy="2529840"/>
            <wp:effectExtent l="0" t="0" r="0" b="3810"/>
            <wp:wrapTight wrapText="bothSides">
              <wp:wrapPolygon edited="0">
                <wp:start x="0" y="0"/>
                <wp:lineTo x="0" y="21470"/>
                <wp:lineTo x="21460" y="21470"/>
                <wp:lineTo x="21460"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a:extLst>
                        <a:ext uri="{28A0092B-C50C-407E-A947-70E740481C1C}">
                          <a14:useLocalDpi xmlns:a14="http://schemas.microsoft.com/office/drawing/2010/main" val="0"/>
                        </a:ext>
                      </a:extLst>
                    </a:blip>
                    <a:srcRect l="26068" t="20453" r="25587" b="18939"/>
                    <a:stretch/>
                  </pic:blipFill>
                  <pic:spPr bwMode="auto">
                    <a:xfrm>
                      <a:off x="0" y="0"/>
                      <a:ext cx="3432175" cy="2529840"/>
                    </a:xfrm>
                    <a:prstGeom prst="rect">
                      <a:avLst/>
                    </a:prstGeom>
                    <a:noFill/>
                    <a:ln>
                      <a:noFill/>
                    </a:ln>
                    <a:extLst>
                      <a:ext uri="{53640926-AAD7-44D8-BBD7-CCE9431645EC}">
                        <a14:shadowObscured xmlns:a14="http://schemas.microsoft.com/office/drawing/2010/main"/>
                      </a:ext>
                    </a:extLst>
                  </pic:spPr>
                </pic:pic>
              </a:graphicData>
            </a:graphic>
          </wp:anchor>
        </w:drawing>
      </w:r>
      <w:r w:rsidR="00834384">
        <w:t xml:space="preserve">It was observed that in defendants receiving services from the Elizabeth Fry Society of Calgary in </w:t>
      </w:r>
      <w:r w:rsidR="006136BE">
        <w:t xml:space="preserve">the </w:t>
      </w:r>
      <w:r w:rsidR="008D12A5">
        <w:t>South Adult Court</w:t>
      </w:r>
      <w:r w:rsidR="006136BE">
        <w:t>s</w:t>
      </w:r>
      <w:r w:rsidR="00834384">
        <w:t xml:space="preserve">, distribution was largely concentrated in younger age groups, and in men. This is reflected in the population pyramid (Figure </w:t>
      </w:r>
      <w:r w:rsidR="00CE634F">
        <w:t>26</w:t>
      </w:r>
      <w:r w:rsidR="00834384">
        <w:t xml:space="preserve">), which is demonstrably bottom-heavy, suggesting a trend towards younger age groups, and left-leaning, suggesting substantial representation of male defendants. Nearly 3 in 4 (73.79%) defendants identified as male (Figure </w:t>
      </w:r>
      <w:r w:rsidR="00CE634F">
        <w:t>24</w:t>
      </w:r>
      <w:r w:rsidR="00834384">
        <w:t xml:space="preserve">), while 32.23% reported being under the age of 30 and 32.60% being 30-39 (Figure </w:t>
      </w:r>
      <w:r w:rsidR="00CE634F">
        <w:t>25</w:t>
      </w:r>
      <w:r w:rsidR="00834384">
        <w:t xml:space="preserve">). Men under 30, and between 30-39, represent the most common demographics supported by the organization, making up 21.92% and 24.45% of all defendants, with a prevalence 2.13X and 2.99X that of their age-matched female peers respectively (Figure </w:t>
      </w:r>
      <w:r w:rsidR="00CE634F">
        <w:t>26</w:t>
      </w:r>
      <w:r w:rsidR="00834384">
        <w:t xml:space="preserve">). Progressively reduced proportions are observed in subsequent age groups of both gender categories (Figure </w:t>
      </w:r>
      <w:r w:rsidR="00CE634F">
        <w:t>26</w:t>
      </w:r>
      <w:r w:rsidR="00834384">
        <w:t xml:space="preserve">). </w:t>
      </w:r>
    </w:p>
    <w:p w14:paraId="212BDE39" w14:textId="0DBD6084" w:rsidR="00356283" w:rsidRDefault="00356283" w:rsidP="00356283">
      <w:pPr>
        <w:autoSpaceDE w:val="0"/>
        <w:autoSpaceDN w:val="0"/>
        <w:adjustRightInd w:val="0"/>
        <w:spacing w:after="0" w:line="240" w:lineRule="auto"/>
        <w:rPr>
          <w:rFonts w:ascii="Times New Roman" w:hAnsi="Times New Roman" w:cs="Times New Roman"/>
          <w:sz w:val="24"/>
          <w:szCs w:val="24"/>
        </w:rPr>
      </w:pPr>
    </w:p>
    <w:p w14:paraId="5107C5F2" w14:textId="52DB5923" w:rsidR="007D4450" w:rsidRDefault="007D4450" w:rsidP="007D4450">
      <w:pPr>
        <w:autoSpaceDE w:val="0"/>
        <w:autoSpaceDN w:val="0"/>
        <w:adjustRightInd w:val="0"/>
        <w:spacing w:after="0" w:line="240" w:lineRule="auto"/>
        <w:rPr>
          <w:rFonts w:ascii="Times New Roman" w:hAnsi="Times New Roman" w:cs="Times New Roman"/>
          <w:sz w:val="24"/>
          <w:szCs w:val="24"/>
        </w:rPr>
      </w:pPr>
    </w:p>
    <w:p w14:paraId="208BA93D" w14:textId="502351C1" w:rsidR="007D4450" w:rsidRDefault="00086E32" w:rsidP="007D4450">
      <w:pPr>
        <w:autoSpaceDE w:val="0"/>
        <w:autoSpaceDN w:val="0"/>
        <w:adjustRightInd w:val="0"/>
        <w:spacing w:after="0" w:line="400" w:lineRule="atLeast"/>
        <w:rPr>
          <w:rFonts w:ascii="Times New Roman" w:hAnsi="Times New Roman" w:cs="Times New Roman"/>
          <w:sz w:val="24"/>
          <w:szCs w:val="24"/>
        </w:rPr>
      </w:pPr>
      <w:r w:rsidRPr="009837DF">
        <w:rPr>
          <w:noProof/>
          <w:lang w:val="en-US"/>
        </w:rPr>
        <mc:AlternateContent>
          <mc:Choice Requires="wps">
            <w:drawing>
              <wp:anchor distT="0" distB="0" distL="114300" distR="114300" simplePos="0" relativeHeight="250080768" behindDoc="1" locked="0" layoutInCell="1" allowOverlap="1" wp14:anchorId="2F3705C0" wp14:editId="2D92CDEF">
                <wp:simplePos x="0" y="0"/>
                <wp:positionH relativeFrom="margin">
                  <wp:align>right</wp:align>
                </wp:positionH>
                <wp:positionV relativeFrom="paragraph">
                  <wp:posOffset>3760470</wp:posOffset>
                </wp:positionV>
                <wp:extent cx="6858000" cy="558800"/>
                <wp:effectExtent l="0" t="0" r="0" b="0"/>
                <wp:wrapTight wrapText="bothSides">
                  <wp:wrapPolygon edited="0">
                    <wp:start x="0" y="0"/>
                    <wp:lineTo x="0" y="20618"/>
                    <wp:lineTo x="21540" y="20618"/>
                    <wp:lineTo x="21540" y="0"/>
                    <wp:lineTo x="0" y="0"/>
                  </wp:wrapPolygon>
                </wp:wrapTight>
                <wp:docPr id="517" name="Text Box 517"/>
                <wp:cNvGraphicFramePr/>
                <a:graphic xmlns:a="http://schemas.openxmlformats.org/drawingml/2006/main">
                  <a:graphicData uri="http://schemas.microsoft.com/office/word/2010/wordprocessingShape">
                    <wps:wsp>
                      <wps:cNvSpPr txBox="1"/>
                      <wps:spPr>
                        <a:xfrm>
                          <a:off x="0" y="0"/>
                          <a:ext cx="6858000" cy="558800"/>
                        </a:xfrm>
                        <a:prstGeom prst="rect">
                          <a:avLst/>
                        </a:prstGeom>
                        <a:solidFill>
                          <a:prstClr val="white"/>
                        </a:solidFill>
                        <a:ln>
                          <a:noFill/>
                        </a:ln>
                      </wps:spPr>
                      <wps:txbx>
                        <w:txbxContent>
                          <w:p w14:paraId="24E598A5" w14:textId="4466F5EF" w:rsidR="00A56EB4" w:rsidRPr="00E25FCA" w:rsidRDefault="00A56EB4" w:rsidP="009837DF">
                            <w:pPr>
                              <w:pStyle w:val="Caption"/>
                            </w:pPr>
                            <w:r w:rsidRPr="00B63B81">
                              <w:rPr>
                                <w:b/>
                                <w:bCs/>
                              </w:rPr>
                              <w:t xml:space="preserve">Figure </w:t>
                            </w:r>
                            <w:r>
                              <w:rPr>
                                <w:b/>
                                <w:bCs/>
                              </w:rPr>
                              <w:t>28</w:t>
                            </w:r>
                            <w:r w:rsidRPr="00B63B81">
                              <w:rPr>
                                <w:b/>
                                <w:bCs/>
                              </w:rPr>
                              <w:t>.</w:t>
                            </w:r>
                            <w:r>
                              <w:t xml:space="preserve"> A population pyramid representing frequency (x-axis) of attendee gender (split), stratified by age (y-axis), and grouped by minority status at the South Adult Courts between January 2017 and December 2018, from a sample size of 1858 (neither: 1747, Indigenous: 70, newcomers: 41). Values exceeding the scale of the count have been indicated within their respective bar, to allow for ease of observing minority group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05C0" id="Text Box 517" o:spid="_x0000_s1079" type="#_x0000_t202" style="position:absolute;margin-left:488.8pt;margin-top:296.1pt;width:540pt;height:44pt;z-index:-2532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" stroked="f">
                <v:textbox inset="0,0,0,0">
                  <w:txbxContent>
                    <w:p w14:paraId="24E598A5" w14:textId="4466F5EF" w:rsidR="00A56EB4" w:rsidRPr="00E25FCA" w:rsidRDefault="00A56EB4" w:rsidP="009837DF">
                      <w:pPr>
                        <w:pStyle w:val="Caption"/>
                      </w:pPr>
                      <w:r w:rsidRPr="00B63B81">
                        <w:rPr>
                          <w:b/>
                          <w:bCs/>
                        </w:rPr>
                        <w:t xml:space="preserve">Figure </w:t>
                      </w:r>
                      <w:r>
                        <w:rPr>
                          <w:b/>
                          <w:bCs/>
                        </w:rPr>
                        <w:t>28</w:t>
                      </w:r>
                      <w:r w:rsidRPr="00B63B81">
                        <w:rPr>
                          <w:b/>
                          <w:bCs/>
                        </w:rPr>
                        <w:t>.</w:t>
                      </w:r>
                      <w:r>
                        <w:t xml:space="preserve"> A population pyramid representing frequency (x-axis) of attendee gender (split), stratified by age (y-axis), and grouped by minority status at the South Adult Courts between January 2017 and December 2018, from a sample size of 1858 (neither: 1747, Indigenous: 70, newcomers: 41). Values exceeding the scale of the count have been indicated within their respective bar, to allow for ease of observing minority group data. </w:t>
                      </w:r>
                    </w:p>
                  </w:txbxContent>
                </v:textbox>
                <w10:wrap type="tight" anchorx="margin"/>
              </v:shape>
            </w:pict>
          </mc:Fallback>
        </mc:AlternateContent>
      </w:r>
      <w:r w:rsidR="008458C2">
        <w:rPr>
          <w:rFonts w:ascii="Times New Roman" w:hAnsi="Times New Roman" w:cs="Times New Roman"/>
          <w:noProof/>
          <w:sz w:val="24"/>
          <w:szCs w:val="24"/>
          <w:lang w:val="en-US"/>
        </w:rPr>
        <w:drawing>
          <wp:inline distT="0" distB="0" distL="0" distR="0" wp14:anchorId="01504BB2" wp14:editId="73F32682">
            <wp:extent cx="6856730" cy="3759039"/>
            <wp:effectExtent l="0" t="0" r="127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a:extLst>
                        <a:ext uri="{28A0092B-C50C-407E-A947-70E740481C1C}">
                          <a14:useLocalDpi xmlns:a14="http://schemas.microsoft.com/office/drawing/2010/main" val="0"/>
                        </a:ext>
                      </a:extLst>
                    </a:blip>
                    <a:srcRect t="1575" b="5197"/>
                    <a:stretch/>
                  </pic:blipFill>
                  <pic:spPr bwMode="auto">
                    <a:xfrm>
                      <a:off x="0" y="0"/>
                      <a:ext cx="6881578" cy="3772661"/>
                    </a:xfrm>
                    <a:prstGeom prst="rect">
                      <a:avLst/>
                    </a:prstGeom>
                    <a:noFill/>
                    <a:ln>
                      <a:noFill/>
                    </a:ln>
                    <a:extLst>
                      <a:ext uri="{53640926-AAD7-44D8-BBD7-CCE9431645EC}">
                        <a14:shadowObscured xmlns:a14="http://schemas.microsoft.com/office/drawing/2010/main"/>
                      </a:ext>
                    </a:extLst>
                  </pic:spPr>
                </pic:pic>
              </a:graphicData>
            </a:graphic>
          </wp:inline>
        </w:drawing>
      </w:r>
    </w:p>
    <w:p w14:paraId="433E9A8E" w14:textId="7B50AF17" w:rsidR="007A6C48" w:rsidRDefault="007A6C48" w:rsidP="007A6C48">
      <w:pPr>
        <w:keepNext/>
        <w:autoSpaceDE w:val="0"/>
        <w:autoSpaceDN w:val="0"/>
        <w:adjustRightInd w:val="0"/>
        <w:spacing w:after="0" w:line="240" w:lineRule="auto"/>
      </w:pPr>
      <w:r>
        <w:t xml:space="preserve">It was observed that the overwhelming majority (93.90%) of defendants receiving services from the Elizabeth Fry Society of Calgary in </w:t>
      </w:r>
      <w:r w:rsidR="006136BE">
        <w:t xml:space="preserve">the </w:t>
      </w:r>
      <w:r w:rsidR="008D12A5">
        <w:t>South Adult Court</w:t>
      </w:r>
      <w:r w:rsidR="006136BE">
        <w:t>s</w:t>
      </w:r>
      <w:r>
        <w:t xml:space="preserve"> had no minority status (Figure </w:t>
      </w:r>
      <w:r w:rsidR="00AC59E6">
        <w:t>27</w:t>
      </w:r>
      <w:r>
        <w:t xml:space="preserve">). When stratified by minority status, distribution was concentrated in men, across all groupings. This is reflected in the </w:t>
      </w:r>
      <w:r>
        <w:lastRenderedPageBreak/>
        <w:t xml:space="preserve">population pyramids (Figure </w:t>
      </w:r>
      <w:r w:rsidR="00AC59E6">
        <w:t>28</w:t>
      </w:r>
      <w:r>
        <w:t xml:space="preserve">), which are demonstrably left-leaning, suggesting substantial representation of male defendants. Between </w:t>
      </w:r>
      <w:r w:rsidR="00262A5A">
        <w:t xml:space="preserve">minority status groupings, </w:t>
      </w:r>
      <w:r w:rsidR="00824FE0">
        <w:t>the pattern of distribution is not always clear.</w:t>
      </w:r>
    </w:p>
    <w:p w14:paraId="7641841B" w14:textId="602C77AF" w:rsidR="00824FE0" w:rsidRDefault="00E71966" w:rsidP="007A6C48">
      <w:pPr>
        <w:keepNext/>
        <w:autoSpaceDE w:val="0"/>
        <w:autoSpaceDN w:val="0"/>
        <w:adjustRightInd w:val="0"/>
        <w:spacing w:after="0" w:line="240" w:lineRule="auto"/>
      </w:pPr>
      <w:r w:rsidRPr="00E71966">
        <w:rPr>
          <w:rFonts w:ascii="Times New Roman" w:hAnsi="Times New Roman" w:cs="Times New Roman"/>
          <w:noProof/>
          <w:sz w:val="24"/>
          <w:szCs w:val="24"/>
          <w:lang w:val="en-US"/>
        </w:rPr>
        <mc:AlternateContent>
          <mc:Choice Requires="wps">
            <w:drawing>
              <wp:anchor distT="45720" distB="45720" distL="114300" distR="114300" simplePos="0" relativeHeight="253201920" behindDoc="1" locked="0" layoutInCell="1" allowOverlap="1" wp14:anchorId="639E6E92" wp14:editId="52193D84">
                <wp:simplePos x="0" y="0"/>
                <wp:positionH relativeFrom="margin">
                  <wp:posOffset>25400</wp:posOffset>
                </wp:positionH>
                <wp:positionV relativeFrom="page">
                  <wp:posOffset>6451600</wp:posOffset>
                </wp:positionV>
                <wp:extent cx="6832600" cy="533400"/>
                <wp:effectExtent l="0" t="0" r="6350" b="0"/>
                <wp:wrapTight wrapText="bothSides">
                  <wp:wrapPolygon edited="0">
                    <wp:start x="0" y="0"/>
                    <wp:lineTo x="0" y="20829"/>
                    <wp:lineTo x="21560" y="20829"/>
                    <wp:lineTo x="21560" y="0"/>
                    <wp:lineTo x="0" y="0"/>
                  </wp:wrapPolygon>
                </wp:wrapTight>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533400"/>
                        </a:xfrm>
                        <a:prstGeom prst="rect">
                          <a:avLst/>
                        </a:prstGeom>
                        <a:solidFill>
                          <a:srgbClr val="FFFFFF"/>
                        </a:solidFill>
                        <a:ln w="9525">
                          <a:noFill/>
                          <a:miter lim="800000"/>
                          <a:headEnd/>
                          <a:tailEnd/>
                        </a:ln>
                      </wps:spPr>
                      <wps:txbx>
                        <w:txbxContent>
                          <w:p w14:paraId="7F69124C" w14:textId="66DBF682" w:rsidR="00A56EB4" w:rsidRPr="00391DDA" w:rsidRDefault="00A56EB4" w:rsidP="00E71966">
                            <w:pPr>
                              <w:pStyle w:val="Caption"/>
                              <w:rPr>
                                <w:rFonts w:ascii="Times New Roman" w:hAnsi="Times New Roman" w:cs="Times New Roman"/>
                              </w:rPr>
                            </w:pPr>
                            <w:r w:rsidRPr="00391DDA">
                              <w:rPr>
                                <w:b/>
                                <w:bCs/>
                              </w:rPr>
                              <w:t xml:space="preserve">Figure </w:t>
                            </w:r>
                            <w:r>
                              <w:rPr>
                                <w:b/>
                                <w:bCs/>
                              </w:rPr>
                              <w:t>29</w:t>
                            </w:r>
                            <w:r w:rsidRPr="00391DDA">
                              <w:rPr>
                                <w:b/>
                                <w:bCs/>
                              </w:rPr>
                              <w:t>.</w:t>
                            </w:r>
                            <w:r w:rsidRPr="00391DDA">
                              <w:t xml:space="preserve"> A bar graph of attendee family size </w:t>
                            </w:r>
                            <w:r>
                              <w:t xml:space="preserve">(x-axis) </w:t>
                            </w:r>
                            <w:r w:rsidRPr="00391DDA">
                              <w:t xml:space="preserve">as observed in </w:t>
                            </w:r>
                            <w:r>
                              <w:t>the South Adult</w:t>
                            </w:r>
                            <w:r w:rsidRPr="00391DDA">
                              <w:t xml:space="preserve"> </w:t>
                            </w:r>
                            <w:r>
                              <w:t>C</w:t>
                            </w:r>
                            <w:r w:rsidRPr="00391DDA">
                              <w:t>ourt</w:t>
                            </w:r>
                            <w:r>
                              <w:t xml:space="preserve">s </w:t>
                            </w:r>
                            <w:r w:rsidRPr="00391DDA">
                              <w:t>between January 2017 and December 201</w:t>
                            </w:r>
                            <w:r>
                              <w:t>8</w:t>
                            </w:r>
                            <w:r w:rsidRPr="00391DDA">
                              <w:t xml:space="preserve">, from a sample size of </w:t>
                            </w:r>
                            <w:r>
                              <w:t>3048.</w:t>
                            </w:r>
                            <w:r w:rsidRPr="00391DDA">
                              <w:t xml:space="preserve"> Bar height corresponds to the number of respondents reporting a given family size (y-axis), with relative proportions of family size categories indicated within the bar. </w:t>
                            </w:r>
                          </w:p>
                          <w:p w14:paraId="43B71258" w14:textId="02D7AE1D"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E6E92" id="_x0000_s1080" type="#_x0000_t202" style="position:absolute;margin-left:2pt;margin-top:508pt;width:538pt;height:42pt;z-index:-2501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" stroked="f">
                <v:textbox>
                  <w:txbxContent>
                    <w:p w14:paraId="7F69124C" w14:textId="66DBF682" w:rsidR="00A56EB4" w:rsidRPr="00391DDA" w:rsidRDefault="00A56EB4" w:rsidP="00E71966">
                      <w:pPr>
                        <w:pStyle w:val="Caption"/>
                        <w:rPr>
                          <w:rFonts w:ascii="Times New Roman" w:hAnsi="Times New Roman" w:cs="Times New Roman"/>
                        </w:rPr>
                      </w:pPr>
                      <w:r w:rsidRPr="00391DDA">
                        <w:rPr>
                          <w:b/>
                          <w:bCs/>
                        </w:rPr>
                        <w:t xml:space="preserve">Figure </w:t>
                      </w:r>
                      <w:r>
                        <w:rPr>
                          <w:b/>
                          <w:bCs/>
                        </w:rPr>
                        <w:t>29</w:t>
                      </w:r>
                      <w:r w:rsidRPr="00391DDA">
                        <w:rPr>
                          <w:b/>
                          <w:bCs/>
                        </w:rPr>
                        <w:t>.</w:t>
                      </w:r>
                      <w:r w:rsidRPr="00391DDA">
                        <w:t xml:space="preserve"> A bar graph of attendee family size </w:t>
                      </w:r>
                      <w:r>
                        <w:t xml:space="preserve">(x-axis) </w:t>
                      </w:r>
                      <w:r w:rsidRPr="00391DDA">
                        <w:t xml:space="preserve">as observed in </w:t>
                      </w:r>
                      <w:r>
                        <w:t>the South Adult</w:t>
                      </w:r>
                      <w:r w:rsidRPr="00391DDA">
                        <w:t xml:space="preserve"> </w:t>
                      </w:r>
                      <w:r>
                        <w:t>C</w:t>
                      </w:r>
                      <w:r w:rsidRPr="00391DDA">
                        <w:t>ourt</w:t>
                      </w:r>
                      <w:r>
                        <w:t xml:space="preserve">s </w:t>
                      </w:r>
                      <w:r w:rsidRPr="00391DDA">
                        <w:t>between January 2017 and December 201</w:t>
                      </w:r>
                      <w:r>
                        <w:t>8</w:t>
                      </w:r>
                      <w:r w:rsidRPr="00391DDA">
                        <w:t xml:space="preserve">, from a sample size of </w:t>
                      </w:r>
                      <w:r>
                        <w:t>3048.</w:t>
                      </w:r>
                      <w:r w:rsidRPr="00391DDA">
                        <w:t xml:space="preserve"> Bar height corresponds to the number of respondents reporting a given family size (y-axis), with relative proportions of family size categories indicated within the bar. </w:t>
                      </w:r>
                    </w:p>
                    <w:p w14:paraId="43B71258" w14:textId="02D7AE1D" w:rsidR="00A56EB4" w:rsidRDefault="00A56EB4"/>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3171200" behindDoc="1" locked="0" layoutInCell="1" allowOverlap="1" wp14:anchorId="2003318B" wp14:editId="2D59C732">
            <wp:simplePos x="0" y="0"/>
            <wp:positionH relativeFrom="margin">
              <wp:align>left</wp:align>
            </wp:positionH>
            <wp:positionV relativeFrom="page">
              <wp:posOffset>2692400</wp:posOffset>
            </wp:positionV>
            <wp:extent cx="6791325" cy="3994150"/>
            <wp:effectExtent l="0" t="0" r="9525" b="6350"/>
            <wp:wrapTight wrapText="bothSides">
              <wp:wrapPolygon edited="0">
                <wp:start x="0" y="0"/>
                <wp:lineTo x="0" y="21531"/>
                <wp:lineTo x="21570" y="21531"/>
                <wp:lineTo x="215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91325" cy="3994150"/>
                    </a:xfrm>
                    <a:prstGeom prst="rect">
                      <a:avLst/>
                    </a:prstGeom>
                    <a:noFill/>
                    <a:ln>
                      <a:noFill/>
                    </a:ln>
                  </pic:spPr>
                </pic:pic>
              </a:graphicData>
            </a:graphic>
          </wp:anchor>
        </w:drawing>
      </w:r>
      <w:r w:rsidR="00824FE0">
        <w:t xml:space="preserve">In individuals without minority status, there is a trend towards younger age groupings. </w:t>
      </w:r>
      <w:r w:rsidR="007A6C48">
        <w:t>Men under 30</w:t>
      </w:r>
      <w:r w:rsidR="00824FE0">
        <w:t>, and 30-</w:t>
      </w:r>
      <w:r w:rsidR="00735F0E">
        <w:t>39 represent</w:t>
      </w:r>
      <w:r w:rsidR="007A6C48">
        <w:t xml:space="preserve"> the most common demographic</w:t>
      </w:r>
      <w:r w:rsidR="00824FE0">
        <w:t>s, amongst those without minority status</w:t>
      </w:r>
      <w:r w:rsidR="007A6C48">
        <w:t xml:space="preserve"> supported by the organization, making up </w:t>
      </w:r>
      <w:r w:rsidR="00824FE0">
        <w:t>22.21</w:t>
      </w:r>
      <w:r w:rsidR="007A6C48">
        <w:t>%</w:t>
      </w:r>
      <w:r w:rsidR="00824FE0">
        <w:t xml:space="preserve"> </w:t>
      </w:r>
      <w:r w:rsidR="007A6C48">
        <w:t xml:space="preserve">and </w:t>
      </w:r>
      <w:r w:rsidR="00824FE0">
        <w:t>24.61</w:t>
      </w:r>
      <w:r w:rsidR="007A6C48">
        <w:t>% of defendants with no minorit</w:t>
      </w:r>
      <w:r w:rsidR="00824FE0">
        <w:t xml:space="preserve">y status, with a prevalence 2.26X and 2.95X that of their age-matched female peers, respectively </w:t>
      </w:r>
      <w:r w:rsidR="007A6C48">
        <w:t xml:space="preserve">(Figure </w:t>
      </w:r>
      <w:r w:rsidR="00AC59E6">
        <w:t>28</w:t>
      </w:r>
      <w:r w:rsidR="007A6C48">
        <w:t xml:space="preserve">). </w:t>
      </w:r>
      <w:r w:rsidR="00824FE0">
        <w:t xml:space="preserve">The relationships observed in Indigenous </w:t>
      </w:r>
      <w:r w:rsidR="00345854">
        <w:t xml:space="preserve">and newcomer </w:t>
      </w:r>
      <w:r w:rsidR="00824FE0">
        <w:t xml:space="preserve">defendants </w:t>
      </w:r>
      <w:r w:rsidR="001E0064">
        <w:t>are</w:t>
      </w:r>
      <w:r w:rsidR="00824FE0">
        <w:t xml:space="preserve"> less clear</w:t>
      </w:r>
      <w:r w:rsidR="00345854">
        <w:t xml:space="preserve"> owing to the relatively small sample sizes, however it appears that distribution across age groups may be more evenly distributed</w:t>
      </w:r>
      <w:r w:rsidR="001E0064">
        <w:t xml:space="preserve"> (Figure 28)</w:t>
      </w:r>
      <w:r w:rsidR="00345854">
        <w:t>.  This is not true of the newcomer group, who did not have any female defendants, with the bulk of defendants seemingly in the 30-39 and 40-49 age groups</w:t>
      </w:r>
      <w:r w:rsidR="001E0064">
        <w:t xml:space="preserve"> (Figure 28)</w:t>
      </w:r>
      <w:r w:rsidR="00345854">
        <w:t xml:space="preserve">. More data would be necessary to better elucidate the nature and strength of these relationships. </w:t>
      </w:r>
    </w:p>
    <w:p w14:paraId="3DC5DB43" w14:textId="6EC4B2A7" w:rsidR="0032181D" w:rsidRDefault="0032181D" w:rsidP="0032181D">
      <w:pPr>
        <w:autoSpaceDE w:val="0"/>
        <w:autoSpaceDN w:val="0"/>
        <w:adjustRightInd w:val="0"/>
        <w:spacing w:after="0" w:line="240" w:lineRule="auto"/>
        <w:rPr>
          <w:rFonts w:ascii="Times New Roman" w:hAnsi="Times New Roman" w:cs="Times New Roman"/>
          <w:sz w:val="24"/>
          <w:szCs w:val="24"/>
        </w:rPr>
      </w:pPr>
    </w:p>
    <w:p w14:paraId="6A797CD8" w14:textId="676D9721" w:rsidR="0032181D" w:rsidRDefault="0032181D" w:rsidP="0032181D">
      <w:pPr>
        <w:autoSpaceDE w:val="0"/>
        <w:autoSpaceDN w:val="0"/>
        <w:adjustRightInd w:val="0"/>
        <w:spacing w:after="0" w:line="240" w:lineRule="auto"/>
        <w:rPr>
          <w:rFonts w:ascii="Times New Roman" w:hAnsi="Times New Roman" w:cs="Times New Roman"/>
          <w:sz w:val="24"/>
          <w:szCs w:val="24"/>
        </w:rPr>
      </w:pPr>
    </w:p>
    <w:p w14:paraId="35906C93" w14:textId="57726A66" w:rsidR="00A372A4" w:rsidRDefault="00A372A4" w:rsidP="00A372A4">
      <w:pPr>
        <w:autoSpaceDE w:val="0"/>
        <w:autoSpaceDN w:val="0"/>
        <w:adjustRightInd w:val="0"/>
        <w:spacing w:after="0" w:line="240" w:lineRule="auto"/>
        <w:rPr>
          <w:rFonts w:ascii="Times New Roman" w:hAnsi="Times New Roman" w:cs="Times New Roman"/>
          <w:sz w:val="24"/>
          <w:szCs w:val="24"/>
        </w:rPr>
      </w:pPr>
    </w:p>
    <w:p w14:paraId="7A4E7216" w14:textId="27A85D1A" w:rsidR="00F42E97" w:rsidRDefault="00F42E97" w:rsidP="00F42E97">
      <w:pPr>
        <w:autoSpaceDE w:val="0"/>
        <w:autoSpaceDN w:val="0"/>
        <w:adjustRightInd w:val="0"/>
        <w:spacing w:after="0" w:line="240" w:lineRule="auto"/>
        <w:rPr>
          <w:rFonts w:ascii="Times New Roman" w:hAnsi="Times New Roman" w:cs="Times New Roman"/>
          <w:sz w:val="24"/>
          <w:szCs w:val="24"/>
        </w:rPr>
      </w:pPr>
    </w:p>
    <w:p w14:paraId="2E7BA304" w14:textId="7370E53D" w:rsidR="00F42E97" w:rsidRDefault="00F42E97" w:rsidP="00F42E97">
      <w:pPr>
        <w:autoSpaceDE w:val="0"/>
        <w:autoSpaceDN w:val="0"/>
        <w:adjustRightInd w:val="0"/>
        <w:spacing w:after="0" w:line="240" w:lineRule="auto"/>
        <w:rPr>
          <w:rFonts w:ascii="Times New Roman" w:hAnsi="Times New Roman" w:cs="Times New Roman"/>
          <w:sz w:val="24"/>
          <w:szCs w:val="24"/>
        </w:rPr>
      </w:pPr>
    </w:p>
    <w:p w14:paraId="30E4FCD1" w14:textId="73A6DFCA" w:rsidR="00E44F26" w:rsidRDefault="00E91BBA" w:rsidP="00E44F26">
      <w:pPr>
        <w:autoSpaceDE w:val="0"/>
        <w:autoSpaceDN w:val="0"/>
        <w:adjustRightInd w:val="0"/>
        <w:spacing w:after="0" w:line="240" w:lineRule="auto"/>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0487296" behindDoc="1" locked="0" layoutInCell="1" allowOverlap="1" wp14:anchorId="222099B7" wp14:editId="683BA5A0">
                <wp:simplePos x="0" y="0"/>
                <wp:positionH relativeFrom="margin">
                  <wp:align>right</wp:align>
                </wp:positionH>
                <wp:positionV relativeFrom="page">
                  <wp:posOffset>5092700</wp:posOffset>
                </wp:positionV>
                <wp:extent cx="6851015" cy="444500"/>
                <wp:effectExtent l="0" t="0" r="6985" b="0"/>
                <wp:wrapTight wrapText="bothSides">
                  <wp:wrapPolygon edited="0">
                    <wp:start x="0" y="0"/>
                    <wp:lineTo x="0" y="20366"/>
                    <wp:lineTo x="21562" y="20366"/>
                    <wp:lineTo x="21562" y="0"/>
                    <wp:lineTo x="0" y="0"/>
                  </wp:wrapPolygon>
                </wp:wrapTight>
                <wp:docPr id="526" name="Text Box 526"/>
                <wp:cNvGraphicFramePr/>
                <a:graphic xmlns:a="http://schemas.openxmlformats.org/drawingml/2006/main">
                  <a:graphicData uri="http://schemas.microsoft.com/office/word/2010/wordprocessingShape">
                    <wps:wsp>
                      <wps:cNvSpPr txBox="1"/>
                      <wps:spPr>
                        <a:xfrm>
                          <a:off x="0" y="0"/>
                          <a:ext cx="6851015" cy="444500"/>
                        </a:xfrm>
                        <a:prstGeom prst="rect">
                          <a:avLst/>
                        </a:prstGeom>
                        <a:solidFill>
                          <a:prstClr val="white"/>
                        </a:solidFill>
                        <a:ln>
                          <a:noFill/>
                        </a:ln>
                      </wps:spPr>
                      <wps:txbx>
                        <w:txbxContent>
                          <w:p w14:paraId="0980B7FE" w14:textId="7D58CEC2" w:rsidR="00A56EB4" w:rsidRPr="008E7C76" w:rsidRDefault="00A56EB4" w:rsidP="008053BF">
                            <w:pPr>
                              <w:pStyle w:val="Caption"/>
                              <w:rPr>
                                <w:highlight w:val="yellow"/>
                              </w:rPr>
                            </w:pPr>
                            <w:r w:rsidRPr="00B63B81">
                              <w:rPr>
                                <w:b/>
                                <w:bCs/>
                              </w:rPr>
                              <w:t xml:space="preserve">Figure </w:t>
                            </w:r>
                            <w:r>
                              <w:rPr>
                                <w:b/>
                                <w:bCs/>
                              </w:rPr>
                              <w:t>30</w:t>
                            </w:r>
                            <w:r w:rsidRPr="00B63B81">
                              <w:rPr>
                                <w:b/>
                                <w:bCs/>
                              </w:rPr>
                              <w:t>.</w:t>
                            </w:r>
                            <w:r>
                              <w:t xml:space="preserve"> </w:t>
                            </w:r>
                            <w:r w:rsidRPr="000504B7">
                              <w:t xml:space="preserve">Proportion of attendee households (y-axis) in a given income category (colour legend) by family size (x-axis), grouped by minority status, at </w:t>
                            </w:r>
                            <w:r>
                              <w:t>the South Adult C</w:t>
                            </w:r>
                            <w:r w:rsidRPr="000504B7">
                              <w:t>ourt</w:t>
                            </w:r>
                            <w:r>
                              <w:t>s</w:t>
                            </w:r>
                            <w:r w:rsidRPr="000504B7">
                              <w:t xml:space="preserve"> between January 2017 and December 2018. Bar height represents 100% of attendee households in a family size category. This data was generated from a sample size of </w:t>
                            </w:r>
                            <w:r>
                              <w:t>1658</w:t>
                            </w:r>
                            <w:r w:rsidRPr="000504B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99B7" id="Text Box 526" o:spid="_x0000_s1081" type="#_x0000_t202" style="position:absolute;margin-left:488.25pt;margin-top:401pt;width:539.45pt;height:35pt;z-index:-252829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" stroked="f">
                <v:textbox inset="0,0,0,0">
                  <w:txbxContent>
                    <w:p w14:paraId="0980B7FE" w14:textId="7D58CEC2" w:rsidR="00A56EB4" w:rsidRPr="008E7C76" w:rsidRDefault="00A56EB4" w:rsidP="008053BF">
                      <w:pPr>
                        <w:pStyle w:val="Caption"/>
                        <w:rPr>
                          <w:highlight w:val="yellow"/>
                        </w:rPr>
                      </w:pPr>
                      <w:r w:rsidRPr="00B63B81">
                        <w:rPr>
                          <w:b/>
                          <w:bCs/>
                        </w:rPr>
                        <w:t xml:space="preserve">Figure </w:t>
                      </w:r>
                      <w:r>
                        <w:rPr>
                          <w:b/>
                          <w:bCs/>
                        </w:rPr>
                        <w:t>30</w:t>
                      </w:r>
                      <w:r w:rsidRPr="00B63B81">
                        <w:rPr>
                          <w:b/>
                          <w:bCs/>
                        </w:rPr>
                        <w:t>.</w:t>
                      </w:r>
                      <w:r>
                        <w:t xml:space="preserve"> </w:t>
                      </w:r>
                      <w:r w:rsidRPr="000504B7">
                        <w:t xml:space="preserve">Proportion of attendee households (y-axis) in a given income category (colour legend) by family size (x-axis), grouped by minority status, at </w:t>
                      </w:r>
                      <w:r>
                        <w:t>the South Adult C</w:t>
                      </w:r>
                      <w:r w:rsidRPr="000504B7">
                        <w:t>ourt</w:t>
                      </w:r>
                      <w:r>
                        <w:t>s</w:t>
                      </w:r>
                      <w:r w:rsidRPr="000504B7">
                        <w:t xml:space="preserve"> between January 2017 and December 2018. Bar height represents 100% of attendee households in a family size category. This data was generated from a sample size of </w:t>
                      </w:r>
                      <w:r>
                        <w:t>1658</w:t>
                      </w:r>
                      <w:r w:rsidRPr="000504B7">
                        <w:t xml:space="preserve">. </w:t>
                      </w:r>
                    </w:p>
                  </w:txbxContent>
                </v:textbox>
                <w10:wrap type="tight" anchorx="margin" anchory="page"/>
              </v:shape>
            </w:pict>
          </mc:Fallback>
        </mc:AlternateContent>
      </w:r>
      <w:r w:rsidR="00CF03A2">
        <w:rPr>
          <w:noProof/>
          <w:lang w:val="en-US"/>
        </w:rPr>
        <w:drawing>
          <wp:inline distT="0" distB="0" distL="0" distR="0" wp14:anchorId="63E445BC" wp14:editId="534DCA82">
            <wp:extent cx="6794500" cy="4146288"/>
            <wp:effectExtent l="0" t="0" r="6350" b="69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99929" cy="4149601"/>
                    </a:xfrm>
                    <a:prstGeom prst="rect">
                      <a:avLst/>
                    </a:prstGeom>
                  </pic:spPr>
                </pic:pic>
              </a:graphicData>
            </a:graphic>
          </wp:inline>
        </w:drawing>
      </w:r>
      <w:r w:rsidR="00E44F26" w:rsidRPr="00E44F26">
        <w:rPr>
          <w:rFonts w:ascii="Times New Roman" w:hAnsi="Times New Roman" w:cs="Times New Roman"/>
          <w:sz w:val="24"/>
          <w:szCs w:val="24"/>
        </w:rPr>
        <w:t xml:space="preserve"> </w:t>
      </w:r>
    </w:p>
    <w:p w14:paraId="5BC3AABA" w14:textId="3FA7AE74" w:rsidR="00E44F26" w:rsidRDefault="00E44F26" w:rsidP="00E44F26">
      <w:pPr>
        <w:autoSpaceDE w:val="0"/>
        <w:autoSpaceDN w:val="0"/>
        <w:adjustRightInd w:val="0"/>
        <w:spacing w:after="0" w:line="240" w:lineRule="auto"/>
        <w:rPr>
          <w:rFonts w:ascii="Times New Roman" w:hAnsi="Times New Roman" w:cs="Times New Roman"/>
          <w:sz w:val="24"/>
          <w:szCs w:val="24"/>
        </w:rPr>
      </w:pPr>
    </w:p>
    <w:p w14:paraId="7C798260" w14:textId="31D071FF" w:rsidR="00E44F26" w:rsidRDefault="00E44F26" w:rsidP="00E44F26">
      <w:pPr>
        <w:autoSpaceDE w:val="0"/>
        <w:autoSpaceDN w:val="0"/>
        <w:adjustRightInd w:val="0"/>
        <w:spacing w:after="0" w:line="400" w:lineRule="atLeast"/>
        <w:rPr>
          <w:rFonts w:ascii="Times New Roman" w:hAnsi="Times New Roman" w:cs="Times New Roman"/>
          <w:sz w:val="24"/>
          <w:szCs w:val="24"/>
        </w:rPr>
      </w:pPr>
    </w:p>
    <w:p w14:paraId="1EBCB42B" w14:textId="05B98939" w:rsidR="00456879" w:rsidRDefault="00456879" w:rsidP="00456879">
      <w:pPr>
        <w:autoSpaceDE w:val="0"/>
        <w:autoSpaceDN w:val="0"/>
        <w:adjustRightInd w:val="0"/>
        <w:spacing w:after="0" w:line="240" w:lineRule="auto"/>
        <w:rPr>
          <w:rFonts w:ascii="Times New Roman" w:hAnsi="Times New Roman" w:cs="Times New Roman"/>
          <w:sz w:val="24"/>
          <w:szCs w:val="24"/>
        </w:rPr>
      </w:pPr>
    </w:p>
    <w:p w14:paraId="7A55074E" w14:textId="0396FD50" w:rsidR="00874297" w:rsidRDefault="00874297" w:rsidP="00874297">
      <w:pPr>
        <w:autoSpaceDE w:val="0"/>
        <w:autoSpaceDN w:val="0"/>
        <w:adjustRightInd w:val="0"/>
        <w:spacing w:after="0" w:line="240" w:lineRule="auto"/>
        <w:rPr>
          <w:rFonts w:ascii="Times New Roman" w:hAnsi="Times New Roman" w:cs="Times New Roman"/>
          <w:sz w:val="24"/>
          <w:szCs w:val="24"/>
        </w:rPr>
      </w:pPr>
    </w:p>
    <w:p w14:paraId="2F67BCFD" w14:textId="25A68256"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189A011D" w14:textId="2FB83178"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3C2418F3" w14:textId="4FDDFD04"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12405B05" w14:textId="0DDCC45D"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2EC85A9F" w14:textId="3438673F"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323387A8" w14:textId="398E1936"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3FC36D7F" w14:textId="7B651B19"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58C3C0C5" w14:textId="1042EA44"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3E903677" w14:textId="4591DD31"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63280A24" w14:textId="3C43EAC5"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0A0978AE" w14:textId="2867577F"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1F946407" w14:textId="1ACE1F8F" w:rsidR="008A5AB2" w:rsidRDefault="008A5AB2" w:rsidP="00874297">
      <w:pPr>
        <w:autoSpaceDE w:val="0"/>
        <w:autoSpaceDN w:val="0"/>
        <w:adjustRightInd w:val="0"/>
        <w:spacing w:after="0" w:line="240" w:lineRule="auto"/>
        <w:rPr>
          <w:rFonts w:ascii="Times New Roman" w:hAnsi="Times New Roman" w:cs="Times New Roman"/>
          <w:sz w:val="24"/>
          <w:szCs w:val="24"/>
        </w:rPr>
      </w:pPr>
    </w:p>
    <w:p w14:paraId="45C71E02" w14:textId="3D241595" w:rsidR="008A5AB2" w:rsidRPr="000D0896" w:rsidRDefault="00314567" w:rsidP="00B63B00">
      <w:r w:rsidRPr="00B63B00">
        <w:rPr>
          <w:noProof/>
          <w:lang w:val="en-US"/>
        </w:rPr>
        <w:lastRenderedPageBreak/>
        <mc:AlternateContent>
          <mc:Choice Requires="wps">
            <w:drawing>
              <wp:anchor distT="0" distB="0" distL="114300" distR="114300" simplePos="0" relativeHeight="248046080" behindDoc="1" locked="0" layoutInCell="1" allowOverlap="1" wp14:anchorId="583C9CC1" wp14:editId="6A5EBFD4">
                <wp:simplePos x="0" y="0"/>
                <wp:positionH relativeFrom="margin">
                  <wp:posOffset>0</wp:posOffset>
                </wp:positionH>
                <wp:positionV relativeFrom="paragraph">
                  <wp:posOffset>127591</wp:posOffset>
                </wp:positionV>
                <wp:extent cx="6858000" cy="635"/>
                <wp:effectExtent l="0" t="0" r="0" b="7620"/>
                <wp:wrapTight wrapText="bothSides">
                  <wp:wrapPolygon edited="0">
                    <wp:start x="0" y="0"/>
                    <wp:lineTo x="0" y="20971"/>
                    <wp:lineTo x="21540" y="20971"/>
                    <wp:lineTo x="2154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858000" cy="635"/>
                        </a:xfrm>
                        <a:prstGeom prst="rect">
                          <a:avLst/>
                        </a:prstGeom>
                        <a:solidFill>
                          <a:prstClr val="white"/>
                        </a:solidFill>
                        <a:ln>
                          <a:noFill/>
                        </a:ln>
                      </wps:spPr>
                      <wps:txbx>
                        <w:txbxContent>
                          <w:p w14:paraId="7DC2E13D" w14:textId="4DFF3BF3" w:rsidR="00A56EB4" w:rsidRPr="00735513" w:rsidRDefault="00A56EB4" w:rsidP="00735513">
                            <w:pPr>
                              <w:pStyle w:val="Caption"/>
                            </w:pPr>
                            <w:r w:rsidRPr="00735513">
                              <w:rPr>
                                <w:b/>
                                <w:bCs/>
                              </w:rPr>
                              <w:t>Table 11</w:t>
                            </w:r>
                            <w:r w:rsidRPr="00735513">
                              <w:t xml:space="preserve">. Number of attendee households in various income categories, stratified by family size and minority status, at </w:t>
                            </w:r>
                            <w:r>
                              <w:t>the South Adult C</w:t>
                            </w:r>
                            <w:r w:rsidRPr="00735513">
                              <w:t>ourt</w:t>
                            </w:r>
                            <w:r>
                              <w:t>s</w:t>
                            </w:r>
                            <w:r w:rsidRPr="00735513">
                              <w:t xml:space="preserve"> between January 2017 and December 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3C9CC1" id="Text Box 8" o:spid="_x0000_s1082" type="#_x0000_t202" style="position:absolute;margin-left:0;margin-top:10.05pt;width:540pt;height:.05pt;z-index:-25527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" stroked="f">
                <v:textbox style="mso-fit-shape-to-text:t" inset="0,0,0,0">
                  <w:txbxContent>
                    <w:p w14:paraId="7DC2E13D" w14:textId="4DFF3BF3" w:rsidR="00A56EB4" w:rsidRPr="00735513" w:rsidRDefault="00A56EB4" w:rsidP="00735513">
                      <w:pPr>
                        <w:pStyle w:val="Caption"/>
                      </w:pPr>
                      <w:r w:rsidRPr="00735513">
                        <w:rPr>
                          <w:b/>
                          <w:bCs/>
                        </w:rPr>
                        <w:t>Table 11</w:t>
                      </w:r>
                      <w:r w:rsidRPr="00735513">
                        <w:t xml:space="preserve">. Number of attendee households in various income categories, stratified by family size and minority status, at </w:t>
                      </w:r>
                      <w:r>
                        <w:t>the South Adult C</w:t>
                      </w:r>
                      <w:r w:rsidRPr="00735513">
                        <w:t>ourt</w:t>
                      </w:r>
                      <w:r>
                        <w:t>s</w:t>
                      </w:r>
                      <w:r w:rsidRPr="00735513">
                        <w:t xml:space="preserve"> between January 2017 and December 2018. </w:t>
                      </w:r>
                    </w:p>
                  </w:txbxContent>
                </v:textbox>
                <w10:wrap type="tight" anchorx="margin"/>
              </v:shape>
            </w:pict>
          </mc:Fallback>
        </mc:AlternateContent>
      </w:r>
      <w:r w:rsidR="00735513" w:rsidRPr="00B63B00">
        <w:rPr>
          <w:noProof/>
          <w:lang w:val="en-US"/>
        </w:rPr>
        <w:drawing>
          <wp:anchor distT="0" distB="0" distL="114300" distR="114300" simplePos="0" relativeHeight="248078848" behindDoc="1" locked="0" layoutInCell="1" allowOverlap="1" wp14:anchorId="4ACF263B" wp14:editId="4FF229B7">
            <wp:simplePos x="0" y="0"/>
            <wp:positionH relativeFrom="margin">
              <wp:align>right</wp:align>
            </wp:positionH>
            <wp:positionV relativeFrom="page">
              <wp:posOffset>1214705</wp:posOffset>
            </wp:positionV>
            <wp:extent cx="6845300" cy="6191885"/>
            <wp:effectExtent l="0" t="0" r="0" b="0"/>
            <wp:wrapTight wrapText="bothSides">
              <wp:wrapPolygon edited="0">
                <wp:start x="0" y="0"/>
                <wp:lineTo x="0" y="21531"/>
                <wp:lineTo x="21520" y="21531"/>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845300" cy="6191885"/>
                    </a:xfrm>
                    <a:prstGeom prst="rect">
                      <a:avLst/>
                    </a:prstGeom>
                  </pic:spPr>
                </pic:pic>
              </a:graphicData>
            </a:graphic>
            <wp14:sizeRelH relativeFrom="margin">
              <wp14:pctWidth>0</wp14:pctWidth>
            </wp14:sizeRelH>
            <wp14:sizeRelV relativeFrom="margin">
              <wp14:pctHeight>0</wp14:pctHeight>
            </wp14:sizeRelV>
          </wp:anchor>
        </w:drawing>
      </w:r>
      <w:r w:rsidR="008A5AB2" w:rsidRPr="00B63B00">
        <w:t xml:space="preserve">It was observed that the </w:t>
      </w:r>
      <w:r w:rsidR="00D4124A">
        <w:t>greater portion</w:t>
      </w:r>
      <w:r w:rsidR="008A5AB2" w:rsidRPr="00B63B00">
        <w:t xml:space="preserve"> (39.94%) of attendees indicated that they were part of a two person family unit (Figure </w:t>
      </w:r>
      <w:r w:rsidR="000D0896" w:rsidRPr="00B63B00">
        <w:t>29</w:t>
      </w:r>
      <w:r w:rsidR="008A5AB2" w:rsidRPr="00B63B00">
        <w:t>). An inverse relationship is observed between family size and attendee count</w:t>
      </w:r>
      <w:r w:rsidR="000D0896" w:rsidRPr="00B63B00">
        <w:t xml:space="preserve"> (Figure 29)</w:t>
      </w:r>
      <w:r w:rsidR="008A5AB2">
        <w:t xml:space="preserve">. </w:t>
      </w:r>
    </w:p>
    <w:p w14:paraId="02D70214" w14:textId="6833F77E" w:rsidR="008A5AB2" w:rsidRDefault="008A5AB2" w:rsidP="00B63B00">
      <w:r>
        <w:t xml:space="preserve">There exists an observable general trend towards groups with minority status – particularly those identifying as Indigenous – demonstrating a greater proportion of individuals with an annual household income of less than $15,000, and a lesser proportion with more than $55,0000, in contrast to individuals without minority status (Figure </w:t>
      </w:r>
      <w:r w:rsidR="000D0896">
        <w:t>30</w:t>
      </w:r>
      <w:r>
        <w:t xml:space="preserve">, Table </w:t>
      </w:r>
      <w:r w:rsidR="000D0896">
        <w:t>11</w:t>
      </w:r>
      <w:r>
        <w:t>). The odds of Indigenous families falling below the Market Basket Measure (</w:t>
      </w:r>
      <w:r w:rsidR="00917002">
        <w:t>MBM, Appendix 9.1; Statistics Canada, 2015</w:t>
      </w:r>
      <w:r>
        <w:t xml:space="preserve">) value for a living income in </w:t>
      </w:r>
      <w:r w:rsidR="001B7927">
        <w:t>rural Alberta</w:t>
      </w:r>
      <w:r>
        <w:t xml:space="preserve"> relative to non-Indigenous families of a comparable size is considerable</w:t>
      </w:r>
      <w:r w:rsidR="000D0896">
        <w:t xml:space="preserve">, however </w:t>
      </w:r>
      <w:r w:rsidR="001B7927">
        <w:t xml:space="preserve">frequently </w:t>
      </w:r>
      <w:r w:rsidR="000D0896">
        <w:t xml:space="preserve">impossible to quantify </w:t>
      </w:r>
      <w:r>
        <w:t xml:space="preserve">owing to the fact that </w:t>
      </w:r>
      <w:r w:rsidR="00A8036B">
        <w:t>there were no</w:t>
      </w:r>
      <w:r>
        <w:t xml:space="preserve"> Indigenous or newcomer status families</w:t>
      </w:r>
      <w:r w:rsidR="00A8036B">
        <w:t xml:space="preserve"> of any size</w:t>
      </w:r>
      <w:r>
        <w:t xml:space="preserve"> living above the MBM value</w:t>
      </w:r>
      <w:r w:rsidR="00A8036B">
        <w:t>s</w:t>
      </w:r>
      <w:r>
        <w:t>.</w:t>
      </w:r>
      <w:r w:rsidR="001B7927">
        <w:t xml:space="preserve"> The one </w:t>
      </w:r>
      <w:r w:rsidR="00D4124A">
        <w:rPr>
          <w:rFonts w:ascii="Times New Roman" w:hAnsi="Times New Roman" w:cs="Times New Roman"/>
          <w:noProof/>
          <w:sz w:val="24"/>
          <w:szCs w:val="24"/>
          <w:lang w:val="en-US"/>
        </w:rPr>
        <w:lastRenderedPageBreak/>
        <w:drawing>
          <wp:anchor distT="0" distB="0" distL="114300" distR="114300" simplePos="0" relativeHeight="248473088" behindDoc="1" locked="0" layoutInCell="1" allowOverlap="1" wp14:anchorId="5530B050" wp14:editId="18373B6F">
            <wp:simplePos x="0" y="0"/>
            <wp:positionH relativeFrom="margin">
              <wp:posOffset>0</wp:posOffset>
            </wp:positionH>
            <wp:positionV relativeFrom="page">
              <wp:posOffset>452769</wp:posOffset>
            </wp:positionV>
            <wp:extent cx="4775200" cy="2571750"/>
            <wp:effectExtent l="0" t="0" r="6350" b="0"/>
            <wp:wrapTight wrapText="bothSides">
              <wp:wrapPolygon edited="0">
                <wp:start x="0" y="0"/>
                <wp:lineTo x="0" y="21440"/>
                <wp:lineTo x="21543" y="21440"/>
                <wp:lineTo x="21543"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a:extLst>
                        <a:ext uri="{28A0092B-C50C-407E-A947-70E740481C1C}">
                          <a14:useLocalDpi xmlns:a14="http://schemas.microsoft.com/office/drawing/2010/main" val="0"/>
                        </a:ext>
                      </a:extLst>
                    </a:blip>
                    <a:srcRect l="15967" t="18362" r="14793" b="18199"/>
                    <a:stretch/>
                  </pic:blipFill>
                  <pic:spPr bwMode="auto">
                    <a:xfrm>
                      <a:off x="0" y="0"/>
                      <a:ext cx="4775200"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927">
        <w:t>calculation that could be completed suggested that attendees who are newcomers with families of 3, have 1.46X the odds of attendees with families of 3 and no minority status, of living below the MBM values for rural Alberta.</w:t>
      </w:r>
    </w:p>
    <w:p w14:paraId="6A74BA65" w14:textId="07C33E26" w:rsidR="002958F6" w:rsidRDefault="002958F6" w:rsidP="00456879">
      <w:pPr>
        <w:autoSpaceDE w:val="0"/>
        <w:autoSpaceDN w:val="0"/>
        <w:adjustRightInd w:val="0"/>
        <w:spacing w:after="0" w:line="400" w:lineRule="atLeast"/>
        <w:rPr>
          <w:rFonts w:ascii="Times New Roman" w:hAnsi="Times New Roman" w:cs="Times New Roman"/>
          <w:sz w:val="24"/>
          <w:szCs w:val="24"/>
        </w:rPr>
      </w:pPr>
    </w:p>
    <w:p w14:paraId="277D489E" w14:textId="118C2C74" w:rsidR="002958F6" w:rsidRDefault="002958F6" w:rsidP="00456879">
      <w:pPr>
        <w:autoSpaceDE w:val="0"/>
        <w:autoSpaceDN w:val="0"/>
        <w:adjustRightInd w:val="0"/>
        <w:spacing w:after="0" w:line="400" w:lineRule="atLeast"/>
        <w:rPr>
          <w:rFonts w:ascii="Times New Roman" w:hAnsi="Times New Roman" w:cs="Times New Roman"/>
          <w:sz w:val="24"/>
          <w:szCs w:val="24"/>
        </w:rPr>
      </w:pPr>
    </w:p>
    <w:p w14:paraId="51B9594F" w14:textId="3A60FAC3" w:rsidR="001B7927" w:rsidRDefault="001B7927" w:rsidP="00677A59">
      <w:pPr>
        <w:autoSpaceDE w:val="0"/>
        <w:autoSpaceDN w:val="0"/>
        <w:adjustRightInd w:val="0"/>
        <w:spacing w:after="0" w:line="240" w:lineRule="auto"/>
        <w:rPr>
          <w:rFonts w:ascii="Times New Roman" w:hAnsi="Times New Roman" w:cs="Times New Roman"/>
          <w:sz w:val="24"/>
          <w:szCs w:val="24"/>
        </w:rPr>
      </w:pPr>
    </w:p>
    <w:p w14:paraId="06610634" w14:textId="666DC080" w:rsidR="001B7927" w:rsidRDefault="00D4124A" w:rsidP="00677A59">
      <w:pPr>
        <w:autoSpaceDE w:val="0"/>
        <w:autoSpaceDN w:val="0"/>
        <w:adjustRightInd w:val="0"/>
        <w:spacing w:after="0" w:line="240" w:lineRule="auto"/>
        <w:rPr>
          <w:rFonts w:ascii="Times New Roman" w:hAnsi="Times New Roman" w:cs="Times New Roman"/>
          <w:sz w:val="24"/>
          <w:szCs w:val="24"/>
        </w:rPr>
      </w:pPr>
      <w:r w:rsidRPr="009B3AE0">
        <w:rPr>
          <w:rFonts w:ascii="Times New Roman" w:hAnsi="Times New Roman" w:cs="Times New Roman"/>
          <w:noProof/>
          <w:sz w:val="24"/>
          <w:szCs w:val="24"/>
          <w:lang w:val="en-US"/>
        </w:rPr>
        <mc:AlternateContent>
          <mc:Choice Requires="wps">
            <w:drawing>
              <wp:anchor distT="45720" distB="45720" distL="114300" distR="114300" simplePos="0" relativeHeight="250594816" behindDoc="1" locked="0" layoutInCell="1" allowOverlap="1" wp14:anchorId="22A4F3BD" wp14:editId="19EFBEA9">
                <wp:simplePos x="0" y="0"/>
                <wp:positionH relativeFrom="column">
                  <wp:posOffset>-5036820</wp:posOffset>
                </wp:positionH>
                <wp:positionV relativeFrom="page">
                  <wp:posOffset>2997835</wp:posOffset>
                </wp:positionV>
                <wp:extent cx="4761865" cy="701675"/>
                <wp:effectExtent l="0" t="0" r="635" b="3175"/>
                <wp:wrapTight wrapText="bothSides">
                  <wp:wrapPolygon edited="0">
                    <wp:start x="0" y="0"/>
                    <wp:lineTo x="0" y="21111"/>
                    <wp:lineTo x="21516" y="21111"/>
                    <wp:lineTo x="2151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701675"/>
                        </a:xfrm>
                        <a:prstGeom prst="rect">
                          <a:avLst/>
                        </a:prstGeom>
                        <a:solidFill>
                          <a:srgbClr val="FFFFFF"/>
                        </a:solidFill>
                        <a:ln w="9525">
                          <a:noFill/>
                          <a:miter lim="800000"/>
                          <a:headEnd/>
                          <a:tailEnd/>
                        </a:ln>
                      </wps:spPr>
                      <wps:txbx>
                        <w:txbxContent>
                          <w:p w14:paraId="5285C67D" w14:textId="5593E19A" w:rsidR="00A56EB4" w:rsidRDefault="00A56EB4" w:rsidP="009B3AE0">
                            <w:pPr>
                              <w:pStyle w:val="Caption"/>
                            </w:pPr>
                            <w:r w:rsidRPr="00913601">
                              <w:rPr>
                                <w:b/>
                                <w:bCs/>
                              </w:rPr>
                              <w:t xml:space="preserve">Figure </w:t>
                            </w:r>
                            <w:r>
                              <w:rPr>
                                <w:b/>
                                <w:bCs/>
                              </w:rPr>
                              <w:t xml:space="preserve">31. </w:t>
                            </w:r>
                            <w:r>
                              <w:t>A pie chart of the type of offence preceding defendants’ administration charges, as observed in the South Adult Courts between January 2017 and December 2019, from a sample size of 84. Slice size represents the relative proportion of respondents convicted of a given offence type.</w:t>
                            </w:r>
                          </w:p>
                          <w:p w14:paraId="7CF43F3B" w14:textId="4B312780"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4F3BD" id="_x0000_s1083" type="#_x0000_t202" style="position:absolute;margin-left:-396.6pt;margin-top:236.05pt;width:374.95pt;height:55.25pt;z-index:-25272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" stroked="f">
                <v:textbox>
                  <w:txbxContent>
                    <w:p w14:paraId="5285C67D" w14:textId="5593E19A" w:rsidR="00A56EB4" w:rsidRDefault="00A56EB4" w:rsidP="009B3AE0">
                      <w:pPr>
                        <w:pStyle w:val="Caption"/>
                      </w:pPr>
                      <w:r w:rsidRPr="00913601">
                        <w:rPr>
                          <w:b/>
                          <w:bCs/>
                        </w:rPr>
                        <w:t xml:space="preserve">Figure </w:t>
                      </w:r>
                      <w:r>
                        <w:rPr>
                          <w:b/>
                          <w:bCs/>
                        </w:rPr>
                        <w:t xml:space="preserve">31. </w:t>
                      </w:r>
                      <w:r>
                        <w:t>A pie chart of the type of offence preceding defendants’ administration charges, as observed in the South Adult Courts between January 2017 and December 2019, from a sample size of 84. Slice size represents the relative proportion of respondents convicted of a given offence type.</w:t>
                      </w:r>
                    </w:p>
                    <w:p w14:paraId="7CF43F3B" w14:textId="4B312780" w:rsidR="00A56EB4" w:rsidRDefault="00A56EB4"/>
                  </w:txbxContent>
                </v:textbox>
                <w10:wrap type="tight" anchory="page"/>
              </v:shape>
            </w:pict>
          </mc:Fallback>
        </mc:AlternateContent>
      </w:r>
    </w:p>
    <w:p w14:paraId="1AE4D7ED" w14:textId="152FD0E6" w:rsidR="001B7927" w:rsidRDefault="001B7927" w:rsidP="00677A59">
      <w:pPr>
        <w:autoSpaceDE w:val="0"/>
        <w:autoSpaceDN w:val="0"/>
        <w:adjustRightInd w:val="0"/>
        <w:spacing w:after="0" w:line="240" w:lineRule="auto"/>
        <w:rPr>
          <w:rFonts w:ascii="Times New Roman" w:hAnsi="Times New Roman" w:cs="Times New Roman"/>
          <w:sz w:val="24"/>
          <w:szCs w:val="24"/>
        </w:rPr>
      </w:pPr>
    </w:p>
    <w:p w14:paraId="1B171D40" w14:textId="64E342E5" w:rsidR="00677A59" w:rsidRDefault="00677A59" w:rsidP="00677A59">
      <w:pPr>
        <w:autoSpaceDE w:val="0"/>
        <w:autoSpaceDN w:val="0"/>
        <w:adjustRightInd w:val="0"/>
        <w:spacing w:after="0" w:line="240" w:lineRule="auto"/>
        <w:rPr>
          <w:rFonts w:ascii="Times New Roman" w:hAnsi="Times New Roman" w:cs="Times New Roman"/>
          <w:sz w:val="24"/>
          <w:szCs w:val="24"/>
        </w:rPr>
      </w:pPr>
    </w:p>
    <w:p w14:paraId="60C9E5DB" w14:textId="7C0D9CCC" w:rsidR="00677A59" w:rsidRDefault="00D4124A" w:rsidP="00677A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3240832" behindDoc="1" locked="0" layoutInCell="1" allowOverlap="1" wp14:anchorId="6FC2B142" wp14:editId="1D7208C0">
            <wp:simplePos x="0" y="0"/>
            <wp:positionH relativeFrom="margin">
              <wp:posOffset>0</wp:posOffset>
            </wp:positionH>
            <wp:positionV relativeFrom="page">
              <wp:posOffset>3662045</wp:posOffset>
            </wp:positionV>
            <wp:extent cx="6781800" cy="3987800"/>
            <wp:effectExtent l="0" t="0" r="0" b="0"/>
            <wp:wrapTight wrapText="bothSides">
              <wp:wrapPolygon edited="0">
                <wp:start x="0" y="0"/>
                <wp:lineTo x="0" y="21462"/>
                <wp:lineTo x="21539" y="21462"/>
                <wp:lineTo x="21539"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81800"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66D">
        <w:rPr>
          <w:noProof/>
          <w:lang w:val="en-US"/>
        </w:rPr>
        <mc:AlternateContent>
          <mc:Choice Requires="wps">
            <w:drawing>
              <wp:anchor distT="0" distB="0" distL="114300" distR="114300" simplePos="0" relativeHeight="250731008" behindDoc="1" locked="0" layoutInCell="1" allowOverlap="1" wp14:anchorId="6EEAA6F6" wp14:editId="3AC67FCC">
                <wp:simplePos x="0" y="0"/>
                <wp:positionH relativeFrom="margin">
                  <wp:align>left</wp:align>
                </wp:positionH>
                <wp:positionV relativeFrom="paragraph">
                  <wp:posOffset>4318543</wp:posOffset>
                </wp:positionV>
                <wp:extent cx="6851015" cy="419100"/>
                <wp:effectExtent l="0" t="0" r="6985" b="0"/>
                <wp:wrapTight wrapText="bothSides">
                  <wp:wrapPolygon edited="0">
                    <wp:start x="0" y="0"/>
                    <wp:lineTo x="0" y="20618"/>
                    <wp:lineTo x="21562" y="20618"/>
                    <wp:lineTo x="21562" y="0"/>
                    <wp:lineTo x="0" y="0"/>
                  </wp:wrapPolygon>
                </wp:wrapTight>
                <wp:docPr id="450" name="Text Box 450"/>
                <wp:cNvGraphicFramePr/>
                <a:graphic xmlns:a="http://schemas.openxmlformats.org/drawingml/2006/main">
                  <a:graphicData uri="http://schemas.microsoft.com/office/word/2010/wordprocessingShape">
                    <wps:wsp>
                      <wps:cNvSpPr txBox="1"/>
                      <wps:spPr>
                        <a:xfrm>
                          <a:off x="0" y="0"/>
                          <a:ext cx="6851015" cy="419100"/>
                        </a:xfrm>
                        <a:prstGeom prst="rect">
                          <a:avLst/>
                        </a:prstGeom>
                        <a:solidFill>
                          <a:prstClr val="white"/>
                        </a:solidFill>
                        <a:ln>
                          <a:noFill/>
                        </a:ln>
                      </wps:spPr>
                      <wps:txbx>
                        <w:txbxContent>
                          <w:p w14:paraId="6CC45BB9" w14:textId="67712E64" w:rsidR="00A56EB4" w:rsidRPr="00E04F82" w:rsidRDefault="00A56EB4" w:rsidP="00AE33EB">
                            <w:pPr>
                              <w:pStyle w:val="Caption"/>
                              <w:rPr>
                                <w:highlight w:val="yellow"/>
                              </w:rPr>
                            </w:pPr>
                            <w:r w:rsidRPr="00B63B81">
                              <w:rPr>
                                <w:b/>
                                <w:bCs/>
                              </w:rPr>
                              <w:t xml:space="preserve">Figure </w:t>
                            </w:r>
                            <w:r>
                              <w:rPr>
                                <w:b/>
                                <w:bCs/>
                              </w:rPr>
                              <w:t>32</w:t>
                            </w:r>
                            <w:r w:rsidRPr="00E04F82">
                              <w:t xml:space="preserve">. A bar graph of </w:t>
                            </w:r>
                            <w:r>
                              <w:t>the frequency of various types of administration charges,</w:t>
                            </w:r>
                            <w:r w:rsidRPr="00E04F82">
                              <w:t xml:space="preserve"> as observed in</w:t>
                            </w:r>
                            <w:r>
                              <w:t xml:space="preserve"> the</w:t>
                            </w:r>
                            <w:r w:rsidRPr="00E04F82">
                              <w:t xml:space="preserve"> </w:t>
                            </w:r>
                            <w:r>
                              <w:t>South Adult C</w:t>
                            </w:r>
                            <w:r w:rsidRPr="00E04F82">
                              <w:t>ourt</w:t>
                            </w:r>
                            <w:r>
                              <w:t>s</w:t>
                            </w:r>
                            <w:r w:rsidRPr="00E04F82">
                              <w:t xml:space="preserve"> between January 2017 and December 201</w:t>
                            </w:r>
                            <w:r>
                              <w:t>8</w:t>
                            </w:r>
                            <w:r w:rsidRPr="00E04F82">
                              <w:t xml:space="preserve">, from a sample size of </w:t>
                            </w:r>
                            <w:r>
                              <w:t>262.</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AA6F6" id="Text Box 450" o:spid="_x0000_s1084" type="#_x0000_t202" style="position:absolute;margin-left:0;margin-top:340.05pt;width:539.45pt;height:33pt;z-index:-25258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" stroked="f">
                <v:textbox inset="0,0,0,0">
                  <w:txbxContent>
                    <w:p w14:paraId="6CC45BB9" w14:textId="67712E64" w:rsidR="00A56EB4" w:rsidRPr="00E04F82" w:rsidRDefault="00A56EB4" w:rsidP="00AE33EB">
                      <w:pPr>
                        <w:pStyle w:val="Caption"/>
                        <w:rPr>
                          <w:highlight w:val="yellow"/>
                        </w:rPr>
                      </w:pPr>
                      <w:r w:rsidRPr="00B63B81">
                        <w:rPr>
                          <w:b/>
                          <w:bCs/>
                        </w:rPr>
                        <w:t xml:space="preserve">Figure </w:t>
                      </w:r>
                      <w:r>
                        <w:rPr>
                          <w:b/>
                          <w:bCs/>
                        </w:rPr>
                        <w:t>32</w:t>
                      </w:r>
                      <w:r w:rsidRPr="00E04F82">
                        <w:t xml:space="preserve">. A bar graph of </w:t>
                      </w:r>
                      <w:r>
                        <w:t>the frequency of various types of administration charges,</w:t>
                      </w:r>
                      <w:r w:rsidRPr="00E04F82">
                        <w:t xml:space="preserve"> as observed in</w:t>
                      </w:r>
                      <w:r>
                        <w:t xml:space="preserve"> the</w:t>
                      </w:r>
                      <w:r w:rsidRPr="00E04F82">
                        <w:t xml:space="preserve"> </w:t>
                      </w:r>
                      <w:r>
                        <w:t>South Adult C</w:t>
                      </w:r>
                      <w:r w:rsidRPr="00E04F82">
                        <w:t>ourt</w:t>
                      </w:r>
                      <w:r>
                        <w:t>s</w:t>
                      </w:r>
                      <w:r w:rsidRPr="00E04F82">
                        <w:t xml:space="preserve"> between January 2017 and December 201</w:t>
                      </w:r>
                      <w:r>
                        <w:t>8</w:t>
                      </w:r>
                      <w:r w:rsidRPr="00E04F82">
                        <w:t xml:space="preserve">, from a sample size of </w:t>
                      </w:r>
                      <w:r>
                        <w:t>262.</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v:textbox>
                <w10:wrap type="tight" anchorx="margin"/>
              </v:shape>
            </w:pict>
          </mc:Fallback>
        </mc:AlternateContent>
      </w:r>
    </w:p>
    <w:p w14:paraId="6CC764A3" w14:textId="21BE520C" w:rsidR="0062366D" w:rsidRPr="0062366D" w:rsidRDefault="00975066" w:rsidP="0062366D">
      <w:r>
        <w:t xml:space="preserve">Overall, the original charges preceding an administration charge in </w:t>
      </w:r>
      <w:r w:rsidR="00D4124A">
        <w:t xml:space="preserve">the </w:t>
      </w:r>
      <w:r w:rsidR="008D12A5">
        <w:t>South Adult Court</w:t>
      </w:r>
      <w:r w:rsidR="00D4124A">
        <w:t>s</w:t>
      </w:r>
      <w:r>
        <w:t xml:space="preserve"> were overwhelmingly (98.81%) criminal (Figure </w:t>
      </w:r>
      <w:r w:rsidR="00992879">
        <w:t>31</w:t>
      </w:r>
      <w:r>
        <w:t xml:space="preserve">). ‘Failure to appear’ represented the most frequent administrative charge overall (Figure </w:t>
      </w:r>
      <w:r w:rsidR="005A2127">
        <w:t>32</w:t>
      </w:r>
      <w:r>
        <w:t xml:space="preserve">). Statistics for administration and bylaw charge type by minority group have been omitted, owing to limited data </w:t>
      </w:r>
      <w:r w:rsidR="00D055FE">
        <w:t>a</w:t>
      </w:r>
      <w:r>
        <w:t xml:space="preserve">vailability. </w:t>
      </w:r>
    </w:p>
    <w:p w14:paraId="2A7612E0" w14:textId="20A4F01D" w:rsidR="00CD0B2D" w:rsidRDefault="009E2AD2" w:rsidP="00CD0B2D">
      <w:r w:rsidRPr="00F64463">
        <w:t xml:space="preserve">It was observed that </w:t>
      </w:r>
      <w:r>
        <w:t>most</w:t>
      </w:r>
      <w:r w:rsidRPr="00F64463">
        <w:t xml:space="preserve"> (</w:t>
      </w:r>
      <w:r>
        <w:t>30.91</w:t>
      </w:r>
      <w:r w:rsidRPr="00F64463">
        <w:t xml:space="preserve">%) attendees at </w:t>
      </w:r>
      <w:r w:rsidR="00D4124A">
        <w:t xml:space="preserve">the </w:t>
      </w:r>
      <w:r w:rsidR="008D12A5">
        <w:t>South Adult Court</w:t>
      </w:r>
      <w:r w:rsidR="00D4124A">
        <w:t>s</w:t>
      </w:r>
      <w:r w:rsidRPr="00F64463">
        <w:t xml:space="preserve">, for which data was available, were at their first court appearance, with an apparent inverse relationship between increasing court appearance </w:t>
      </w:r>
      <w:r w:rsidRPr="00F64463">
        <w:lastRenderedPageBreak/>
        <w:t>number and attendee count. The overwhelming majority of attendees (</w:t>
      </w:r>
      <w:r>
        <w:t>82.74</w:t>
      </w:r>
      <w:r w:rsidRPr="00F64463">
        <w:t xml:space="preserve">%), for which data was available, reported having no legal representation at court (Table </w:t>
      </w:r>
      <w:r w:rsidR="00FB2891">
        <w:t>13</w:t>
      </w:r>
      <w:r w:rsidRPr="00F64463">
        <w:t>). Most (</w:t>
      </w:r>
      <w:r w:rsidR="00486DB9">
        <w:t>57.82</w:t>
      </w:r>
      <w:r w:rsidRPr="00F64463">
        <w:t>%) attendees received services through the organization of a duration of 0-4 minutes, with an inverse relationship between increasing service length and attendee count</w:t>
      </w:r>
      <w:r>
        <w:t xml:space="preserve"> (Table </w:t>
      </w:r>
      <w:r w:rsidR="00FB2891">
        <w:t>1</w:t>
      </w:r>
      <w:r w:rsidR="00D97CB4">
        <w:t>4</w:t>
      </w:r>
      <w:r>
        <w:t>)</w:t>
      </w:r>
      <w:r w:rsidRPr="00F64463">
        <w:t xml:space="preserve">. </w:t>
      </w:r>
      <w:r w:rsidR="00514C88">
        <w:t>Only 3.30% of defendants required support exceeding 15 minutes (Table 14).</w:t>
      </w:r>
    </w:p>
    <w:p w14:paraId="4F2F75F3" w14:textId="568C9C79" w:rsidR="00D4124A" w:rsidRDefault="00D4124A">
      <w:r>
        <w:rPr>
          <w:noProof/>
          <w:lang w:val="en-US"/>
        </w:rPr>
        <mc:AlternateContent>
          <mc:Choice Requires="wps">
            <w:drawing>
              <wp:anchor distT="0" distB="0" distL="114300" distR="114300" simplePos="0" relativeHeight="251549184" behindDoc="1" locked="0" layoutInCell="1" allowOverlap="1" wp14:anchorId="4699F813" wp14:editId="6C218AFA">
                <wp:simplePos x="0" y="0"/>
                <wp:positionH relativeFrom="margin">
                  <wp:posOffset>3656965</wp:posOffset>
                </wp:positionH>
                <wp:positionV relativeFrom="margin">
                  <wp:posOffset>4520565</wp:posOffset>
                </wp:positionV>
                <wp:extent cx="3199765" cy="419100"/>
                <wp:effectExtent l="0" t="0" r="635" b="0"/>
                <wp:wrapTight wrapText="bothSides">
                  <wp:wrapPolygon edited="0">
                    <wp:start x="0" y="0"/>
                    <wp:lineTo x="0" y="20618"/>
                    <wp:lineTo x="21476" y="20618"/>
                    <wp:lineTo x="21476"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199765" cy="419100"/>
                        </a:xfrm>
                        <a:prstGeom prst="rect">
                          <a:avLst/>
                        </a:prstGeom>
                        <a:solidFill>
                          <a:prstClr val="white"/>
                        </a:solidFill>
                        <a:ln>
                          <a:noFill/>
                        </a:ln>
                      </wps:spPr>
                      <wps:txbx>
                        <w:txbxContent>
                          <w:p w14:paraId="00A8E1AF" w14:textId="1670F26A" w:rsidR="00A56EB4" w:rsidRPr="0063408E" w:rsidRDefault="00A56EB4" w:rsidP="00A2380F">
                            <w:pPr>
                              <w:pStyle w:val="Caption"/>
                            </w:pPr>
                            <w:r>
                              <w:rPr>
                                <w:b/>
                                <w:bCs/>
                              </w:rPr>
                              <w:t>Table 14.</w:t>
                            </w:r>
                            <w:r>
                              <w:t xml:space="preserve"> Frequency and proportion of the South Adult Court attendees by duration of service provision, between January 2017 and December 2018.</w:t>
                            </w:r>
                          </w:p>
                          <w:p w14:paraId="3D3E4BBB" w14:textId="048BC247" w:rsidR="00A56EB4" w:rsidRPr="000C1F52" w:rsidRDefault="00A56EB4" w:rsidP="0062573E">
                            <w:pPr>
                              <w:pStyle w:val="Caption"/>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F813" id="Text Box 44" o:spid="_x0000_s1085" type="#_x0000_t202" style="position:absolute;margin-left:287.95pt;margin-top:355.95pt;width:251.95pt;height:33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" stroked="f">
                <v:textbox inset="0,0,0,0">
                  <w:txbxContent>
                    <w:p w14:paraId="00A8E1AF" w14:textId="1670F26A" w:rsidR="00A56EB4" w:rsidRPr="0063408E" w:rsidRDefault="00A56EB4" w:rsidP="00A2380F">
                      <w:pPr>
                        <w:pStyle w:val="Caption"/>
                      </w:pPr>
                      <w:r>
                        <w:rPr>
                          <w:b/>
                          <w:bCs/>
                        </w:rPr>
                        <w:t>Table 14.</w:t>
                      </w:r>
                      <w:r>
                        <w:t xml:space="preserve"> Frequency and proportion of the South Adult Court attendees by duration of service provision, between January 2017 and December 2018.</w:t>
                      </w:r>
                    </w:p>
                    <w:p w14:paraId="3D3E4BBB" w14:textId="048BC247" w:rsidR="00A56EB4" w:rsidRPr="000C1F52" w:rsidRDefault="00A56EB4" w:rsidP="0062573E">
                      <w:pPr>
                        <w:pStyle w:val="Caption"/>
                        <w:rPr>
                          <w:b/>
                          <w:bCs/>
                        </w:rPr>
                      </w:pPr>
                    </w:p>
                  </w:txbxContent>
                </v:textbox>
                <w10:wrap type="tight" anchorx="margin" anchory="margin"/>
              </v:shape>
            </w:pict>
          </mc:Fallback>
        </mc:AlternateContent>
      </w:r>
      <w:r>
        <w:rPr>
          <w:noProof/>
          <w:lang w:val="en-US"/>
        </w:rPr>
        <w:drawing>
          <wp:anchor distT="0" distB="0" distL="114300" distR="114300" simplePos="0" relativeHeight="247394816" behindDoc="1" locked="0" layoutInCell="1" allowOverlap="1" wp14:anchorId="13818984" wp14:editId="5DDD78CD">
            <wp:simplePos x="0" y="0"/>
            <wp:positionH relativeFrom="margin">
              <wp:posOffset>3616975</wp:posOffset>
            </wp:positionH>
            <wp:positionV relativeFrom="page">
              <wp:posOffset>5564180</wp:posOffset>
            </wp:positionV>
            <wp:extent cx="3238500" cy="1943100"/>
            <wp:effectExtent l="0" t="0" r="0" b="0"/>
            <wp:wrapTight wrapText="bothSides">
              <wp:wrapPolygon edited="0">
                <wp:start x="0" y="0"/>
                <wp:lineTo x="0" y="21388"/>
                <wp:lineTo x="21473" y="21388"/>
                <wp:lineTo x="21473"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238500" cy="1943100"/>
                    </a:xfrm>
                    <a:prstGeom prst="rect">
                      <a:avLst/>
                    </a:prstGeom>
                  </pic:spPr>
                </pic:pic>
              </a:graphicData>
            </a:graphic>
            <wp14:sizeRelV relativeFrom="margin">
              <wp14:pctHeight>0</wp14:pctHeight>
            </wp14:sizeRelV>
          </wp:anchor>
        </w:drawing>
      </w:r>
      <w:r>
        <w:rPr>
          <w:noProof/>
          <w:lang w:val="en-US"/>
        </w:rPr>
        <w:drawing>
          <wp:anchor distT="0" distB="0" distL="114300" distR="114300" simplePos="0" relativeHeight="247112192" behindDoc="1" locked="0" layoutInCell="1" allowOverlap="1" wp14:anchorId="7094F980" wp14:editId="1470448A">
            <wp:simplePos x="0" y="0"/>
            <wp:positionH relativeFrom="margin">
              <wp:posOffset>0</wp:posOffset>
            </wp:positionH>
            <wp:positionV relativeFrom="page">
              <wp:posOffset>5634990</wp:posOffset>
            </wp:positionV>
            <wp:extent cx="3508375" cy="1666875"/>
            <wp:effectExtent l="0" t="0" r="0" b="9525"/>
            <wp:wrapTight wrapText="bothSides">
              <wp:wrapPolygon edited="0">
                <wp:start x="0" y="0"/>
                <wp:lineTo x="0" y="21477"/>
                <wp:lineTo x="21463" y="21477"/>
                <wp:lineTo x="21463"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508375" cy="1666875"/>
                    </a:xfrm>
                    <a:prstGeom prst="rect">
                      <a:avLst/>
                    </a:prstGeom>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47181824" behindDoc="1" locked="0" layoutInCell="1" allowOverlap="1" wp14:anchorId="0FB54AB8" wp14:editId="32022379">
                <wp:simplePos x="0" y="0"/>
                <wp:positionH relativeFrom="margin">
                  <wp:posOffset>3175</wp:posOffset>
                </wp:positionH>
                <wp:positionV relativeFrom="margin">
                  <wp:posOffset>4544591</wp:posOffset>
                </wp:positionV>
                <wp:extent cx="3536315" cy="473710"/>
                <wp:effectExtent l="0" t="0" r="6985" b="2540"/>
                <wp:wrapTight wrapText="bothSides">
                  <wp:wrapPolygon edited="0">
                    <wp:start x="0" y="0"/>
                    <wp:lineTo x="0" y="20847"/>
                    <wp:lineTo x="21526" y="20847"/>
                    <wp:lineTo x="21526" y="0"/>
                    <wp:lineTo x="0" y="0"/>
                  </wp:wrapPolygon>
                </wp:wrapTight>
                <wp:docPr id="464" name="Text Box 464"/>
                <wp:cNvGraphicFramePr/>
                <a:graphic xmlns:a="http://schemas.openxmlformats.org/drawingml/2006/main">
                  <a:graphicData uri="http://schemas.microsoft.com/office/word/2010/wordprocessingShape">
                    <wps:wsp>
                      <wps:cNvSpPr txBox="1"/>
                      <wps:spPr>
                        <a:xfrm>
                          <a:off x="0" y="0"/>
                          <a:ext cx="3536315" cy="473710"/>
                        </a:xfrm>
                        <a:prstGeom prst="rect">
                          <a:avLst/>
                        </a:prstGeom>
                        <a:solidFill>
                          <a:prstClr val="white"/>
                        </a:solidFill>
                        <a:ln>
                          <a:noFill/>
                        </a:ln>
                      </wps:spPr>
                      <wps:txbx>
                        <w:txbxContent>
                          <w:p w14:paraId="268ECB15" w14:textId="035C014A" w:rsidR="00A56EB4" w:rsidRPr="0063408E" w:rsidRDefault="00A56EB4" w:rsidP="00622090">
                            <w:pPr>
                              <w:pStyle w:val="Caption"/>
                            </w:pPr>
                            <w:r>
                              <w:rPr>
                                <w:b/>
                                <w:bCs/>
                              </w:rPr>
                              <w:t>Table 13</w:t>
                            </w:r>
                            <w:r w:rsidRPr="00B63B81">
                              <w:rPr>
                                <w:b/>
                                <w:bCs/>
                              </w:rPr>
                              <w:t>.</w:t>
                            </w:r>
                            <w:r>
                              <w:t xml:space="preserve"> Frequency and proportion of the South Adult Court attendees with legal representation,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4AB8" id="Text Box 464" o:spid="_x0000_s1086" type="#_x0000_t202" style="position:absolute;margin-left:.25pt;margin-top:357.85pt;width:278.45pt;height:37.3pt;z-index:-25613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" stroked="f">
                <v:textbox inset="0,0,0,0">
                  <w:txbxContent>
                    <w:p w14:paraId="268ECB15" w14:textId="035C014A" w:rsidR="00A56EB4" w:rsidRPr="0063408E" w:rsidRDefault="00A56EB4" w:rsidP="00622090">
                      <w:pPr>
                        <w:pStyle w:val="Caption"/>
                      </w:pPr>
                      <w:r>
                        <w:rPr>
                          <w:b/>
                          <w:bCs/>
                        </w:rPr>
                        <w:t>Table 13</w:t>
                      </w:r>
                      <w:r w:rsidRPr="00B63B81">
                        <w:rPr>
                          <w:b/>
                          <w:bCs/>
                        </w:rPr>
                        <w:t>.</w:t>
                      </w:r>
                      <w:r>
                        <w:t xml:space="preserve"> Frequency and proportion of the South Adult Court attendees with legal representation, between January 2017 and December 2018.</w:t>
                      </w:r>
                    </w:p>
                  </w:txbxContent>
                </v:textbox>
                <w10:wrap type="tight" anchorx="margin" anchory="margin"/>
              </v:shape>
            </w:pict>
          </mc:Fallback>
        </mc:AlternateContent>
      </w:r>
      <w:r>
        <w:rPr>
          <w:noProof/>
          <w:lang w:val="en-US"/>
        </w:rPr>
        <w:drawing>
          <wp:anchor distT="0" distB="0" distL="114300" distR="114300" simplePos="0" relativeHeight="250933760" behindDoc="1" locked="0" layoutInCell="1" allowOverlap="1" wp14:anchorId="03280137" wp14:editId="17179B6C">
            <wp:simplePos x="0" y="0"/>
            <wp:positionH relativeFrom="margin">
              <wp:posOffset>-1048</wp:posOffset>
            </wp:positionH>
            <wp:positionV relativeFrom="page">
              <wp:posOffset>2108657</wp:posOffset>
            </wp:positionV>
            <wp:extent cx="3581400" cy="2952750"/>
            <wp:effectExtent l="0" t="0" r="0" b="0"/>
            <wp:wrapTight wrapText="bothSides">
              <wp:wrapPolygon edited="0">
                <wp:start x="0" y="0"/>
                <wp:lineTo x="0" y="21461"/>
                <wp:lineTo x="21485" y="21461"/>
                <wp:lineTo x="21485"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581400" cy="2952750"/>
                    </a:xfrm>
                    <a:prstGeom prst="rect">
                      <a:avLst/>
                    </a:prstGeom>
                  </pic:spPr>
                </pic:pic>
              </a:graphicData>
            </a:graphic>
          </wp:anchor>
        </w:drawing>
      </w:r>
      <w:r>
        <w:rPr>
          <w:noProof/>
          <w:lang w:val="en-US"/>
        </w:rPr>
        <mc:AlternateContent>
          <mc:Choice Requires="wps">
            <w:drawing>
              <wp:anchor distT="0" distB="0" distL="114300" distR="114300" simplePos="0" relativeHeight="250875392" behindDoc="1" locked="0" layoutInCell="1" allowOverlap="1" wp14:anchorId="6EEF32DC" wp14:editId="7FB23621">
                <wp:simplePos x="0" y="0"/>
                <wp:positionH relativeFrom="margin">
                  <wp:posOffset>-148</wp:posOffset>
                </wp:positionH>
                <wp:positionV relativeFrom="page">
                  <wp:posOffset>1647426</wp:posOffset>
                </wp:positionV>
                <wp:extent cx="3581400" cy="406400"/>
                <wp:effectExtent l="0" t="0" r="0" b="0"/>
                <wp:wrapTight wrapText="bothSides">
                  <wp:wrapPolygon edited="0">
                    <wp:start x="0" y="0"/>
                    <wp:lineTo x="0" y="20250"/>
                    <wp:lineTo x="21485" y="20250"/>
                    <wp:lineTo x="21485" y="0"/>
                    <wp:lineTo x="0" y="0"/>
                  </wp:wrapPolygon>
                </wp:wrapTight>
                <wp:docPr id="453" name="Text Box 453"/>
                <wp:cNvGraphicFramePr/>
                <a:graphic xmlns:a="http://schemas.openxmlformats.org/drawingml/2006/main">
                  <a:graphicData uri="http://schemas.microsoft.com/office/word/2010/wordprocessingShape">
                    <wps:wsp>
                      <wps:cNvSpPr txBox="1"/>
                      <wps:spPr>
                        <a:xfrm>
                          <a:off x="0" y="0"/>
                          <a:ext cx="3581400" cy="406400"/>
                        </a:xfrm>
                        <a:prstGeom prst="rect">
                          <a:avLst/>
                        </a:prstGeom>
                        <a:solidFill>
                          <a:prstClr val="white"/>
                        </a:solidFill>
                        <a:ln>
                          <a:noFill/>
                        </a:ln>
                      </wps:spPr>
                      <wps:txbx>
                        <w:txbxContent>
                          <w:p w14:paraId="39AE838E" w14:textId="5260E07E" w:rsidR="00A56EB4" w:rsidRPr="00177D78" w:rsidRDefault="00A56EB4" w:rsidP="00D055FE">
                            <w:pPr>
                              <w:pStyle w:val="Caption"/>
                              <w:rPr>
                                <w:b/>
                                <w:bCs/>
                              </w:rPr>
                            </w:pPr>
                            <w:r>
                              <w:rPr>
                                <w:b/>
                                <w:bCs/>
                              </w:rPr>
                              <w:t>Table 12</w:t>
                            </w:r>
                            <w:r w:rsidRPr="00B63B81">
                              <w:rPr>
                                <w:b/>
                                <w:bCs/>
                              </w:rPr>
                              <w:t>.</w:t>
                            </w:r>
                            <w:r>
                              <w:t xml:space="preserve"> Frequency and proportion of the South Adult Court attendees by number of court appearances,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32DC" id="Text Box 453" o:spid="_x0000_s1087" type="#_x0000_t202" style="position:absolute;margin-left:0;margin-top:129.7pt;width:282pt;height:32pt;z-index:-252441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" stroked="f">
                <v:textbox inset="0,0,0,0">
                  <w:txbxContent>
                    <w:p w14:paraId="39AE838E" w14:textId="5260E07E" w:rsidR="00A56EB4" w:rsidRPr="00177D78" w:rsidRDefault="00A56EB4" w:rsidP="00D055FE">
                      <w:pPr>
                        <w:pStyle w:val="Caption"/>
                        <w:rPr>
                          <w:b/>
                          <w:bCs/>
                        </w:rPr>
                      </w:pPr>
                      <w:r>
                        <w:rPr>
                          <w:b/>
                          <w:bCs/>
                        </w:rPr>
                        <w:t>Table 12</w:t>
                      </w:r>
                      <w:r w:rsidRPr="00B63B81">
                        <w:rPr>
                          <w:b/>
                          <w:bCs/>
                        </w:rPr>
                        <w:t>.</w:t>
                      </w:r>
                      <w:r>
                        <w:t xml:space="preserve"> Frequency and proportion of the South Adult Court attendees by number of court appearances, between January 2017 and December 2018.</w:t>
                      </w:r>
                    </w:p>
                  </w:txbxContent>
                </v:textbox>
                <w10:wrap type="tight" anchorx="margin" anchory="page"/>
              </v:shape>
            </w:pict>
          </mc:Fallback>
        </mc:AlternateContent>
      </w:r>
      <w:r>
        <w:br w:type="page"/>
      </w:r>
    </w:p>
    <w:p w14:paraId="5A909CA6" w14:textId="3EFB0C3E" w:rsidR="00D4124A" w:rsidRPr="00F0263C" w:rsidRDefault="00D4124A" w:rsidP="00CD0B2D"/>
    <w:p w14:paraId="71BB3B1C" w14:textId="046876C1" w:rsidR="008303AC" w:rsidRPr="008303AC" w:rsidRDefault="009E60BB" w:rsidP="00CF5FD1">
      <w:pPr>
        <w:pStyle w:val="Heading2"/>
      </w:pPr>
      <w:bookmarkStart w:id="37" w:name="_Toc16262349"/>
      <w:r>
        <w:t>Calgary Youth Court</w:t>
      </w:r>
      <w:bookmarkEnd w:id="37"/>
    </w:p>
    <w:p w14:paraId="0FAE7651" w14:textId="2112B925" w:rsidR="00C428ED" w:rsidRDefault="00C428ED" w:rsidP="00C428ED">
      <w:pPr>
        <w:autoSpaceDE w:val="0"/>
        <w:autoSpaceDN w:val="0"/>
        <w:adjustRightInd w:val="0"/>
        <w:spacing w:after="0" w:line="240" w:lineRule="auto"/>
        <w:rPr>
          <w:rFonts w:ascii="Times New Roman" w:hAnsi="Times New Roman" w:cs="Times New Roman"/>
          <w:sz w:val="24"/>
          <w:szCs w:val="24"/>
        </w:rPr>
      </w:pPr>
    </w:p>
    <w:p w14:paraId="32FDB3C7" w14:textId="201864F3" w:rsidR="00C428ED" w:rsidRDefault="001558EE" w:rsidP="00C428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3283840" behindDoc="1" locked="0" layoutInCell="1" allowOverlap="1" wp14:anchorId="4D7EAC8D" wp14:editId="72D37D28">
            <wp:simplePos x="0" y="0"/>
            <wp:positionH relativeFrom="column">
              <wp:posOffset>3570738</wp:posOffset>
            </wp:positionH>
            <wp:positionV relativeFrom="page">
              <wp:posOffset>1533215</wp:posOffset>
            </wp:positionV>
            <wp:extent cx="2809875" cy="2385060"/>
            <wp:effectExtent l="0" t="0" r="9525" b="0"/>
            <wp:wrapTight wrapText="bothSides">
              <wp:wrapPolygon edited="0">
                <wp:start x="0" y="0"/>
                <wp:lineTo x="0" y="21393"/>
                <wp:lineTo x="21527" y="21393"/>
                <wp:lineTo x="215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l="27847" t="18558" r="28053" b="17791"/>
                    <a:stretch/>
                  </pic:blipFill>
                  <pic:spPr bwMode="auto">
                    <a:xfrm>
                      <a:off x="0" y="0"/>
                      <a:ext cx="2809875" cy="23850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val="en-US"/>
        </w:rPr>
        <w:drawing>
          <wp:anchor distT="0" distB="0" distL="114300" distR="114300" simplePos="0" relativeHeight="248151552" behindDoc="1" locked="0" layoutInCell="1" allowOverlap="1" wp14:anchorId="21AF643F" wp14:editId="36755A66">
            <wp:simplePos x="0" y="0"/>
            <wp:positionH relativeFrom="margin">
              <wp:posOffset>235038</wp:posOffset>
            </wp:positionH>
            <wp:positionV relativeFrom="page">
              <wp:posOffset>1465787</wp:posOffset>
            </wp:positionV>
            <wp:extent cx="3074035" cy="2409190"/>
            <wp:effectExtent l="0" t="0" r="0" b="0"/>
            <wp:wrapTight wrapText="bothSides">
              <wp:wrapPolygon edited="0">
                <wp:start x="0" y="0"/>
                <wp:lineTo x="0" y="21349"/>
                <wp:lineTo x="21417" y="21349"/>
                <wp:lineTo x="2141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26950" t="20837" r="26723" b="17415"/>
                    <a:stretch/>
                  </pic:blipFill>
                  <pic:spPr bwMode="auto">
                    <a:xfrm>
                      <a:off x="0" y="0"/>
                      <a:ext cx="3074035" cy="2409190"/>
                    </a:xfrm>
                    <a:prstGeom prst="rect">
                      <a:avLst/>
                    </a:prstGeom>
                    <a:noFill/>
                    <a:ln>
                      <a:noFill/>
                    </a:ln>
                    <a:extLst>
                      <a:ext uri="{53640926-AAD7-44D8-BBD7-CCE9431645EC}">
                        <a14:shadowObscured xmlns:a14="http://schemas.microsoft.com/office/drawing/2010/main"/>
                      </a:ext>
                    </a:extLst>
                  </pic:spPr>
                </pic:pic>
              </a:graphicData>
            </a:graphic>
          </wp:anchor>
        </w:drawing>
      </w:r>
    </w:p>
    <w:p w14:paraId="49E6B588" w14:textId="470121EF" w:rsidR="00C428ED" w:rsidRDefault="00C428ED" w:rsidP="00C428ED">
      <w:pPr>
        <w:autoSpaceDE w:val="0"/>
        <w:autoSpaceDN w:val="0"/>
        <w:adjustRightInd w:val="0"/>
        <w:spacing w:after="0" w:line="400" w:lineRule="atLeast"/>
        <w:rPr>
          <w:rFonts w:ascii="Times New Roman" w:hAnsi="Times New Roman" w:cs="Times New Roman"/>
          <w:sz w:val="24"/>
          <w:szCs w:val="24"/>
        </w:rPr>
      </w:pPr>
    </w:p>
    <w:p w14:paraId="5CE253B0" w14:textId="0A920F9B" w:rsidR="008303AC" w:rsidRDefault="008303AC" w:rsidP="008303AC">
      <w:pPr>
        <w:autoSpaceDE w:val="0"/>
        <w:autoSpaceDN w:val="0"/>
        <w:adjustRightInd w:val="0"/>
        <w:spacing w:after="0" w:line="240" w:lineRule="auto"/>
        <w:rPr>
          <w:rFonts w:ascii="Times New Roman" w:hAnsi="Times New Roman" w:cs="Times New Roman"/>
          <w:sz w:val="24"/>
          <w:szCs w:val="24"/>
        </w:rPr>
      </w:pPr>
    </w:p>
    <w:p w14:paraId="07B6E647" w14:textId="2BB4C0CC" w:rsidR="00D952EC" w:rsidRDefault="00D952EC" w:rsidP="00D952EC">
      <w:pPr>
        <w:autoSpaceDE w:val="0"/>
        <w:autoSpaceDN w:val="0"/>
        <w:adjustRightInd w:val="0"/>
        <w:spacing w:after="0" w:line="240" w:lineRule="auto"/>
        <w:rPr>
          <w:rFonts w:ascii="Times New Roman" w:hAnsi="Times New Roman" w:cs="Times New Roman"/>
          <w:sz w:val="24"/>
          <w:szCs w:val="24"/>
        </w:rPr>
      </w:pPr>
    </w:p>
    <w:p w14:paraId="400ADF3D" w14:textId="7AE7E4FC" w:rsidR="008303AC" w:rsidRDefault="008303AC" w:rsidP="008303AC">
      <w:pPr>
        <w:autoSpaceDE w:val="0"/>
        <w:autoSpaceDN w:val="0"/>
        <w:adjustRightInd w:val="0"/>
        <w:spacing w:after="0" w:line="400" w:lineRule="atLeast"/>
        <w:rPr>
          <w:rFonts w:ascii="Times New Roman" w:hAnsi="Times New Roman" w:cs="Times New Roman"/>
          <w:sz w:val="24"/>
          <w:szCs w:val="24"/>
        </w:rPr>
      </w:pPr>
    </w:p>
    <w:p w14:paraId="52F44748" w14:textId="0EB6856F" w:rsidR="008303AC" w:rsidRDefault="008303AC" w:rsidP="00147C80">
      <w:pPr>
        <w:autoSpaceDE w:val="0"/>
        <w:autoSpaceDN w:val="0"/>
        <w:adjustRightInd w:val="0"/>
        <w:spacing w:after="0" w:line="240" w:lineRule="auto"/>
        <w:rPr>
          <w:rFonts w:asciiTheme="majorHAnsi" w:hAnsiTheme="majorHAnsi" w:cstheme="majorHAnsi"/>
          <w:b/>
          <w:bCs/>
        </w:rPr>
      </w:pPr>
    </w:p>
    <w:p w14:paraId="6B50D191" w14:textId="0FE6443D" w:rsidR="001C6DE4" w:rsidRDefault="001C6DE4" w:rsidP="001C6DE4">
      <w:pPr>
        <w:autoSpaceDE w:val="0"/>
        <w:autoSpaceDN w:val="0"/>
        <w:adjustRightInd w:val="0"/>
        <w:spacing w:after="0" w:line="240" w:lineRule="auto"/>
        <w:rPr>
          <w:rFonts w:ascii="Times New Roman" w:hAnsi="Times New Roman" w:cs="Times New Roman"/>
          <w:sz w:val="24"/>
          <w:szCs w:val="24"/>
        </w:rPr>
      </w:pPr>
    </w:p>
    <w:p w14:paraId="7A3434C2" w14:textId="20E8B93A" w:rsidR="00AB26FA" w:rsidRDefault="00AB26FA" w:rsidP="00B86A52">
      <w:pPr>
        <w:autoSpaceDE w:val="0"/>
        <w:autoSpaceDN w:val="0"/>
        <w:adjustRightInd w:val="0"/>
        <w:spacing w:after="0" w:line="240" w:lineRule="auto"/>
      </w:pPr>
    </w:p>
    <w:p w14:paraId="7F6B5AC0" w14:textId="675B4639" w:rsidR="00AB26FA" w:rsidRDefault="00AB26FA" w:rsidP="00B86A52">
      <w:pPr>
        <w:autoSpaceDE w:val="0"/>
        <w:autoSpaceDN w:val="0"/>
        <w:adjustRightInd w:val="0"/>
        <w:spacing w:after="0" w:line="240" w:lineRule="auto"/>
      </w:pPr>
    </w:p>
    <w:p w14:paraId="1EF8C1BB" w14:textId="2BFCABA2" w:rsidR="00AB26FA" w:rsidRDefault="00AB26FA" w:rsidP="00B86A52">
      <w:pPr>
        <w:autoSpaceDE w:val="0"/>
        <w:autoSpaceDN w:val="0"/>
        <w:adjustRightInd w:val="0"/>
        <w:spacing w:after="0" w:line="240" w:lineRule="auto"/>
      </w:pPr>
    </w:p>
    <w:p w14:paraId="0051B076" w14:textId="0D3D309D" w:rsidR="00AB26FA" w:rsidRDefault="00AB26FA" w:rsidP="00B86A52">
      <w:pPr>
        <w:autoSpaceDE w:val="0"/>
        <w:autoSpaceDN w:val="0"/>
        <w:adjustRightInd w:val="0"/>
        <w:spacing w:after="0" w:line="240" w:lineRule="auto"/>
      </w:pPr>
    </w:p>
    <w:p w14:paraId="54EE40B9" w14:textId="142343B9" w:rsidR="00AB26FA" w:rsidRDefault="00AB26FA" w:rsidP="00B86A52">
      <w:pPr>
        <w:autoSpaceDE w:val="0"/>
        <w:autoSpaceDN w:val="0"/>
        <w:adjustRightInd w:val="0"/>
        <w:spacing w:after="0" w:line="240" w:lineRule="auto"/>
      </w:pPr>
    </w:p>
    <w:p w14:paraId="52336D70" w14:textId="236E1486" w:rsidR="00AB26FA" w:rsidRDefault="00AB26FA" w:rsidP="00B86A52">
      <w:pPr>
        <w:autoSpaceDE w:val="0"/>
        <w:autoSpaceDN w:val="0"/>
        <w:adjustRightInd w:val="0"/>
        <w:spacing w:after="0" w:line="240" w:lineRule="auto"/>
      </w:pPr>
    </w:p>
    <w:p w14:paraId="2F9F5DA8" w14:textId="3FF1D882" w:rsidR="00AB26FA" w:rsidRDefault="001558EE" w:rsidP="00B86A52">
      <w:pPr>
        <w:autoSpaceDE w:val="0"/>
        <w:autoSpaceDN w:val="0"/>
        <w:adjustRightInd w:val="0"/>
        <w:spacing w:after="0" w:line="240" w:lineRule="auto"/>
      </w:pPr>
      <w:r w:rsidRPr="00AC0A7E">
        <w:rPr>
          <w:rFonts w:ascii="Times New Roman" w:hAnsi="Times New Roman" w:cs="Times New Roman"/>
          <w:noProof/>
          <w:sz w:val="24"/>
          <w:szCs w:val="24"/>
          <w:lang w:val="en-US"/>
        </w:rPr>
        <mc:AlternateContent>
          <mc:Choice Requires="wps">
            <w:drawing>
              <wp:anchor distT="45720" distB="45720" distL="114300" distR="114300" simplePos="0" relativeHeight="248811008" behindDoc="1" locked="0" layoutInCell="1" allowOverlap="1" wp14:anchorId="311DF34C" wp14:editId="4F19C010">
                <wp:simplePos x="0" y="0"/>
                <wp:positionH relativeFrom="margin">
                  <wp:posOffset>412469</wp:posOffset>
                </wp:positionH>
                <wp:positionV relativeFrom="page">
                  <wp:posOffset>3953067</wp:posOffset>
                </wp:positionV>
                <wp:extent cx="2743200" cy="918210"/>
                <wp:effectExtent l="0" t="0" r="0" b="0"/>
                <wp:wrapTight wrapText="bothSides">
                  <wp:wrapPolygon edited="0">
                    <wp:start x="0" y="0"/>
                    <wp:lineTo x="0" y="21062"/>
                    <wp:lineTo x="21450" y="21062"/>
                    <wp:lineTo x="21450" y="0"/>
                    <wp:lineTo x="0" y="0"/>
                  </wp:wrapPolygon>
                </wp:wrapTight>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8210"/>
                        </a:xfrm>
                        <a:prstGeom prst="rect">
                          <a:avLst/>
                        </a:prstGeom>
                        <a:solidFill>
                          <a:srgbClr val="FFFFFF"/>
                        </a:solidFill>
                        <a:ln w="9525">
                          <a:noFill/>
                          <a:miter lim="800000"/>
                          <a:headEnd/>
                          <a:tailEnd/>
                        </a:ln>
                      </wps:spPr>
                      <wps:txbx>
                        <w:txbxContent>
                          <w:p w14:paraId="082EA0D2" w14:textId="2C73DB1C" w:rsidR="00A56EB4" w:rsidRPr="00AC0A7E" w:rsidRDefault="00A56EB4" w:rsidP="00AB26FA">
                            <w:pPr>
                              <w:pStyle w:val="Caption"/>
                            </w:pPr>
                            <w:r w:rsidRPr="00AC0A7E">
                              <w:rPr>
                                <w:b/>
                                <w:bCs/>
                              </w:rPr>
                              <w:t xml:space="preserve">Figure </w:t>
                            </w:r>
                            <w:r>
                              <w:rPr>
                                <w:b/>
                                <w:bCs/>
                              </w:rPr>
                              <w:t>33</w:t>
                            </w:r>
                            <w:r w:rsidRPr="00AC0A7E">
                              <w:rPr>
                                <w:b/>
                                <w:bCs/>
                              </w:rPr>
                              <w:t xml:space="preserve">. </w:t>
                            </w:r>
                            <w:r w:rsidRPr="00AC0A7E">
                              <w:t xml:space="preserve"> A pie chart of gender distribution as observed in </w:t>
                            </w:r>
                            <w:r>
                              <w:t>Calgary’s Youth Court</w:t>
                            </w:r>
                            <w:r w:rsidRPr="00AC0A7E">
                              <w:t xml:space="preserve"> between January 2017 and December 2018, from a sample size of </w:t>
                            </w:r>
                            <w:r>
                              <w:t>3951</w:t>
                            </w:r>
                            <w:r w:rsidRPr="00AC0A7E">
                              <w:t>. Slice sizes represent the proportion of attendees identifying as a specific gender.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1DF34C" id="_x0000_s1088" type="#_x0000_t202" style="position:absolute;margin-left:32.5pt;margin-top:311.25pt;width:3in;height:72.3pt;z-index:-2545054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" stroked="f">
                <v:textbox style="mso-fit-shape-to-text:t">
                  <w:txbxContent>
                    <w:p w14:paraId="082EA0D2" w14:textId="2C73DB1C" w:rsidR="00A56EB4" w:rsidRPr="00AC0A7E" w:rsidRDefault="00A56EB4" w:rsidP="00AB26FA">
                      <w:pPr>
                        <w:pStyle w:val="Caption"/>
                      </w:pPr>
                      <w:r w:rsidRPr="00AC0A7E">
                        <w:rPr>
                          <w:b/>
                          <w:bCs/>
                        </w:rPr>
                        <w:t xml:space="preserve">Figure </w:t>
                      </w:r>
                      <w:r>
                        <w:rPr>
                          <w:b/>
                          <w:bCs/>
                        </w:rPr>
                        <w:t>33</w:t>
                      </w:r>
                      <w:r w:rsidRPr="00AC0A7E">
                        <w:rPr>
                          <w:b/>
                          <w:bCs/>
                        </w:rPr>
                        <w:t xml:space="preserve">. </w:t>
                      </w:r>
                      <w:r w:rsidRPr="00AC0A7E">
                        <w:t xml:space="preserve"> A pie chart of gender distribution as observed in </w:t>
                      </w:r>
                      <w:r>
                        <w:t>Calgary’s Youth Court</w:t>
                      </w:r>
                      <w:r w:rsidRPr="00AC0A7E">
                        <w:t xml:space="preserve"> between January 2017 and December 2018, from a sample size of </w:t>
                      </w:r>
                      <w:r>
                        <w:t>3951</w:t>
                      </w:r>
                      <w:r w:rsidRPr="00AC0A7E">
                        <w:t>. Slice sizes represent the proportion of attendees identifying as a specific gender.</w:t>
                      </w:r>
                    </w:p>
                  </w:txbxContent>
                </v:textbox>
                <w10:wrap type="tight" anchorx="margin" anchory="page"/>
              </v:shape>
            </w:pict>
          </mc:Fallback>
        </mc:AlternateContent>
      </w:r>
    </w:p>
    <w:p w14:paraId="095E2A33" w14:textId="7F7EAE54" w:rsidR="00AB26FA" w:rsidRDefault="001558EE" w:rsidP="00B86A52">
      <w:pPr>
        <w:autoSpaceDE w:val="0"/>
        <w:autoSpaceDN w:val="0"/>
        <w:adjustRightInd w:val="0"/>
        <w:spacing w:after="0" w:line="240" w:lineRule="auto"/>
      </w:pPr>
      <w:r w:rsidRPr="00F2233B">
        <w:rPr>
          <w:noProof/>
          <w:lang w:val="en-US"/>
        </w:rPr>
        <mc:AlternateContent>
          <mc:Choice Requires="wps">
            <w:drawing>
              <wp:anchor distT="0" distB="0" distL="114300" distR="114300" simplePos="0" relativeHeight="249140736" behindDoc="1" locked="0" layoutInCell="1" allowOverlap="1" wp14:anchorId="23FBA131" wp14:editId="29EA0AD1">
                <wp:simplePos x="0" y="0"/>
                <wp:positionH relativeFrom="margin">
                  <wp:posOffset>3602163</wp:posOffset>
                </wp:positionH>
                <wp:positionV relativeFrom="page">
                  <wp:posOffset>3974849</wp:posOffset>
                </wp:positionV>
                <wp:extent cx="2887980" cy="790575"/>
                <wp:effectExtent l="0" t="0" r="7620" b="9525"/>
                <wp:wrapTight wrapText="bothSides">
                  <wp:wrapPolygon edited="0">
                    <wp:start x="0" y="0"/>
                    <wp:lineTo x="0" y="21340"/>
                    <wp:lineTo x="21515" y="21340"/>
                    <wp:lineTo x="21515" y="0"/>
                    <wp:lineTo x="0" y="0"/>
                  </wp:wrapPolygon>
                </wp:wrapTight>
                <wp:docPr id="489" name="Text Box 489"/>
                <wp:cNvGraphicFramePr/>
                <a:graphic xmlns:a="http://schemas.openxmlformats.org/drawingml/2006/main">
                  <a:graphicData uri="http://schemas.microsoft.com/office/word/2010/wordprocessingShape">
                    <wps:wsp>
                      <wps:cNvSpPr txBox="1"/>
                      <wps:spPr>
                        <a:xfrm>
                          <a:off x="0" y="0"/>
                          <a:ext cx="2887980" cy="790575"/>
                        </a:xfrm>
                        <a:prstGeom prst="rect">
                          <a:avLst/>
                        </a:prstGeom>
                        <a:solidFill>
                          <a:prstClr val="white"/>
                        </a:solidFill>
                        <a:ln>
                          <a:noFill/>
                        </a:ln>
                      </wps:spPr>
                      <wps:txbx>
                        <w:txbxContent>
                          <w:p w14:paraId="0D737692" w14:textId="4AB86A44"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34</w:t>
                            </w:r>
                            <w:r w:rsidRPr="00B63B81">
                              <w:rPr>
                                <w:b/>
                                <w:bCs/>
                              </w:rPr>
                              <w:t>.</w:t>
                            </w:r>
                            <w:r>
                              <w:t xml:space="preserve"> A pie chart of age distribution as observed in Calgary’s Youth Court between January 2017 and December 2019, from a sample size of 3910.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BA131" id="Text Box 489" o:spid="_x0000_s1089" type="#_x0000_t202" style="position:absolute;margin-left:283.65pt;margin-top:313pt;width:227.4pt;height:62.25pt;z-index:-254175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" stroked="f">
                <v:textbox inset="0,0,0,0">
                  <w:txbxContent>
                    <w:p w14:paraId="0D737692" w14:textId="4AB86A44"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34</w:t>
                      </w:r>
                      <w:r w:rsidRPr="00B63B81">
                        <w:rPr>
                          <w:b/>
                          <w:bCs/>
                        </w:rPr>
                        <w:t>.</w:t>
                      </w:r>
                      <w:r>
                        <w:t xml:space="preserve"> A pie chart of age distribution as observed in Calgary’s Youth Court between January 2017 and December 2019, from a sample size of 3910. Slice size represents the relative proportion of respondents within an age category. </w:t>
                      </w:r>
                    </w:p>
                  </w:txbxContent>
                </v:textbox>
                <w10:wrap type="tight" anchorx="margin" anchory="page"/>
              </v:shape>
            </w:pict>
          </mc:Fallback>
        </mc:AlternateContent>
      </w:r>
    </w:p>
    <w:p w14:paraId="2C804964" w14:textId="56F4325C" w:rsidR="00AB26FA" w:rsidRDefault="00AB26FA" w:rsidP="00B86A52">
      <w:pPr>
        <w:autoSpaceDE w:val="0"/>
        <w:autoSpaceDN w:val="0"/>
        <w:adjustRightInd w:val="0"/>
        <w:spacing w:after="0" w:line="240" w:lineRule="auto"/>
      </w:pPr>
    </w:p>
    <w:p w14:paraId="306D7681" w14:textId="6D8B2200" w:rsidR="00AB26FA" w:rsidRDefault="00AB26FA" w:rsidP="00B86A52">
      <w:pPr>
        <w:autoSpaceDE w:val="0"/>
        <w:autoSpaceDN w:val="0"/>
        <w:adjustRightInd w:val="0"/>
        <w:spacing w:after="0" w:line="240" w:lineRule="auto"/>
      </w:pPr>
    </w:p>
    <w:p w14:paraId="34A0C203" w14:textId="0DA447D9" w:rsidR="00AB26FA" w:rsidRDefault="001558EE" w:rsidP="00B86A52">
      <w:pPr>
        <w:autoSpaceDE w:val="0"/>
        <w:autoSpaceDN w:val="0"/>
        <w:adjustRightInd w:val="0"/>
        <w:spacing w:after="0" w:line="240" w:lineRule="auto"/>
      </w:pPr>
      <w:r>
        <w:rPr>
          <w:noProof/>
          <w:lang w:val="en-US"/>
        </w:rPr>
        <mc:AlternateContent>
          <mc:Choice Requires="wps">
            <w:drawing>
              <wp:anchor distT="0" distB="0" distL="114300" distR="114300" simplePos="0" relativeHeight="249456128" behindDoc="1" locked="0" layoutInCell="1" allowOverlap="1" wp14:anchorId="7AF05A0F" wp14:editId="12ADC813">
                <wp:simplePos x="0" y="0"/>
                <wp:positionH relativeFrom="margin">
                  <wp:posOffset>5095</wp:posOffset>
                </wp:positionH>
                <wp:positionV relativeFrom="page">
                  <wp:posOffset>8766146</wp:posOffset>
                </wp:positionV>
                <wp:extent cx="6862445" cy="381000"/>
                <wp:effectExtent l="0" t="0" r="0" b="0"/>
                <wp:wrapTight wrapText="bothSides">
                  <wp:wrapPolygon edited="0">
                    <wp:start x="0" y="0"/>
                    <wp:lineTo x="0" y="20520"/>
                    <wp:lineTo x="21526" y="20520"/>
                    <wp:lineTo x="21526" y="0"/>
                    <wp:lineTo x="0" y="0"/>
                  </wp:wrapPolygon>
                </wp:wrapTight>
                <wp:docPr id="497" name="Text Box 497"/>
                <wp:cNvGraphicFramePr/>
                <a:graphic xmlns:a="http://schemas.openxmlformats.org/drawingml/2006/main">
                  <a:graphicData uri="http://schemas.microsoft.com/office/word/2010/wordprocessingShape">
                    <wps:wsp>
                      <wps:cNvSpPr txBox="1"/>
                      <wps:spPr>
                        <a:xfrm>
                          <a:off x="0" y="0"/>
                          <a:ext cx="6862445" cy="381000"/>
                        </a:xfrm>
                        <a:prstGeom prst="rect">
                          <a:avLst/>
                        </a:prstGeom>
                        <a:solidFill>
                          <a:prstClr val="white"/>
                        </a:solidFill>
                        <a:ln>
                          <a:noFill/>
                        </a:ln>
                      </wps:spPr>
                      <wps:txbx>
                        <w:txbxContent>
                          <w:p w14:paraId="17018080" w14:textId="43321761" w:rsidR="00A56EB4" w:rsidRPr="00F2233B" w:rsidRDefault="00A56EB4" w:rsidP="00F2233B">
                            <w:pPr>
                              <w:pStyle w:val="Caption"/>
                            </w:pPr>
                            <w:r w:rsidRPr="00B63B81">
                              <w:rPr>
                                <w:b/>
                                <w:bCs/>
                              </w:rPr>
                              <w:t>Figure 3</w:t>
                            </w:r>
                            <w:r>
                              <w:rPr>
                                <w:b/>
                                <w:bCs/>
                              </w:rPr>
                              <w:t>5</w:t>
                            </w:r>
                            <w:r>
                              <w:t>. A population pyramid representing the frequency (x-axis) of attendee gender (split), stratified by age (y-axis), at Calgary’s Youth Court between January 2017 and December 2018, from a sample size of 3907.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05A0F" id="Text Box 497" o:spid="_x0000_s1090" type="#_x0000_t202" style="position:absolute;margin-left:.4pt;margin-top:690.25pt;width:540.35pt;height:30pt;z-index:-253860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" stroked="f">
                <v:textbox inset="0,0,0,0">
                  <w:txbxContent>
                    <w:p w14:paraId="17018080" w14:textId="43321761" w:rsidR="00A56EB4" w:rsidRPr="00F2233B" w:rsidRDefault="00A56EB4" w:rsidP="00F2233B">
                      <w:pPr>
                        <w:pStyle w:val="Caption"/>
                      </w:pPr>
                      <w:r w:rsidRPr="00B63B81">
                        <w:rPr>
                          <w:b/>
                          <w:bCs/>
                        </w:rPr>
                        <w:t>Figure 3</w:t>
                      </w:r>
                      <w:r>
                        <w:rPr>
                          <w:b/>
                          <w:bCs/>
                        </w:rPr>
                        <w:t>5</w:t>
                      </w:r>
                      <w:r>
                        <w:t>. A population pyramid representing the frequency (x-axis) of attendee gender (split), stratified by age (y-axis), at Calgary’s Youth Court between January 2017 and December 2018, from a sample size of 3907.</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3332992" behindDoc="1" locked="0" layoutInCell="1" allowOverlap="1" wp14:anchorId="07769578" wp14:editId="2FE133B4">
            <wp:simplePos x="0" y="0"/>
            <wp:positionH relativeFrom="margin">
              <wp:posOffset>-4445</wp:posOffset>
            </wp:positionH>
            <wp:positionV relativeFrom="page">
              <wp:posOffset>4727044</wp:posOffset>
            </wp:positionV>
            <wp:extent cx="6883400" cy="4047490"/>
            <wp:effectExtent l="0" t="0" r="0" b="0"/>
            <wp:wrapTight wrapText="bothSides">
              <wp:wrapPolygon edited="0">
                <wp:start x="0" y="0"/>
                <wp:lineTo x="0" y="21451"/>
                <wp:lineTo x="21520" y="21451"/>
                <wp:lineTo x="215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83400" cy="404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50B35" w14:textId="156CD1EE" w:rsidR="001558EE" w:rsidRDefault="001558EE" w:rsidP="00B86A52">
      <w:pPr>
        <w:autoSpaceDE w:val="0"/>
        <w:autoSpaceDN w:val="0"/>
        <w:adjustRightInd w:val="0"/>
        <w:spacing w:after="0" w:line="240" w:lineRule="auto"/>
      </w:pPr>
    </w:p>
    <w:p w14:paraId="6FC0448B" w14:textId="77777777" w:rsidR="00956BB2" w:rsidRDefault="00956BB2" w:rsidP="00956BB2">
      <w:pPr>
        <w:autoSpaceDE w:val="0"/>
        <w:autoSpaceDN w:val="0"/>
        <w:adjustRightInd w:val="0"/>
        <w:spacing w:after="0" w:line="240" w:lineRule="auto"/>
      </w:pPr>
      <w:r w:rsidRPr="00926579">
        <w:rPr>
          <w:noProof/>
          <w:lang w:val="en-US"/>
        </w:rPr>
        <w:lastRenderedPageBreak/>
        <mc:AlternateContent>
          <mc:Choice Requires="wps">
            <w:drawing>
              <wp:anchor distT="0" distB="0" distL="114300" distR="114300" simplePos="0" relativeHeight="249798144" behindDoc="1" locked="0" layoutInCell="1" allowOverlap="1" wp14:anchorId="23DAD0C0" wp14:editId="6D896012">
                <wp:simplePos x="0" y="0"/>
                <wp:positionH relativeFrom="margin">
                  <wp:posOffset>4051300</wp:posOffset>
                </wp:positionH>
                <wp:positionV relativeFrom="page">
                  <wp:posOffset>2181565</wp:posOffset>
                </wp:positionV>
                <wp:extent cx="2806700" cy="787400"/>
                <wp:effectExtent l="0" t="0" r="0" b="0"/>
                <wp:wrapTight wrapText="bothSides">
                  <wp:wrapPolygon edited="0">
                    <wp:start x="0" y="0"/>
                    <wp:lineTo x="0" y="20903"/>
                    <wp:lineTo x="21405" y="20903"/>
                    <wp:lineTo x="21405" y="0"/>
                    <wp:lineTo x="0" y="0"/>
                  </wp:wrapPolygon>
                </wp:wrapTight>
                <wp:docPr id="510" name="Text Box 510"/>
                <wp:cNvGraphicFramePr/>
                <a:graphic xmlns:a="http://schemas.openxmlformats.org/drawingml/2006/main">
                  <a:graphicData uri="http://schemas.microsoft.com/office/word/2010/wordprocessingShape">
                    <wps:wsp>
                      <wps:cNvSpPr txBox="1"/>
                      <wps:spPr>
                        <a:xfrm>
                          <a:off x="0" y="0"/>
                          <a:ext cx="2806700" cy="787400"/>
                        </a:xfrm>
                        <a:prstGeom prst="rect">
                          <a:avLst/>
                        </a:prstGeom>
                        <a:solidFill>
                          <a:prstClr val="white"/>
                        </a:solidFill>
                        <a:ln>
                          <a:noFill/>
                        </a:ln>
                      </wps:spPr>
                      <wps:txbx>
                        <w:txbxContent>
                          <w:p w14:paraId="0B285E5F" w14:textId="68BF310F"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36</w:t>
                            </w:r>
                            <w:r w:rsidRPr="00B63B81">
                              <w:rPr>
                                <w:b/>
                                <w:bCs/>
                              </w:rPr>
                              <w:t>.</w:t>
                            </w:r>
                            <w:r>
                              <w:t xml:space="preserve"> A pie chart of minority status as observed in Calgary’s Youth Court between January 2017 and December 2018, from a sample size of 3963. Slice size represents the relative proportion of respondents identifying as part of a minority group. </w:t>
                            </w:r>
                          </w:p>
                          <w:p w14:paraId="26B91B9C" w14:textId="77777777" w:rsidR="00A56EB4" w:rsidRPr="00572B34" w:rsidRDefault="00A56EB4" w:rsidP="00926579">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D0C0" id="Text Box 510" o:spid="_x0000_s1091" type="#_x0000_t202" style="position:absolute;margin-left:319pt;margin-top:171.8pt;width:221pt;height:62pt;z-index:-25351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" stroked="f">
                <v:textbox inset="0,0,0,0">
                  <w:txbxContent>
                    <w:p w14:paraId="0B285E5F" w14:textId="68BF310F"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36</w:t>
                      </w:r>
                      <w:r w:rsidRPr="00B63B81">
                        <w:rPr>
                          <w:b/>
                          <w:bCs/>
                        </w:rPr>
                        <w:t>.</w:t>
                      </w:r>
                      <w:r>
                        <w:t xml:space="preserve"> A pie chart of minority status as observed in Calgary’s Youth Court between January 2017 and December 2018, from a sample size of 3963. Slice size represents the relative proportion of respondents identifying as part of a minority group. </w:t>
                      </w:r>
                    </w:p>
                    <w:p w14:paraId="26B91B9C" w14:textId="77777777" w:rsidR="00A56EB4" w:rsidRPr="00572B34" w:rsidRDefault="00A56EB4" w:rsidP="00926579">
                      <w:pPr>
                        <w:pStyle w:val="Caption"/>
                        <w:rPr>
                          <w:rFonts w:ascii="Times New Roman" w:hAnsi="Times New Roman" w:cs="Times New Roman"/>
                          <w:noProof/>
                          <w:sz w:val="24"/>
                          <w:szCs w:val="24"/>
                        </w:rPr>
                      </w:pPr>
                    </w:p>
                  </w:txbxContent>
                </v:textbox>
                <w10:wrap type="tight" anchorx="margin" anchory="page"/>
              </v:shape>
            </w:pict>
          </mc:Fallback>
        </mc:AlternateContent>
      </w:r>
      <w:r w:rsidR="005D44C9">
        <w:t xml:space="preserve">It was observed that in defendants receiving services from the Elizabeth Fry Society of Calgary in </w:t>
      </w:r>
      <w:r w:rsidR="008D12A5">
        <w:t>Calgary’s Youth Court</w:t>
      </w:r>
      <w:r w:rsidR="005D44C9">
        <w:t xml:space="preserve">, distribution was heavily concentrated in older age categories, and in males. This is reflected in the population pyramid (Figure </w:t>
      </w:r>
      <w:r w:rsidR="00CB04FC">
        <w:t>35</w:t>
      </w:r>
      <w:r w:rsidR="005D44C9">
        <w:t>), which is demonstrably top-heavy, suggesting a trend towards older age groups, and left-leaning, suggesting substantial representation of male defendants. More than 3 in 4 (</w:t>
      </w:r>
      <w:r w:rsidR="007C4693">
        <w:t>77.65</w:t>
      </w:r>
      <w:r w:rsidR="005D44C9">
        <w:t xml:space="preserve">%) defendants identified as male (Figure </w:t>
      </w:r>
      <w:r w:rsidR="00CB04FC">
        <w:t>33)</w:t>
      </w:r>
      <w:r w:rsidR="005D44C9">
        <w:t xml:space="preserve">, while </w:t>
      </w:r>
      <w:r w:rsidR="007C4693">
        <w:t>55.14</w:t>
      </w:r>
      <w:r w:rsidR="005D44C9">
        <w:t xml:space="preserve">% reported being </w:t>
      </w:r>
      <w:r w:rsidR="007C4693">
        <w:t>16 or older</w:t>
      </w:r>
      <w:r w:rsidR="005D44C9">
        <w:t xml:space="preserve"> (Figure </w:t>
      </w:r>
      <w:r w:rsidR="00CB04FC">
        <w:t>34</w:t>
      </w:r>
      <w:r w:rsidR="005D44C9">
        <w:t xml:space="preserve">). </w:t>
      </w:r>
      <w:r w:rsidR="007C4693">
        <w:t>Boys aged 16 and 17</w:t>
      </w:r>
      <w:r w:rsidR="005D44C9">
        <w:t xml:space="preserve"> represent the most common demographic supported by the organization (Figure </w:t>
      </w:r>
      <w:r w:rsidR="00960725">
        <w:t>35</w:t>
      </w:r>
      <w:r w:rsidR="005D44C9">
        <w:t xml:space="preserve">), making up </w:t>
      </w:r>
      <w:r w:rsidR="007C4693">
        <w:t>22.93</w:t>
      </w:r>
      <w:r w:rsidR="005D44C9">
        <w:t xml:space="preserve">% </w:t>
      </w:r>
      <w:r w:rsidR="007C4693">
        <w:t xml:space="preserve">and 20.76% </w:t>
      </w:r>
      <w:r w:rsidR="005D44C9">
        <w:t xml:space="preserve">of all defendants, with a prevalence </w:t>
      </w:r>
      <w:r w:rsidR="007C4693">
        <w:t>3.72X and 3.94X</w:t>
      </w:r>
      <w:r w:rsidR="005D44C9">
        <w:t xml:space="preserve"> that of their age-matched female peers</w:t>
      </w:r>
      <w:r w:rsidR="007C4693">
        <w:t>, respectively</w:t>
      </w:r>
      <w:r w:rsidR="005D44C9">
        <w:t xml:space="preserve"> (Figure </w:t>
      </w:r>
      <w:r w:rsidR="00960725">
        <w:t>35</w:t>
      </w:r>
      <w:r w:rsidR="005D44C9">
        <w:t xml:space="preserve">). </w:t>
      </w:r>
      <w:r w:rsidR="007C4693">
        <w:t>P</w:t>
      </w:r>
      <w:r w:rsidR="005D44C9">
        <w:t>rogressively reduced proportions</w:t>
      </w:r>
      <w:r w:rsidR="007C4693">
        <w:t xml:space="preserve"> are observed</w:t>
      </w:r>
      <w:r w:rsidR="005D44C9">
        <w:t xml:space="preserve"> </w:t>
      </w:r>
      <w:r w:rsidR="007C4693">
        <w:t xml:space="preserve">with decreasing </w:t>
      </w:r>
      <w:r w:rsidR="00960725">
        <w:t>age (</w:t>
      </w:r>
      <w:r w:rsidR="005D44C9">
        <w:t xml:space="preserve">Figure </w:t>
      </w:r>
      <w:r w:rsidR="00960725">
        <w:t>35</w:t>
      </w:r>
      <w:r w:rsidR="005D44C9">
        <w:t>).</w:t>
      </w:r>
    </w:p>
    <w:p w14:paraId="70F0DAFC" w14:textId="535F0B24" w:rsidR="003638A7" w:rsidRPr="00956BB2" w:rsidRDefault="00124BEE" w:rsidP="00956BB2">
      <w:pPr>
        <w:autoSpaceDE w:val="0"/>
        <w:autoSpaceDN w:val="0"/>
        <w:adjustRightInd w:val="0"/>
        <w:spacing w:after="0" w:line="240" w:lineRule="auto"/>
      </w:pPr>
      <w:r>
        <w:rPr>
          <w:noProof/>
          <w:lang w:val="en-US"/>
        </w:rPr>
        <mc:AlternateContent>
          <mc:Choice Requires="wps">
            <w:drawing>
              <wp:anchor distT="0" distB="0" distL="114300" distR="114300" simplePos="0" relativeHeight="250128896" behindDoc="1" locked="0" layoutInCell="1" allowOverlap="1" wp14:anchorId="2DF83718" wp14:editId="4A379105">
                <wp:simplePos x="0" y="0"/>
                <wp:positionH relativeFrom="margin">
                  <wp:posOffset>0</wp:posOffset>
                </wp:positionH>
                <wp:positionV relativeFrom="paragraph">
                  <wp:posOffset>6620791</wp:posOffset>
                </wp:positionV>
                <wp:extent cx="6858000" cy="635"/>
                <wp:effectExtent l="0" t="0" r="0" b="8890"/>
                <wp:wrapTight wrapText="bothSides">
                  <wp:wrapPolygon edited="0">
                    <wp:start x="0" y="0"/>
                    <wp:lineTo x="0" y="21266"/>
                    <wp:lineTo x="21540" y="21266"/>
                    <wp:lineTo x="21540" y="0"/>
                    <wp:lineTo x="0" y="0"/>
                  </wp:wrapPolygon>
                </wp:wrapTight>
                <wp:docPr id="518" name="Text Box 518"/>
                <wp:cNvGraphicFramePr/>
                <a:graphic xmlns:a="http://schemas.openxmlformats.org/drawingml/2006/main">
                  <a:graphicData uri="http://schemas.microsoft.com/office/word/2010/wordprocessingShape">
                    <wps:wsp>
                      <wps:cNvSpPr txBox="1"/>
                      <wps:spPr>
                        <a:xfrm>
                          <a:off x="0" y="0"/>
                          <a:ext cx="6858000" cy="635"/>
                        </a:xfrm>
                        <a:prstGeom prst="rect">
                          <a:avLst/>
                        </a:prstGeom>
                        <a:solidFill>
                          <a:prstClr val="white"/>
                        </a:solidFill>
                        <a:ln>
                          <a:noFill/>
                        </a:ln>
                      </wps:spPr>
                      <wps:txbx>
                        <w:txbxContent>
                          <w:p w14:paraId="14065EA5" w14:textId="25884909" w:rsidR="00A56EB4" w:rsidRPr="00E25FCA" w:rsidRDefault="00A56EB4" w:rsidP="009837DF">
                            <w:pPr>
                              <w:pStyle w:val="Caption"/>
                            </w:pPr>
                            <w:r w:rsidRPr="00B63B81">
                              <w:rPr>
                                <w:b/>
                                <w:bCs/>
                              </w:rPr>
                              <w:t xml:space="preserve">Figure </w:t>
                            </w:r>
                            <w:r>
                              <w:rPr>
                                <w:b/>
                                <w:bCs/>
                              </w:rPr>
                              <w:t>37</w:t>
                            </w:r>
                            <w:r w:rsidRPr="00B63B81">
                              <w:rPr>
                                <w:b/>
                                <w:bCs/>
                              </w:rPr>
                              <w:t>.</w:t>
                            </w:r>
                            <w:r>
                              <w:t xml:space="preserve"> A population pyramid representing frequency (x-axis) of attendee gender (split), stratified by age (y-axis), and grouped by minority status at Calgary’s Youth Court between January 2017 and December 2018, from a sample size of 3906 (neither: 3288, Indigenous: 418, newcomers: 200). Values exceeding the scale of the count have been indicated on their respective bar, to allow for ease of observing minority group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F83718" id="Text Box 518" o:spid="_x0000_s1092" type="#_x0000_t202" style="position:absolute;margin-left:0;margin-top:521.3pt;width:540pt;height:.05pt;z-index:-253187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" stroked="f">
                <v:textbox style="mso-fit-shape-to-text:t" inset="0,0,0,0">
                  <w:txbxContent>
                    <w:p w14:paraId="14065EA5" w14:textId="25884909" w:rsidR="00A56EB4" w:rsidRPr="00E25FCA" w:rsidRDefault="00A56EB4" w:rsidP="009837DF">
                      <w:pPr>
                        <w:pStyle w:val="Caption"/>
                      </w:pPr>
                      <w:r w:rsidRPr="00B63B81">
                        <w:rPr>
                          <w:b/>
                          <w:bCs/>
                        </w:rPr>
                        <w:t xml:space="preserve">Figure </w:t>
                      </w:r>
                      <w:r>
                        <w:rPr>
                          <w:b/>
                          <w:bCs/>
                        </w:rPr>
                        <w:t>37</w:t>
                      </w:r>
                      <w:r w:rsidRPr="00B63B81">
                        <w:rPr>
                          <w:b/>
                          <w:bCs/>
                        </w:rPr>
                        <w:t>.</w:t>
                      </w:r>
                      <w:r>
                        <w:t xml:space="preserve"> A population pyramid representing frequency (x-axis) of attendee gender (split), stratified by age (y-axis), and grouped by minority status at Calgary’s Youth Court between January 2017 and December 2018, from a sample size of 3906 (neither: 3288, Indigenous: 418, newcomers: 200). Values exceeding the scale of the count have been indicated on their respective bar, to allow for ease of observing minority group data. </w:t>
                      </w:r>
                    </w:p>
                  </w:txbxContent>
                </v:textbox>
                <w10:wrap type="tight" anchorx="margin"/>
              </v:shape>
            </w:pict>
          </mc:Fallback>
        </mc:AlternateContent>
      </w:r>
      <w:r>
        <w:rPr>
          <w:rFonts w:ascii="Times New Roman" w:hAnsi="Times New Roman" w:cs="Times New Roman"/>
          <w:noProof/>
          <w:sz w:val="24"/>
          <w:szCs w:val="24"/>
          <w:lang w:val="en-US"/>
        </w:rPr>
        <w:drawing>
          <wp:anchor distT="0" distB="0" distL="114300" distR="114300" simplePos="0" relativeHeight="253381120" behindDoc="1" locked="0" layoutInCell="1" allowOverlap="1" wp14:anchorId="4A06CF55" wp14:editId="50C337AB">
            <wp:simplePos x="0" y="0"/>
            <wp:positionH relativeFrom="margin">
              <wp:posOffset>82580</wp:posOffset>
            </wp:positionH>
            <wp:positionV relativeFrom="page">
              <wp:posOffset>4795358</wp:posOffset>
            </wp:positionV>
            <wp:extent cx="6678930" cy="3912235"/>
            <wp:effectExtent l="0" t="0" r="7620" b="0"/>
            <wp:wrapTight wrapText="bothSides">
              <wp:wrapPolygon edited="0">
                <wp:start x="0" y="0"/>
                <wp:lineTo x="0" y="21456"/>
                <wp:lineTo x="21563" y="21456"/>
                <wp:lineTo x="21563"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8930" cy="3912235"/>
                    </a:xfrm>
                    <a:prstGeom prst="rect">
                      <a:avLst/>
                    </a:prstGeom>
                    <a:noFill/>
                    <a:ln>
                      <a:noFill/>
                    </a:ln>
                  </pic:spPr>
                </pic:pic>
              </a:graphicData>
            </a:graphic>
          </wp:anchor>
        </w:drawing>
      </w:r>
      <w:r w:rsidR="00956BB2">
        <w:rPr>
          <w:rFonts w:ascii="Times New Roman" w:hAnsi="Times New Roman" w:cs="Times New Roman"/>
          <w:noProof/>
          <w:sz w:val="24"/>
          <w:szCs w:val="24"/>
          <w:lang w:val="en-US"/>
        </w:rPr>
        <w:drawing>
          <wp:anchor distT="0" distB="0" distL="114300" distR="114300" simplePos="0" relativeHeight="248208896" behindDoc="1" locked="0" layoutInCell="1" allowOverlap="1" wp14:anchorId="6E3B3B19" wp14:editId="6C3B8691">
            <wp:simplePos x="0" y="0"/>
            <wp:positionH relativeFrom="margin">
              <wp:posOffset>-635</wp:posOffset>
            </wp:positionH>
            <wp:positionV relativeFrom="margin">
              <wp:posOffset>1469671</wp:posOffset>
            </wp:positionV>
            <wp:extent cx="3987800" cy="2665095"/>
            <wp:effectExtent l="0" t="0" r="0" b="1905"/>
            <wp:wrapTight wrapText="bothSides">
              <wp:wrapPolygon edited="0">
                <wp:start x="0" y="0"/>
                <wp:lineTo x="0" y="21461"/>
                <wp:lineTo x="21462" y="21461"/>
                <wp:lineTo x="21462"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2">
                      <a:extLst>
                        <a:ext uri="{28A0092B-C50C-407E-A947-70E740481C1C}">
                          <a14:useLocalDpi xmlns:a14="http://schemas.microsoft.com/office/drawing/2010/main" val="0"/>
                        </a:ext>
                      </a:extLst>
                    </a:blip>
                    <a:srcRect l="24503" t="23114" r="24495" b="18918"/>
                    <a:stretch/>
                  </pic:blipFill>
                  <pic:spPr bwMode="auto">
                    <a:xfrm>
                      <a:off x="0" y="0"/>
                      <a:ext cx="3987800" cy="266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8A7">
        <w:t xml:space="preserve">It was observed that the overwhelming majority (84.30%) of defendants receiving services from the Elizabeth Fry Society of Calgary in </w:t>
      </w:r>
      <w:r w:rsidR="008D12A5">
        <w:t>Calgary’s Youth Court</w:t>
      </w:r>
      <w:r w:rsidR="003638A7">
        <w:t xml:space="preserve"> had no minority status (Figure </w:t>
      </w:r>
      <w:r w:rsidR="00960725">
        <w:t>36</w:t>
      </w:r>
      <w:r w:rsidR="003638A7">
        <w:t xml:space="preserve">). When stratified by minority status, distribution was heavily concentrated in older age categories, and in males, across all groupings. This is reflected in the population pyramids (Figure </w:t>
      </w:r>
      <w:r w:rsidR="00960725">
        <w:t>37</w:t>
      </w:r>
      <w:r w:rsidR="003638A7">
        <w:t>), which are demonstrably top-</w:t>
      </w:r>
      <w:r w:rsidR="003638A7">
        <w:lastRenderedPageBreak/>
        <w:t xml:space="preserve">heavy, suggesting a trend towards older age groups, and left-leaning, suggesting substantial representation of male defendants. Male defendants aged 15-17 represented the most common demographics supported by the organization (Figure </w:t>
      </w:r>
      <w:r w:rsidR="00960725">
        <w:t>37</w:t>
      </w:r>
      <w:r w:rsidR="003638A7">
        <w:t xml:space="preserve">). </w:t>
      </w:r>
    </w:p>
    <w:p w14:paraId="29BEF6BE" w14:textId="0A4A9FBC" w:rsidR="003638A7" w:rsidRDefault="003638A7" w:rsidP="003638A7">
      <w:pPr>
        <w:keepNext/>
        <w:autoSpaceDE w:val="0"/>
        <w:autoSpaceDN w:val="0"/>
        <w:adjustRightInd w:val="0"/>
        <w:spacing w:after="0" w:line="240" w:lineRule="auto"/>
      </w:pPr>
    </w:p>
    <w:p w14:paraId="7BD6BD6E" w14:textId="66ADDE0D" w:rsidR="003638A7" w:rsidRDefault="00124BEE" w:rsidP="003638A7">
      <w:pPr>
        <w:keepNext/>
        <w:autoSpaceDE w:val="0"/>
        <w:autoSpaceDN w:val="0"/>
        <w:adjustRightInd w:val="0"/>
        <w:spacing w:after="0" w:line="240" w:lineRule="auto"/>
      </w:pPr>
      <w:r>
        <w:rPr>
          <w:noProof/>
          <w:lang w:val="en-US"/>
        </w:rPr>
        <mc:AlternateContent>
          <mc:Choice Requires="wps">
            <w:drawing>
              <wp:anchor distT="0" distB="0" distL="114300" distR="114300" simplePos="0" relativeHeight="251793920" behindDoc="1" locked="0" layoutInCell="1" allowOverlap="1" wp14:anchorId="59275B9C" wp14:editId="42A654A6">
                <wp:simplePos x="0" y="0"/>
                <wp:positionH relativeFrom="margin">
                  <wp:posOffset>281</wp:posOffset>
                </wp:positionH>
                <wp:positionV relativeFrom="paragraph">
                  <wp:posOffset>4465659</wp:posOffset>
                </wp:positionV>
                <wp:extent cx="6858000" cy="586740"/>
                <wp:effectExtent l="0" t="0" r="0" b="3810"/>
                <wp:wrapTight wrapText="bothSides">
                  <wp:wrapPolygon edited="0">
                    <wp:start x="0" y="0"/>
                    <wp:lineTo x="0" y="21039"/>
                    <wp:lineTo x="21540" y="21039"/>
                    <wp:lineTo x="21540"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6858000" cy="586740"/>
                        </a:xfrm>
                        <a:prstGeom prst="rect">
                          <a:avLst/>
                        </a:prstGeom>
                        <a:solidFill>
                          <a:prstClr val="white"/>
                        </a:solidFill>
                        <a:ln>
                          <a:noFill/>
                        </a:ln>
                      </wps:spPr>
                      <wps:txbx>
                        <w:txbxContent>
                          <w:p w14:paraId="7E03AC4E" w14:textId="12F4D26C" w:rsidR="00A56EB4" w:rsidRPr="00701EC7" w:rsidRDefault="00A56EB4" w:rsidP="000C491C">
                            <w:pPr>
                              <w:pStyle w:val="Caption"/>
                              <w:rPr>
                                <w:rFonts w:ascii="Times New Roman" w:hAnsi="Times New Roman" w:cs="Times New Roman"/>
                                <w:noProof/>
                                <w:sz w:val="24"/>
                                <w:szCs w:val="24"/>
                              </w:rPr>
                            </w:pPr>
                            <w:r w:rsidRPr="00B63B81">
                              <w:rPr>
                                <w:b/>
                                <w:bCs/>
                              </w:rPr>
                              <w:t xml:space="preserve">Figure </w:t>
                            </w:r>
                            <w:r>
                              <w:rPr>
                                <w:b/>
                                <w:bCs/>
                              </w:rPr>
                              <w:t>38</w:t>
                            </w:r>
                            <w:r w:rsidRPr="00B63B81">
                              <w:rPr>
                                <w:b/>
                                <w:bCs/>
                              </w:rPr>
                              <w:t>.</w:t>
                            </w:r>
                            <w:r>
                              <w:t xml:space="preserve"> Pie charts representing the presence of support in court as observed in Calgary’s Youth Court, by minority status, between January 2017 and December 2018, from a sample size of 3929 (3311 attendees without minority status, 417 Indigenous, and 201 attendees who are newcomers). Slice size represents the relative proportion of respondents reporting the presence or absence of supports on the day of data acquisition. </w:t>
                            </w:r>
                          </w:p>
                          <w:p w14:paraId="18E11314" w14:textId="615B1363" w:rsidR="00A56EB4" w:rsidRPr="00E25FCA" w:rsidRDefault="00A56EB4" w:rsidP="000C491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5B9C" id="Text Box 55" o:spid="_x0000_s1093" type="#_x0000_t202" style="position:absolute;margin-left:0;margin-top:351.65pt;width:540pt;height:46.2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" stroked="f">
                <v:textbox inset="0,0,0,0">
                  <w:txbxContent>
                    <w:p w14:paraId="7E03AC4E" w14:textId="12F4D26C" w:rsidR="00A56EB4" w:rsidRPr="00701EC7" w:rsidRDefault="00A56EB4" w:rsidP="000C491C">
                      <w:pPr>
                        <w:pStyle w:val="Caption"/>
                        <w:rPr>
                          <w:rFonts w:ascii="Times New Roman" w:hAnsi="Times New Roman" w:cs="Times New Roman"/>
                          <w:noProof/>
                          <w:sz w:val="24"/>
                          <w:szCs w:val="24"/>
                        </w:rPr>
                      </w:pPr>
                      <w:r w:rsidRPr="00B63B81">
                        <w:rPr>
                          <w:b/>
                          <w:bCs/>
                        </w:rPr>
                        <w:t xml:space="preserve">Figure </w:t>
                      </w:r>
                      <w:r>
                        <w:rPr>
                          <w:b/>
                          <w:bCs/>
                        </w:rPr>
                        <w:t>38</w:t>
                      </w:r>
                      <w:r w:rsidRPr="00B63B81">
                        <w:rPr>
                          <w:b/>
                          <w:bCs/>
                        </w:rPr>
                        <w:t>.</w:t>
                      </w:r>
                      <w:r>
                        <w:t xml:space="preserve"> Pie charts representing the presence of support in court as observed in Calgary’s Youth Court, by minority status, between January 2017 and December 2018, from a sample size of 3929 (3311 attendees without minority status, 417 Indigenous, and 201 attendees who are newcomers). Slice size represents the relative proportion of respondents reporting the presence or absence of supports on the day of data acquisition. </w:t>
                      </w:r>
                    </w:p>
                    <w:p w14:paraId="18E11314" w14:textId="615B1363" w:rsidR="00A56EB4" w:rsidRPr="00E25FCA" w:rsidRDefault="00A56EB4" w:rsidP="000C491C">
                      <w:pPr>
                        <w:pStyle w:val="Caption"/>
                      </w:pPr>
                    </w:p>
                  </w:txbxContent>
                </v:textbox>
                <w10:wrap type="tight" anchorx="margin"/>
              </v:shape>
            </w:pict>
          </mc:Fallback>
        </mc:AlternateContent>
      </w:r>
      <w:r>
        <w:rPr>
          <w:noProof/>
          <w:lang w:val="en-US"/>
        </w:rPr>
        <w:drawing>
          <wp:anchor distT="0" distB="0" distL="114300" distR="114300" simplePos="0" relativeHeight="253426176" behindDoc="1" locked="0" layoutInCell="1" allowOverlap="1" wp14:anchorId="11831185" wp14:editId="020A3468">
            <wp:simplePos x="0" y="0"/>
            <wp:positionH relativeFrom="margin">
              <wp:posOffset>-325</wp:posOffset>
            </wp:positionH>
            <wp:positionV relativeFrom="page">
              <wp:posOffset>2997687</wp:posOffset>
            </wp:positionV>
            <wp:extent cx="6867525" cy="2768600"/>
            <wp:effectExtent l="0" t="0" r="9525" b="0"/>
            <wp:wrapTight wrapText="bothSides">
              <wp:wrapPolygon edited="0">
                <wp:start x="0" y="0"/>
                <wp:lineTo x="0" y="21402"/>
                <wp:lineTo x="21570" y="21402"/>
                <wp:lineTo x="215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867525" cy="2768600"/>
                    </a:xfrm>
                    <a:prstGeom prst="rect">
                      <a:avLst/>
                    </a:prstGeom>
                  </pic:spPr>
                </pic:pic>
              </a:graphicData>
            </a:graphic>
          </wp:anchor>
        </w:drawing>
      </w:r>
      <w:r w:rsidR="003638A7">
        <w:t xml:space="preserve">Male defendants aged 16 and 17 made up 23.33% and 21.87% of defendants with no minority status, with a prevalence 3.78X and 4.13X that of their age-matched female peers, respectively (Figure </w:t>
      </w:r>
      <w:r w:rsidR="00960725">
        <w:t>37</w:t>
      </w:r>
      <w:r w:rsidR="003638A7">
        <w:t xml:space="preserve">). </w:t>
      </w:r>
      <w:r w:rsidR="004D0A10">
        <w:t>M</w:t>
      </w:r>
      <w:r w:rsidR="003638A7">
        <w:t>ale defendants aged 15</w:t>
      </w:r>
      <w:r w:rsidR="006D550A">
        <w:t xml:space="preserve"> and</w:t>
      </w:r>
      <w:r w:rsidR="003638A7">
        <w:t xml:space="preserve"> 16</w:t>
      </w:r>
      <w:r w:rsidR="006D550A">
        <w:t xml:space="preserve"> </w:t>
      </w:r>
      <w:r w:rsidR="004D0A10">
        <w:t xml:space="preserve">only </w:t>
      </w:r>
      <w:r w:rsidR="003638A7">
        <w:t xml:space="preserve">made up </w:t>
      </w:r>
      <w:r w:rsidR="006D550A">
        <w:t xml:space="preserve">16.75% and 19.86% </w:t>
      </w:r>
      <w:r w:rsidR="003638A7">
        <w:t xml:space="preserve">of defendants with Indigenous status, with a prevalence </w:t>
      </w:r>
      <w:r w:rsidR="006D550A">
        <w:t xml:space="preserve">1.69X and 2.86X, </w:t>
      </w:r>
      <w:r w:rsidR="003638A7">
        <w:t>that of their age-matched female peers, respectively (Figure</w:t>
      </w:r>
      <w:r w:rsidR="00960725">
        <w:t xml:space="preserve"> 37</w:t>
      </w:r>
      <w:r w:rsidR="003638A7">
        <w:t xml:space="preserve">). </w:t>
      </w:r>
      <w:r w:rsidR="004108EB">
        <w:t>While the newcomer group did not demonstrate distinct age groups encompassing a significant majority of defendants, there exists a visible and gradual trend towards older age groups, with males aged 15 and older cumulatively account</w:t>
      </w:r>
      <w:r w:rsidR="004D0A10">
        <w:t>ing</w:t>
      </w:r>
      <w:r w:rsidR="004108EB">
        <w:t xml:space="preserve"> for </w:t>
      </w:r>
      <w:r w:rsidR="002D05DE">
        <w:t>64.50</w:t>
      </w:r>
      <w:r w:rsidR="004108EB">
        <w:t xml:space="preserve">% of defendants, with an overall prevalence </w:t>
      </w:r>
      <w:r w:rsidR="002D05DE">
        <w:t>8.60X</w:t>
      </w:r>
      <w:r w:rsidR="004108EB">
        <w:t xml:space="preserve"> that of their age-matched female peers, respectively (Figure </w:t>
      </w:r>
      <w:r w:rsidR="00960725">
        <w:t>37</w:t>
      </w:r>
      <w:r w:rsidR="004108EB">
        <w:t xml:space="preserve">). </w:t>
      </w:r>
      <w:r w:rsidR="003638A7">
        <w:t xml:space="preserve">Reflecting these differences in prevalence ratios, male:female representation is least, and most, divergent in the Indigenous and newcomer groupings, respectively (Figure </w:t>
      </w:r>
      <w:r w:rsidR="00960725">
        <w:t>37</w:t>
      </w:r>
      <w:r w:rsidR="003638A7">
        <w:t xml:space="preserve">). </w:t>
      </w:r>
    </w:p>
    <w:p w14:paraId="293A0EF1" w14:textId="28722186" w:rsidR="003638A7" w:rsidRPr="003638A7" w:rsidRDefault="00124BEE" w:rsidP="003638A7">
      <w:pPr>
        <w:keepNext/>
        <w:autoSpaceDE w:val="0"/>
        <w:autoSpaceDN w:val="0"/>
        <w:adjustRightInd w:val="0"/>
        <w:spacing w:after="0" w:line="240" w:lineRule="auto"/>
      </w:pPr>
      <w:r>
        <w:rPr>
          <w:noProof/>
          <w:lang w:val="en-US"/>
        </w:rPr>
        <mc:AlternateContent>
          <mc:Choice Requires="wps">
            <w:drawing>
              <wp:anchor distT="0" distB="0" distL="114300" distR="114300" simplePos="0" relativeHeight="251921920" behindDoc="1" locked="0" layoutInCell="1" allowOverlap="1" wp14:anchorId="62F522AE" wp14:editId="5C8933ED">
                <wp:simplePos x="0" y="0"/>
                <wp:positionH relativeFrom="margin">
                  <wp:posOffset>5433060</wp:posOffset>
                </wp:positionH>
                <wp:positionV relativeFrom="paragraph">
                  <wp:posOffset>341630</wp:posOffset>
                </wp:positionV>
                <wp:extent cx="1424305" cy="2264410"/>
                <wp:effectExtent l="0" t="0" r="4445" b="2540"/>
                <wp:wrapTight wrapText="bothSides">
                  <wp:wrapPolygon edited="0">
                    <wp:start x="0" y="0"/>
                    <wp:lineTo x="0" y="21443"/>
                    <wp:lineTo x="21379" y="21443"/>
                    <wp:lineTo x="21379" y="0"/>
                    <wp:lineTo x="0" y="0"/>
                  </wp:wrapPolygon>
                </wp:wrapTight>
                <wp:docPr id="63" name="Text Box 63"/>
                <wp:cNvGraphicFramePr/>
                <a:graphic xmlns:a="http://schemas.openxmlformats.org/drawingml/2006/main">
                  <a:graphicData uri="http://schemas.microsoft.com/office/word/2010/wordprocessingShape">
                    <wps:wsp>
                      <wps:cNvSpPr txBox="1"/>
                      <wps:spPr>
                        <a:xfrm>
                          <a:off x="0" y="0"/>
                          <a:ext cx="1424305" cy="2264410"/>
                        </a:xfrm>
                        <a:prstGeom prst="rect">
                          <a:avLst/>
                        </a:prstGeom>
                        <a:solidFill>
                          <a:prstClr val="white"/>
                        </a:solidFill>
                        <a:ln>
                          <a:noFill/>
                        </a:ln>
                      </wps:spPr>
                      <wps:txbx>
                        <w:txbxContent>
                          <w:p w14:paraId="146F141B" w14:textId="0F4C7E95" w:rsidR="00A56EB4" w:rsidRPr="004E2F4B" w:rsidRDefault="00A56EB4" w:rsidP="004E2F4B">
                            <w:pPr>
                              <w:pStyle w:val="Caption"/>
                            </w:pPr>
                            <w:r w:rsidRPr="004E2F4B">
                              <w:t xml:space="preserve">Figure </w:t>
                            </w:r>
                            <w:r>
                              <w:t>39</w:t>
                            </w:r>
                            <w:r w:rsidRPr="004E2F4B">
                              <w:t xml:space="preserve">. Pie charts representing the presence of support in court by gender as observed in </w:t>
                            </w:r>
                            <w:r>
                              <w:t>Calgary’s Youth Court</w:t>
                            </w:r>
                            <w:r w:rsidRPr="004E2F4B">
                              <w:t xml:space="preserve"> between January 2017 and December 201</w:t>
                            </w:r>
                            <w:r>
                              <w:t>8</w:t>
                            </w:r>
                            <w:r w:rsidRPr="004E2F4B">
                              <w:t xml:space="preserve">, from a sample size of 3925 (3052 male and 873 female attendees). Slice size represents the relative proportion of respondents reporting the presence or absence of supports on the day of data acquisition. </w:t>
                            </w:r>
                          </w:p>
                          <w:p w14:paraId="04631A71" w14:textId="77777777" w:rsidR="00A56EB4" w:rsidRPr="00E25FCA" w:rsidRDefault="00A56EB4" w:rsidP="00EA5E32">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522AE" id="Text Box 63" o:spid="_x0000_s1094" type="#_x0000_t202" style="position:absolute;margin-left:427.8pt;margin-top:26.9pt;width:112.15pt;height:178.3pt;z-index:-25139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" stroked="f">
                <v:textbox inset="0,0,0,0">
                  <w:txbxContent>
                    <w:p w14:paraId="146F141B" w14:textId="0F4C7E95" w:rsidR="00A56EB4" w:rsidRPr="004E2F4B" w:rsidRDefault="00A56EB4" w:rsidP="004E2F4B">
                      <w:pPr>
                        <w:pStyle w:val="Caption"/>
                      </w:pPr>
                      <w:r w:rsidRPr="004E2F4B">
                        <w:t xml:space="preserve">Figure </w:t>
                      </w:r>
                      <w:r>
                        <w:t>39</w:t>
                      </w:r>
                      <w:r w:rsidRPr="004E2F4B">
                        <w:t xml:space="preserve">. Pie charts representing the presence of support in court by gender as observed in </w:t>
                      </w:r>
                      <w:r>
                        <w:t>Calgary’s Youth Court</w:t>
                      </w:r>
                      <w:r w:rsidRPr="004E2F4B">
                        <w:t xml:space="preserve"> between January 2017 and December 201</w:t>
                      </w:r>
                      <w:r>
                        <w:t>8</w:t>
                      </w:r>
                      <w:r w:rsidRPr="004E2F4B">
                        <w:t xml:space="preserve">, from a sample size of 3925 (3052 male and 873 female attendees). Slice size represents the relative proportion of respondents reporting the presence or absence of supports on the day of data acquisition. </w:t>
                      </w:r>
                    </w:p>
                    <w:p w14:paraId="04631A71" w14:textId="77777777" w:rsidR="00A56EB4" w:rsidRPr="00E25FCA" w:rsidRDefault="00A56EB4" w:rsidP="00EA5E32">
                      <w:pPr>
                        <w:pStyle w:val="Caption"/>
                      </w:pPr>
                    </w:p>
                  </w:txbxContent>
                </v:textbox>
                <w10:wrap type="tight" anchorx="margin"/>
              </v:shape>
            </w:pict>
          </mc:Fallback>
        </mc:AlternateContent>
      </w:r>
      <w:r>
        <w:rPr>
          <w:noProof/>
          <w:lang w:val="en-US"/>
        </w:rPr>
        <w:drawing>
          <wp:anchor distT="0" distB="0" distL="114300" distR="114300" simplePos="0" relativeHeight="253473280" behindDoc="1" locked="0" layoutInCell="1" allowOverlap="1" wp14:anchorId="6B3FC2B1" wp14:editId="1699E325">
            <wp:simplePos x="0" y="0"/>
            <wp:positionH relativeFrom="margin">
              <wp:posOffset>-665</wp:posOffset>
            </wp:positionH>
            <wp:positionV relativeFrom="page">
              <wp:posOffset>6394244</wp:posOffset>
            </wp:positionV>
            <wp:extent cx="5353050" cy="2737485"/>
            <wp:effectExtent l="0" t="0" r="0" b="5715"/>
            <wp:wrapTight wrapText="bothSides">
              <wp:wrapPolygon edited="0">
                <wp:start x="0" y="0"/>
                <wp:lineTo x="0" y="21495"/>
                <wp:lineTo x="21523" y="21495"/>
                <wp:lineTo x="21523"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353050" cy="2737485"/>
                    </a:xfrm>
                    <a:prstGeom prst="rect">
                      <a:avLst/>
                    </a:prstGeom>
                  </pic:spPr>
                </pic:pic>
              </a:graphicData>
            </a:graphic>
          </wp:anchor>
        </w:drawing>
      </w:r>
    </w:p>
    <w:p w14:paraId="496425B3" w14:textId="26D24B83" w:rsidR="00A917B0" w:rsidRDefault="00A917B0" w:rsidP="00A917B0">
      <w:pPr>
        <w:autoSpaceDE w:val="0"/>
        <w:autoSpaceDN w:val="0"/>
        <w:adjustRightInd w:val="0"/>
        <w:spacing w:after="0" w:line="400" w:lineRule="atLeast"/>
        <w:rPr>
          <w:rFonts w:ascii="Times New Roman" w:hAnsi="Times New Roman" w:cs="Times New Roman"/>
          <w:sz w:val="24"/>
          <w:szCs w:val="24"/>
        </w:rPr>
      </w:pPr>
    </w:p>
    <w:p w14:paraId="720481FB" w14:textId="0A35F8EF" w:rsidR="00243806" w:rsidRDefault="00243806" w:rsidP="00243806">
      <w:pPr>
        <w:autoSpaceDE w:val="0"/>
        <w:autoSpaceDN w:val="0"/>
        <w:adjustRightInd w:val="0"/>
        <w:spacing w:after="0" w:line="240" w:lineRule="auto"/>
        <w:rPr>
          <w:rFonts w:ascii="Times New Roman" w:hAnsi="Times New Roman" w:cs="Times New Roman"/>
          <w:sz w:val="24"/>
          <w:szCs w:val="24"/>
        </w:rPr>
      </w:pPr>
    </w:p>
    <w:p w14:paraId="4B53C4D0" w14:textId="77777777" w:rsidR="007C73B1" w:rsidRDefault="007C73B1" w:rsidP="006E2993">
      <w:pPr>
        <w:rPr>
          <w:rFonts w:ascii="Times New Roman" w:hAnsi="Times New Roman" w:cs="Times New Roman"/>
          <w:sz w:val="24"/>
          <w:szCs w:val="24"/>
        </w:rPr>
      </w:pPr>
    </w:p>
    <w:p w14:paraId="6340A330" w14:textId="55557AC5" w:rsidR="0082189B" w:rsidRDefault="00364BEA" w:rsidP="006E2993">
      <w:pPr>
        <w:rPr>
          <w:color w:val="FF0000"/>
        </w:rPr>
      </w:pPr>
      <w:r>
        <w:t xml:space="preserve">It was observed that </w:t>
      </w:r>
      <w:r w:rsidR="004E2F4B">
        <w:t>most</w:t>
      </w:r>
      <w:r>
        <w:t xml:space="preserve"> attendees in </w:t>
      </w:r>
      <w:r w:rsidR="008D12A5">
        <w:t>Calgary’s Youth Court</w:t>
      </w:r>
      <w:r>
        <w:t xml:space="preserve"> attended with support, across all minority status categories (</w:t>
      </w:r>
      <w:r w:rsidR="00526838">
        <w:t>Figure</w:t>
      </w:r>
      <w:r>
        <w:t xml:space="preserve"> </w:t>
      </w:r>
      <w:r w:rsidR="004E2F4B">
        <w:t>38</w:t>
      </w:r>
      <w:r>
        <w:t>). Of the minority classifications, Indigenous youth most frequently reported support (75.78%), while newcomer youth least frequently (65.17%) reported support</w:t>
      </w:r>
      <w:r w:rsidR="004E2F4B">
        <w:t xml:space="preserve"> (Figure </w:t>
      </w:r>
      <w:r w:rsidR="00986896">
        <w:t>38)</w:t>
      </w:r>
      <w:r>
        <w:t xml:space="preserve">. </w:t>
      </w:r>
      <w:r w:rsidR="00526838">
        <w:t>It was discovered that a statistically significant relationship exist</w:t>
      </w:r>
      <w:r w:rsidR="005A7E58">
        <w:t>ed</w:t>
      </w:r>
      <w:r w:rsidR="00526838">
        <w:t xml:space="preserve"> between Indigenous status and the presence of support (X</w:t>
      </w:r>
      <w:r w:rsidR="00526838" w:rsidRPr="00526838">
        <w:rPr>
          <w:vertAlign w:val="superscript"/>
        </w:rPr>
        <w:t>2</w:t>
      </w:r>
      <w:r w:rsidR="00526838">
        <w:t xml:space="preserve">=5.31, p=0.02 at p&lt;0.05), with Indigenous youth having </w:t>
      </w:r>
      <w:r w:rsidR="00824E58">
        <w:t>1.32</w:t>
      </w:r>
      <w:r w:rsidR="00526838">
        <w:t xml:space="preserve">X the odds of having support relative to youth without minority status. </w:t>
      </w:r>
      <w:r w:rsidR="005D7DB2">
        <w:t>It was discovered that no statistically significant relationship exist</w:t>
      </w:r>
      <w:r w:rsidR="005A7E58">
        <w:t>ed</w:t>
      </w:r>
      <w:r w:rsidR="005D7DB2">
        <w:t xml:space="preserve"> between newcomer status and the presence of support (X</w:t>
      </w:r>
      <w:r w:rsidR="005D7DB2" w:rsidRPr="00526838">
        <w:rPr>
          <w:vertAlign w:val="superscript"/>
        </w:rPr>
        <w:t>2</w:t>
      </w:r>
      <w:r w:rsidR="005D7DB2">
        <w:t>=5.31, p=0.02 at p&lt;0.05)</w:t>
      </w:r>
      <w:r w:rsidR="00D53636">
        <w:t>.</w:t>
      </w:r>
      <w:r w:rsidR="00651F77">
        <w:t xml:space="preserve"> </w:t>
      </w:r>
    </w:p>
    <w:p w14:paraId="7D7B8D7B" w14:textId="75D68B0A" w:rsidR="00CD0B2D" w:rsidRPr="007C73B1" w:rsidRDefault="005A7E58" w:rsidP="007C73B1">
      <w:r>
        <w:t>Between the genders of Calgary youth court attendees</w:t>
      </w:r>
      <w:r w:rsidR="00986896">
        <w:t xml:space="preserve"> (Figure 39)</w:t>
      </w:r>
      <w:r>
        <w:t xml:space="preserve">, female attendees were </w:t>
      </w:r>
      <w:r w:rsidR="00986896">
        <w:t>marginally</w:t>
      </w:r>
      <w:r>
        <w:t xml:space="preserve"> more likely to report having support present (72.39%) than male </w:t>
      </w:r>
      <w:r w:rsidR="00986896">
        <w:t>atte</w:t>
      </w:r>
      <w:r>
        <w:t>ndees (70.15%). However, it was discovered that no statistically significant relationship existed between gender and the presence of support in youth court (X</w:t>
      </w:r>
      <w:r w:rsidRPr="00526838">
        <w:rPr>
          <w:vertAlign w:val="superscript"/>
        </w:rPr>
        <w:t>2</w:t>
      </w:r>
      <w:r>
        <w:t>=1.65, p=0.20 at p&lt;0.05).</w:t>
      </w:r>
    </w:p>
    <w:p w14:paraId="22B2A240" w14:textId="6BB210F4" w:rsidR="00885E97" w:rsidRPr="00F64463" w:rsidRDefault="007C73B1" w:rsidP="00346AEB">
      <w:r>
        <w:rPr>
          <w:noProof/>
          <w:lang w:val="en-US"/>
        </w:rPr>
        <w:drawing>
          <wp:anchor distT="0" distB="0" distL="114300" distR="114300" simplePos="0" relativeHeight="253633024" behindDoc="1" locked="0" layoutInCell="1" allowOverlap="1" wp14:anchorId="714FB575" wp14:editId="28ABB6F8">
            <wp:simplePos x="0" y="0"/>
            <wp:positionH relativeFrom="margin">
              <wp:posOffset>3584088</wp:posOffset>
            </wp:positionH>
            <wp:positionV relativeFrom="page">
              <wp:posOffset>7272714</wp:posOffset>
            </wp:positionV>
            <wp:extent cx="3267075" cy="2152650"/>
            <wp:effectExtent l="0" t="0" r="9525" b="0"/>
            <wp:wrapTight wrapText="bothSides">
              <wp:wrapPolygon edited="0">
                <wp:start x="0" y="0"/>
                <wp:lineTo x="0" y="21409"/>
                <wp:lineTo x="21537" y="21409"/>
                <wp:lineTo x="21537"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267075" cy="2152650"/>
                    </a:xfrm>
                    <a:prstGeom prst="rect">
                      <a:avLst/>
                    </a:prstGeom>
                  </pic:spPr>
                </pic:pic>
              </a:graphicData>
            </a:graphic>
          </wp:anchor>
        </w:drawing>
      </w:r>
      <w:r w:rsidRPr="00346AEB">
        <w:rPr>
          <w:rFonts w:asciiTheme="majorHAnsi" w:hAnsiTheme="majorHAnsi" w:cstheme="majorHAnsi"/>
          <w:b/>
          <w:bCs/>
          <w:noProof/>
          <w:lang w:val="en-US"/>
        </w:rPr>
        <mc:AlternateContent>
          <mc:Choice Requires="wps">
            <w:drawing>
              <wp:anchor distT="45720" distB="45720" distL="114300" distR="114300" simplePos="0" relativeHeight="253685248" behindDoc="1" locked="0" layoutInCell="1" allowOverlap="1" wp14:anchorId="2F70EB86" wp14:editId="5E97083B">
                <wp:simplePos x="0" y="0"/>
                <wp:positionH relativeFrom="margin">
                  <wp:posOffset>3561715</wp:posOffset>
                </wp:positionH>
                <wp:positionV relativeFrom="page">
                  <wp:posOffset>6835790</wp:posOffset>
                </wp:positionV>
                <wp:extent cx="3289300" cy="520700"/>
                <wp:effectExtent l="0" t="0" r="6350" b="0"/>
                <wp:wrapTight wrapText="bothSides">
                  <wp:wrapPolygon edited="0">
                    <wp:start x="0" y="0"/>
                    <wp:lineTo x="0" y="20546"/>
                    <wp:lineTo x="21517" y="20546"/>
                    <wp:lineTo x="21517" y="0"/>
                    <wp:lineTo x="0" y="0"/>
                  </wp:wrapPolygon>
                </wp:wrapTight>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520700"/>
                        </a:xfrm>
                        <a:prstGeom prst="rect">
                          <a:avLst/>
                        </a:prstGeom>
                        <a:solidFill>
                          <a:srgbClr val="FFFFFF"/>
                        </a:solidFill>
                        <a:ln w="9525">
                          <a:noFill/>
                          <a:miter lim="800000"/>
                          <a:headEnd/>
                          <a:tailEnd/>
                        </a:ln>
                      </wps:spPr>
                      <wps:txbx>
                        <w:txbxContent>
                          <w:p w14:paraId="3D736F93" w14:textId="55803846" w:rsidR="00A56EB4" w:rsidRPr="0063408E" w:rsidRDefault="00A56EB4" w:rsidP="00A2380F">
                            <w:pPr>
                              <w:pStyle w:val="Caption"/>
                            </w:pPr>
                            <w:r>
                              <w:rPr>
                                <w:b/>
                                <w:bCs/>
                              </w:rPr>
                              <w:t>Table 17</w:t>
                            </w:r>
                            <w:r w:rsidRPr="00346AEB">
                              <w:rPr>
                                <w:b/>
                                <w:bCs/>
                              </w:rPr>
                              <w:t>.</w:t>
                            </w:r>
                            <w:r>
                              <w:t xml:space="preserve"> Frequency and proportion of Calgary’s Youth Court attendees by duration of service provision, between January 2017 and December 2018.</w:t>
                            </w:r>
                          </w:p>
                          <w:p w14:paraId="073CBEA0" w14:textId="721F4ABF" w:rsidR="00A56EB4" w:rsidRDefault="00A56EB4" w:rsidP="00346AEB">
                            <w:pPr>
                              <w:pStyle w:val="Cap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0EB86" id="_x0000_s1095" type="#_x0000_t202" style="position:absolute;margin-left:280.45pt;margin-top:538.25pt;width:259pt;height:41pt;z-index:-24963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" stroked="f">
                <v:textbox>
                  <w:txbxContent>
                    <w:p w14:paraId="3D736F93" w14:textId="55803846" w:rsidR="00A56EB4" w:rsidRPr="0063408E" w:rsidRDefault="00A56EB4" w:rsidP="00A2380F">
                      <w:pPr>
                        <w:pStyle w:val="Caption"/>
                      </w:pPr>
                      <w:r>
                        <w:rPr>
                          <w:b/>
                          <w:bCs/>
                        </w:rPr>
                        <w:t>Table 17</w:t>
                      </w:r>
                      <w:r w:rsidRPr="00346AEB">
                        <w:rPr>
                          <w:b/>
                          <w:bCs/>
                        </w:rPr>
                        <w:t>.</w:t>
                      </w:r>
                      <w:r>
                        <w:t xml:space="preserve"> Frequency and proportion of Calgary’s Youth Court attendees by duration of service provision, between January 2017 and December 2018.</w:t>
                      </w:r>
                    </w:p>
                    <w:p w14:paraId="073CBEA0" w14:textId="721F4ABF" w:rsidR="00A56EB4" w:rsidRDefault="00A56EB4" w:rsidP="00346AEB">
                      <w:pPr>
                        <w:pStyle w:val="Caption"/>
                      </w:pPr>
                    </w:p>
                  </w:txbxContent>
                </v:textbox>
                <w10:wrap type="tight" anchorx="margin" anchory="page"/>
              </v:shape>
            </w:pict>
          </mc:Fallback>
        </mc:AlternateContent>
      </w:r>
      <w:r>
        <w:rPr>
          <w:noProof/>
          <w:lang w:val="en-US"/>
        </w:rPr>
        <w:drawing>
          <wp:anchor distT="0" distB="0" distL="114300" distR="114300" simplePos="0" relativeHeight="253529600" behindDoc="1" locked="0" layoutInCell="1" allowOverlap="1" wp14:anchorId="19DFF576" wp14:editId="6323ABDA">
            <wp:simplePos x="0" y="0"/>
            <wp:positionH relativeFrom="margin">
              <wp:posOffset>-635</wp:posOffset>
            </wp:positionH>
            <wp:positionV relativeFrom="margin">
              <wp:posOffset>4501530</wp:posOffset>
            </wp:positionV>
            <wp:extent cx="3514725" cy="2949575"/>
            <wp:effectExtent l="0" t="0" r="9525" b="3175"/>
            <wp:wrapTight wrapText="bothSides">
              <wp:wrapPolygon edited="0">
                <wp:start x="0" y="0"/>
                <wp:lineTo x="0" y="21484"/>
                <wp:lineTo x="21541" y="21484"/>
                <wp:lineTo x="21541"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t="4128"/>
                    <a:stretch/>
                  </pic:blipFill>
                  <pic:spPr bwMode="auto">
                    <a:xfrm>
                      <a:off x="0" y="0"/>
                      <a:ext cx="3514725" cy="2949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rPr>
        <w:drawing>
          <wp:anchor distT="0" distB="0" distL="114300" distR="114300" simplePos="0" relativeHeight="253587968" behindDoc="1" locked="0" layoutInCell="1" allowOverlap="1" wp14:anchorId="7E2BC522" wp14:editId="6A84C407">
            <wp:simplePos x="0" y="0"/>
            <wp:positionH relativeFrom="margin">
              <wp:posOffset>3695700</wp:posOffset>
            </wp:positionH>
            <wp:positionV relativeFrom="page">
              <wp:posOffset>5136544</wp:posOffset>
            </wp:positionV>
            <wp:extent cx="3162300" cy="1640840"/>
            <wp:effectExtent l="0" t="0" r="0" b="0"/>
            <wp:wrapTight wrapText="bothSides">
              <wp:wrapPolygon edited="0">
                <wp:start x="0" y="0"/>
                <wp:lineTo x="0" y="21316"/>
                <wp:lineTo x="21470" y="21316"/>
                <wp:lineTo x="21470"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162300" cy="16408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250176" behindDoc="1" locked="0" layoutInCell="1" allowOverlap="1" wp14:anchorId="50E0A778" wp14:editId="026127B9">
                <wp:simplePos x="0" y="0"/>
                <wp:positionH relativeFrom="margin">
                  <wp:posOffset>3733800</wp:posOffset>
                </wp:positionH>
                <wp:positionV relativeFrom="margin">
                  <wp:posOffset>4091644</wp:posOffset>
                </wp:positionV>
                <wp:extent cx="3124200" cy="419100"/>
                <wp:effectExtent l="0" t="0" r="0" b="0"/>
                <wp:wrapTight wrapText="bothSides">
                  <wp:wrapPolygon edited="0">
                    <wp:start x="0" y="0"/>
                    <wp:lineTo x="0" y="20618"/>
                    <wp:lineTo x="21468" y="20618"/>
                    <wp:lineTo x="21468" y="0"/>
                    <wp:lineTo x="0" y="0"/>
                  </wp:wrapPolygon>
                </wp:wrapTight>
                <wp:docPr id="465" name="Text Box 465"/>
                <wp:cNvGraphicFramePr/>
                <a:graphic xmlns:a="http://schemas.openxmlformats.org/drawingml/2006/main">
                  <a:graphicData uri="http://schemas.microsoft.com/office/word/2010/wordprocessingShape">
                    <wps:wsp>
                      <wps:cNvSpPr txBox="1"/>
                      <wps:spPr>
                        <a:xfrm>
                          <a:off x="0" y="0"/>
                          <a:ext cx="3124200" cy="419100"/>
                        </a:xfrm>
                        <a:prstGeom prst="rect">
                          <a:avLst/>
                        </a:prstGeom>
                        <a:solidFill>
                          <a:prstClr val="white"/>
                        </a:solidFill>
                        <a:ln>
                          <a:noFill/>
                        </a:ln>
                      </wps:spPr>
                      <wps:txbx>
                        <w:txbxContent>
                          <w:p w14:paraId="142C81ED" w14:textId="2A1EAC69" w:rsidR="00A56EB4" w:rsidRPr="0063408E" w:rsidRDefault="00A56EB4" w:rsidP="0030256A">
                            <w:pPr>
                              <w:pStyle w:val="Caption"/>
                            </w:pPr>
                            <w:r>
                              <w:rPr>
                                <w:b/>
                                <w:bCs/>
                              </w:rPr>
                              <w:t>Table 16</w:t>
                            </w:r>
                            <w:r w:rsidRPr="00B63B81">
                              <w:rPr>
                                <w:b/>
                                <w:bCs/>
                              </w:rPr>
                              <w:t>.</w:t>
                            </w:r>
                            <w:r>
                              <w:t xml:space="preserve"> Frequency and proportion of Calgary’s Youth Court attendees with legal representation,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A778" id="Text Box 465" o:spid="_x0000_s1096" type="#_x0000_t202" style="position:absolute;margin-left:294pt;margin-top:322.2pt;width:246pt;height:33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" stroked="f">
                <v:textbox inset="0,0,0,0">
                  <w:txbxContent>
                    <w:p w14:paraId="142C81ED" w14:textId="2A1EAC69" w:rsidR="00A56EB4" w:rsidRPr="0063408E" w:rsidRDefault="00A56EB4" w:rsidP="0030256A">
                      <w:pPr>
                        <w:pStyle w:val="Caption"/>
                      </w:pPr>
                      <w:r>
                        <w:rPr>
                          <w:b/>
                          <w:bCs/>
                        </w:rPr>
                        <w:t>Table 16</w:t>
                      </w:r>
                      <w:r w:rsidRPr="00B63B81">
                        <w:rPr>
                          <w:b/>
                          <w:bCs/>
                        </w:rPr>
                        <w:t>.</w:t>
                      </w:r>
                      <w:r>
                        <w:t xml:space="preserve"> Frequency and proportion of Calgary’s Youth Court attendees with legal representation, between January 2017 and December 2018.</w:t>
                      </w:r>
                    </w:p>
                  </w:txbxContent>
                </v:textbox>
                <w10:wrap type="tight" anchorx="margin" anchory="margin"/>
              </v:shape>
            </w:pict>
          </mc:Fallback>
        </mc:AlternateContent>
      </w:r>
      <w:r w:rsidR="00885E97" w:rsidRPr="00F64463">
        <w:t xml:space="preserve">It was observed that </w:t>
      </w:r>
      <w:r w:rsidR="00F25CAB">
        <w:t>most</w:t>
      </w:r>
      <w:r w:rsidR="00885E97" w:rsidRPr="00F64463">
        <w:t xml:space="preserve"> (</w:t>
      </w:r>
      <w:r w:rsidR="00162810">
        <w:t>26.70</w:t>
      </w:r>
      <w:r w:rsidR="00885E97" w:rsidRPr="00F64463">
        <w:t xml:space="preserve">%) of </w:t>
      </w:r>
      <w:r w:rsidR="00A2380F">
        <w:t xml:space="preserve">the </w:t>
      </w:r>
      <w:r w:rsidR="00885E97" w:rsidRPr="00F64463">
        <w:t xml:space="preserve">attendees at </w:t>
      </w:r>
      <w:r w:rsidR="008D12A5">
        <w:t>Calgary’s Youth Court</w:t>
      </w:r>
      <w:r w:rsidR="00A2380F">
        <w:t xml:space="preserve"> </w:t>
      </w:r>
      <w:r w:rsidR="00885E97" w:rsidRPr="00F64463">
        <w:t>were at their first court appearance, with an apparent inverse relationship between increasing court appearance number and attendee count</w:t>
      </w:r>
      <w:r w:rsidR="00A2380F">
        <w:t xml:space="preserve"> (Table 15)</w:t>
      </w:r>
      <w:r w:rsidR="00885E97" w:rsidRPr="00F64463">
        <w:t xml:space="preserve">. </w:t>
      </w:r>
      <w:r w:rsidR="00A2380F">
        <w:t>M</w:t>
      </w:r>
      <w:r w:rsidR="00F25CAB">
        <w:t>ost</w:t>
      </w:r>
      <w:r w:rsidR="00885E97" w:rsidRPr="00F64463">
        <w:t xml:space="preserve"> attendees (</w:t>
      </w:r>
      <w:r w:rsidR="00F25CAB">
        <w:t>64.00</w:t>
      </w:r>
      <w:r w:rsidR="00885E97" w:rsidRPr="00F64463">
        <w:t>%), for which data was available, reported having legal representation at court (Table</w:t>
      </w:r>
      <w:r w:rsidR="00A2380F">
        <w:t xml:space="preserve"> 16</w:t>
      </w:r>
      <w:r w:rsidR="00885E97" w:rsidRPr="00F64463">
        <w:t>). Most (</w:t>
      </w:r>
      <w:r w:rsidR="00F25CAB">
        <w:t>85.97</w:t>
      </w:r>
      <w:r w:rsidR="00885E97" w:rsidRPr="00F64463">
        <w:t xml:space="preserve">%) of </w:t>
      </w:r>
      <w:r w:rsidR="00A2380F">
        <w:t xml:space="preserve">the </w:t>
      </w:r>
      <w:r w:rsidR="00885E97" w:rsidRPr="00F64463">
        <w:t>attendees received services through the organization of a duration of 0-4 minutes, with an inverse relationship between increasing service length and attendee count</w:t>
      </w:r>
      <w:r w:rsidR="00885E97">
        <w:t xml:space="preserve"> (Table</w:t>
      </w:r>
      <w:r w:rsidR="00A2380F">
        <w:t xml:space="preserve"> 17</w:t>
      </w:r>
      <w:r w:rsidR="00885E97">
        <w:t>)</w:t>
      </w:r>
      <w:r w:rsidR="00885E97" w:rsidRPr="00F64463">
        <w:t xml:space="preserve">. </w:t>
      </w:r>
      <w:r w:rsidR="00770FA1">
        <w:t>Only 2.05% of defendants required support exceeding 15 minutes (Table 17).</w:t>
      </w:r>
    </w:p>
    <w:p w14:paraId="5216BAF1" w14:textId="4269D835" w:rsidR="00CD0B2D" w:rsidRDefault="007C73B1" w:rsidP="00346AEB">
      <w:pPr>
        <w:rPr>
          <w:b/>
          <w:bCs/>
        </w:rPr>
      </w:pPr>
      <w:r>
        <w:rPr>
          <w:noProof/>
          <w:lang w:val="en-US"/>
        </w:rPr>
        <mc:AlternateContent>
          <mc:Choice Requires="wps">
            <w:drawing>
              <wp:anchor distT="0" distB="0" distL="114300" distR="114300" simplePos="0" relativeHeight="250988032" behindDoc="1" locked="0" layoutInCell="1" allowOverlap="1" wp14:anchorId="7AA8AFBC" wp14:editId="643D9C40">
                <wp:simplePos x="0" y="0"/>
                <wp:positionH relativeFrom="margin">
                  <wp:posOffset>0</wp:posOffset>
                </wp:positionH>
                <wp:positionV relativeFrom="page">
                  <wp:posOffset>4764611</wp:posOffset>
                </wp:positionV>
                <wp:extent cx="3429000" cy="609600"/>
                <wp:effectExtent l="0" t="0" r="0" b="0"/>
                <wp:wrapTight wrapText="bothSides">
                  <wp:wrapPolygon edited="0">
                    <wp:start x="0" y="0"/>
                    <wp:lineTo x="0" y="20925"/>
                    <wp:lineTo x="21480" y="20925"/>
                    <wp:lineTo x="21480" y="0"/>
                    <wp:lineTo x="0" y="0"/>
                  </wp:wrapPolygon>
                </wp:wrapTight>
                <wp:docPr id="456" name="Text Box 456"/>
                <wp:cNvGraphicFramePr/>
                <a:graphic xmlns:a="http://schemas.openxmlformats.org/drawingml/2006/main">
                  <a:graphicData uri="http://schemas.microsoft.com/office/word/2010/wordprocessingShape">
                    <wps:wsp>
                      <wps:cNvSpPr txBox="1"/>
                      <wps:spPr>
                        <a:xfrm>
                          <a:off x="0" y="0"/>
                          <a:ext cx="3429000" cy="609600"/>
                        </a:xfrm>
                        <a:prstGeom prst="rect">
                          <a:avLst/>
                        </a:prstGeom>
                        <a:solidFill>
                          <a:prstClr val="white"/>
                        </a:solidFill>
                        <a:ln>
                          <a:noFill/>
                        </a:ln>
                      </wps:spPr>
                      <wps:txbx>
                        <w:txbxContent>
                          <w:p w14:paraId="7B4E9C35" w14:textId="3B56DE27" w:rsidR="00A56EB4" w:rsidRPr="005D6535" w:rsidRDefault="00A56EB4" w:rsidP="005D6535">
                            <w:pPr>
                              <w:pStyle w:val="Caption"/>
                            </w:pPr>
                            <w:r>
                              <w:rPr>
                                <w:b/>
                                <w:bCs/>
                              </w:rPr>
                              <w:t>Table 15</w:t>
                            </w:r>
                            <w:r w:rsidRPr="00B63B81">
                              <w:rPr>
                                <w:b/>
                                <w:bCs/>
                              </w:rPr>
                              <w:t>.</w:t>
                            </w:r>
                            <w:r>
                              <w:t xml:space="preserve"> Frequency and proportion of Calgary’s Youth Court attendees by number of court appearances,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AFBC" id="Text Box 456" o:spid="_x0000_s1097" type="#_x0000_t202" style="position:absolute;margin-left:0;margin-top:375.15pt;width:270pt;height:48pt;z-index:-252328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" stroked="f">
                <v:textbox inset="0,0,0,0">
                  <w:txbxContent>
                    <w:p w14:paraId="7B4E9C35" w14:textId="3B56DE27" w:rsidR="00A56EB4" w:rsidRPr="005D6535" w:rsidRDefault="00A56EB4" w:rsidP="005D6535">
                      <w:pPr>
                        <w:pStyle w:val="Caption"/>
                      </w:pPr>
                      <w:r>
                        <w:rPr>
                          <w:b/>
                          <w:bCs/>
                        </w:rPr>
                        <w:t>Table 15</w:t>
                      </w:r>
                      <w:r w:rsidRPr="00B63B81">
                        <w:rPr>
                          <w:b/>
                          <w:bCs/>
                        </w:rPr>
                        <w:t>.</w:t>
                      </w:r>
                      <w:r>
                        <w:t xml:space="preserve"> Frequency and proportion of Calgary’s Youth Court attendees by number of court appearances, between January 2017 and December 2018.</w:t>
                      </w:r>
                    </w:p>
                  </w:txbxContent>
                </v:textbox>
                <w10:wrap type="tight" anchorx="margin" anchory="page"/>
              </v:shape>
            </w:pict>
          </mc:Fallback>
        </mc:AlternateContent>
      </w:r>
    </w:p>
    <w:p w14:paraId="5A553E63" w14:textId="0916392E" w:rsidR="00CD0B2D" w:rsidRDefault="00CD0B2D" w:rsidP="00346AEB">
      <w:pPr>
        <w:rPr>
          <w:b/>
          <w:bCs/>
        </w:rPr>
      </w:pPr>
    </w:p>
    <w:p w14:paraId="46DAC739" w14:textId="0224F8BE" w:rsidR="00CD0B2D" w:rsidRDefault="00CD0B2D" w:rsidP="00147C80">
      <w:pPr>
        <w:autoSpaceDE w:val="0"/>
        <w:autoSpaceDN w:val="0"/>
        <w:adjustRightInd w:val="0"/>
        <w:spacing w:after="0" w:line="240" w:lineRule="auto"/>
        <w:rPr>
          <w:rFonts w:asciiTheme="majorHAnsi" w:hAnsiTheme="majorHAnsi" w:cstheme="majorHAnsi"/>
          <w:b/>
          <w:bCs/>
        </w:rPr>
      </w:pPr>
    </w:p>
    <w:p w14:paraId="0C869772" w14:textId="526C1010" w:rsidR="00346AEB" w:rsidRDefault="00346AEB" w:rsidP="007C73B1">
      <w:pPr>
        <w:rPr>
          <w:rFonts w:asciiTheme="majorHAnsi" w:hAnsiTheme="majorHAnsi" w:cstheme="majorHAnsi"/>
          <w:b/>
          <w:bCs/>
        </w:rPr>
      </w:pPr>
    </w:p>
    <w:p w14:paraId="3BE3DE7E" w14:textId="79FD316C" w:rsidR="00346AEB" w:rsidRDefault="00346AEB" w:rsidP="00693CD4">
      <w:pPr>
        <w:tabs>
          <w:tab w:val="left" w:pos="3285"/>
        </w:tabs>
        <w:autoSpaceDE w:val="0"/>
        <w:autoSpaceDN w:val="0"/>
        <w:adjustRightInd w:val="0"/>
        <w:spacing w:after="0" w:line="240" w:lineRule="auto"/>
        <w:rPr>
          <w:rFonts w:asciiTheme="majorHAnsi" w:hAnsiTheme="majorHAnsi" w:cstheme="majorHAnsi"/>
          <w:b/>
          <w:bCs/>
        </w:rPr>
      </w:pPr>
    </w:p>
    <w:p w14:paraId="031499DF" w14:textId="0A26DC5E" w:rsidR="00CD0B2D" w:rsidRDefault="007C73B1" w:rsidP="007C73B1">
      <w:pPr>
        <w:tabs>
          <w:tab w:val="left" w:pos="3285"/>
        </w:tabs>
        <w:autoSpaceDE w:val="0"/>
        <w:autoSpaceDN w:val="0"/>
        <w:adjustRightInd w:val="0"/>
        <w:spacing w:after="0" w:line="240" w:lineRule="auto"/>
        <w:rPr>
          <w:rFonts w:asciiTheme="majorHAnsi" w:hAnsiTheme="majorHAnsi" w:cstheme="majorHAnsi"/>
          <w:b/>
          <w:bCs/>
        </w:rPr>
      </w:pPr>
      <w:r>
        <w:rPr>
          <w:rFonts w:ascii="Times New Roman" w:hAnsi="Times New Roman" w:cs="Times New Roman"/>
          <w:noProof/>
          <w:sz w:val="24"/>
          <w:szCs w:val="24"/>
          <w:lang w:val="en-US"/>
        </w:rPr>
        <w:drawing>
          <wp:anchor distT="0" distB="0" distL="114300" distR="114300" simplePos="0" relativeHeight="248245760" behindDoc="1" locked="0" layoutInCell="1" allowOverlap="1" wp14:anchorId="00B40F9D" wp14:editId="2AA03E5C">
            <wp:simplePos x="0" y="0"/>
            <wp:positionH relativeFrom="column">
              <wp:posOffset>3839845</wp:posOffset>
            </wp:positionH>
            <wp:positionV relativeFrom="page">
              <wp:posOffset>7062160</wp:posOffset>
            </wp:positionV>
            <wp:extent cx="2875280" cy="2501265"/>
            <wp:effectExtent l="0" t="0" r="1270" b="0"/>
            <wp:wrapTight wrapText="bothSides">
              <wp:wrapPolygon edited="0">
                <wp:start x="0" y="0"/>
                <wp:lineTo x="0" y="21386"/>
                <wp:lineTo x="21466" y="21386"/>
                <wp:lineTo x="214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30929" t="22343" r="30770" b="20980"/>
                    <a:stretch/>
                  </pic:blipFill>
                  <pic:spPr bwMode="auto">
                    <a:xfrm>
                      <a:off x="0" y="0"/>
                      <a:ext cx="2875280" cy="250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4D104" w14:textId="3DBCD350" w:rsidR="009E60BB" w:rsidRDefault="008D12A5" w:rsidP="00CF5FD1">
      <w:pPr>
        <w:pStyle w:val="Heading2"/>
      </w:pPr>
      <w:bookmarkStart w:id="38" w:name="_Toc16262350"/>
      <w:r>
        <w:lastRenderedPageBreak/>
        <w:t>North Youth Court</w:t>
      </w:r>
      <w:r w:rsidR="007C73B1">
        <w:t>s</w:t>
      </w:r>
      <w:bookmarkEnd w:id="38"/>
      <w:r w:rsidR="009E60BB">
        <w:t xml:space="preserve"> </w:t>
      </w:r>
    </w:p>
    <w:p w14:paraId="2777B135" w14:textId="2AB1F99F" w:rsidR="00DA0302" w:rsidRDefault="00DA0302" w:rsidP="00DA0302">
      <w:pPr>
        <w:autoSpaceDE w:val="0"/>
        <w:autoSpaceDN w:val="0"/>
        <w:adjustRightInd w:val="0"/>
        <w:spacing w:after="0" w:line="240" w:lineRule="auto"/>
        <w:rPr>
          <w:rFonts w:ascii="Times New Roman" w:hAnsi="Times New Roman" w:cs="Times New Roman"/>
          <w:sz w:val="24"/>
          <w:szCs w:val="24"/>
        </w:rPr>
      </w:pPr>
    </w:p>
    <w:p w14:paraId="5B574BC4" w14:textId="08C20BC0" w:rsidR="003D77F8" w:rsidRDefault="001B240B" w:rsidP="00935D12">
      <w:pPr>
        <w:autoSpaceDE w:val="0"/>
        <w:autoSpaceDN w:val="0"/>
        <w:adjustRightInd w:val="0"/>
        <w:spacing w:after="0" w:line="240" w:lineRule="auto"/>
      </w:pPr>
      <w:r>
        <w:rPr>
          <w:rFonts w:ascii="Times New Roman" w:hAnsi="Times New Roman" w:cs="Times New Roman"/>
          <w:noProof/>
          <w:sz w:val="24"/>
          <w:szCs w:val="24"/>
          <w:lang w:val="en-US"/>
        </w:rPr>
        <w:drawing>
          <wp:anchor distT="0" distB="0" distL="114300" distR="114300" simplePos="0" relativeHeight="256457216" behindDoc="1" locked="0" layoutInCell="1" allowOverlap="1" wp14:anchorId="0C39C940" wp14:editId="60852A9C">
            <wp:simplePos x="0" y="0"/>
            <wp:positionH relativeFrom="column">
              <wp:posOffset>3632257</wp:posOffset>
            </wp:positionH>
            <wp:positionV relativeFrom="page">
              <wp:posOffset>1068457</wp:posOffset>
            </wp:positionV>
            <wp:extent cx="2875280" cy="2501265"/>
            <wp:effectExtent l="0" t="0" r="1270" b="0"/>
            <wp:wrapTight wrapText="bothSides">
              <wp:wrapPolygon edited="0">
                <wp:start x="0" y="0"/>
                <wp:lineTo x="0" y="21386"/>
                <wp:lineTo x="21466" y="21386"/>
                <wp:lineTo x="21466" y="0"/>
                <wp:lineTo x="0" y="0"/>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30929" t="22343" r="30770" b="20980"/>
                    <a:stretch/>
                  </pic:blipFill>
                  <pic:spPr bwMode="auto">
                    <a:xfrm>
                      <a:off x="0" y="0"/>
                      <a:ext cx="2875280" cy="250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7F8">
        <w:rPr>
          <w:noProof/>
          <w:lang w:val="en-US"/>
        </w:rPr>
        <w:drawing>
          <wp:anchor distT="0" distB="0" distL="114300" distR="114300" simplePos="0" relativeHeight="253740544" behindDoc="1" locked="0" layoutInCell="1" allowOverlap="1" wp14:anchorId="7919A5FD" wp14:editId="6FC07EAE">
            <wp:simplePos x="0" y="0"/>
            <wp:positionH relativeFrom="column">
              <wp:posOffset>118819</wp:posOffset>
            </wp:positionH>
            <wp:positionV relativeFrom="page">
              <wp:posOffset>1071872</wp:posOffset>
            </wp:positionV>
            <wp:extent cx="3267075" cy="2400300"/>
            <wp:effectExtent l="0" t="0" r="9525" b="0"/>
            <wp:wrapTight wrapText="bothSides">
              <wp:wrapPolygon edited="0">
                <wp:start x="0" y="0"/>
                <wp:lineTo x="0" y="21429"/>
                <wp:lineTo x="21537" y="21429"/>
                <wp:lineTo x="21537"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267075" cy="2400300"/>
                    </a:xfrm>
                    <a:prstGeom prst="rect">
                      <a:avLst/>
                    </a:prstGeom>
                  </pic:spPr>
                </pic:pic>
              </a:graphicData>
            </a:graphic>
          </wp:anchor>
        </w:drawing>
      </w:r>
    </w:p>
    <w:p w14:paraId="5E8FFAF9" w14:textId="76B53653" w:rsidR="003D77F8" w:rsidRDefault="003D77F8" w:rsidP="00935D12">
      <w:pPr>
        <w:autoSpaceDE w:val="0"/>
        <w:autoSpaceDN w:val="0"/>
        <w:adjustRightInd w:val="0"/>
        <w:spacing w:after="0" w:line="240" w:lineRule="auto"/>
      </w:pPr>
    </w:p>
    <w:p w14:paraId="03C54C43" w14:textId="77777777" w:rsidR="003D77F8" w:rsidRDefault="003D77F8" w:rsidP="00935D12">
      <w:pPr>
        <w:autoSpaceDE w:val="0"/>
        <w:autoSpaceDN w:val="0"/>
        <w:adjustRightInd w:val="0"/>
        <w:spacing w:after="0" w:line="240" w:lineRule="auto"/>
      </w:pPr>
    </w:p>
    <w:p w14:paraId="2530FC39" w14:textId="5E5212AF" w:rsidR="003D77F8" w:rsidRDefault="003D77F8" w:rsidP="00935D12">
      <w:pPr>
        <w:autoSpaceDE w:val="0"/>
        <w:autoSpaceDN w:val="0"/>
        <w:adjustRightInd w:val="0"/>
        <w:spacing w:after="0" w:line="240" w:lineRule="auto"/>
      </w:pPr>
    </w:p>
    <w:p w14:paraId="7A7B7F00" w14:textId="694AAD48" w:rsidR="003D77F8" w:rsidRDefault="003D77F8" w:rsidP="00935D12">
      <w:pPr>
        <w:autoSpaceDE w:val="0"/>
        <w:autoSpaceDN w:val="0"/>
        <w:adjustRightInd w:val="0"/>
        <w:spacing w:after="0" w:line="240" w:lineRule="auto"/>
      </w:pPr>
    </w:p>
    <w:p w14:paraId="76B2462F" w14:textId="77777777" w:rsidR="003D77F8" w:rsidRDefault="003D77F8" w:rsidP="00935D12">
      <w:pPr>
        <w:autoSpaceDE w:val="0"/>
        <w:autoSpaceDN w:val="0"/>
        <w:adjustRightInd w:val="0"/>
        <w:spacing w:after="0" w:line="240" w:lineRule="auto"/>
      </w:pPr>
    </w:p>
    <w:p w14:paraId="74A86A89" w14:textId="77777777" w:rsidR="003D77F8" w:rsidRDefault="003D77F8" w:rsidP="00935D12">
      <w:pPr>
        <w:autoSpaceDE w:val="0"/>
        <w:autoSpaceDN w:val="0"/>
        <w:adjustRightInd w:val="0"/>
        <w:spacing w:after="0" w:line="240" w:lineRule="auto"/>
      </w:pPr>
    </w:p>
    <w:p w14:paraId="75E17C06" w14:textId="45EE09DE" w:rsidR="003D77F8" w:rsidRDefault="003D77F8" w:rsidP="00935D12">
      <w:pPr>
        <w:autoSpaceDE w:val="0"/>
        <w:autoSpaceDN w:val="0"/>
        <w:adjustRightInd w:val="0"/>
        <w:spacing w:after="0" w:line="240" w:lineRule="auto"/>
      </w:pPr>
    </w:p>
    <w:p w14:paraId="09EDEAD6" w14:textId="77777777" w:rsidR="003D77F8" w:rsidRDefault="003D77F8" w:rsidP="00935D12">
      <w:pPr>
        <w:autoSpaceDE w:val="0"/>
        <w:autoSpaceDN w:val="0"/>
        <w:adjustRightInd w:val="0"/>
        <w:spacing w:after="0" w:line="240" w:lineRule="auto"/>
      </w:pPr>
    </w:p>
    <w:p w14:paraId="25A73238" w14:textId="77777777" w:rsidR="003D77F8" w:rsidRDefault="003D77F8" w:rsidP="00935D12">
      <w:pPr>
        <w:autoSpaceDE w:val="0"/>
        <w:autoSpaceDN w:val="0"/>
        <w:adjustRightInd w:val="0"/>
        <w:spacing w:after="0" w:line="240" w:lineRule="auto"/>
      </w:pPr>
    </w:p>
    <w:p w14:paraId="630534B9" w14:textId="5FCB0779" w:rsidR="003D77F8" w:rsidRDefault="003D77F8" w:rsidP="00935D12">
      <w:pPr>
        <w:autoSpaceDE w:val="0"/>
        <w:autoSpaceDN w:val="0"/>
        <w:adjustRightInd w:val="0"/>
        <w:spacing w:after="0" w:line="240" w:lineRule="auto"/>
      </w:pPr>
    </w:p>
    <w:p w14:paraId="65EEC14A" w14:textId="77777777" w:rsidR="003D77F8" w:rsidRDefault="003D77F8" w:rsidP="00935D12">
      <w:pPr>
        <w:autoSpaceDE w:val="0"/>
        <w:autoSpaceDN w:val="0"/>
        <w:adjustRightInd w:val="0"/>
        <w:spacing w:after="0" w:line="240" w:lineRule="auto"/>
      </w:pPr>
    </w:p>
    <w:p w14:paraId="5063F63A" w14:textId="0BD7D58E" w:rsidR="003D77F8" w:rsidRDefault="003D77F8" w:rsidP="00935D12">
      <w:pPr>
        <w:autoSpaceDE w:val="0"/>
        <w:autoSpaceDN w:val="0"/>
        <w:adjustRightInd w:val="0"/>
        <w:spacing w:after="0" w:line="240" w:lineRule="auto"/>
      </w:pPr>
    </w:p>
    <w:p w14:paraId="19FD9FCB" w14:textId="14DE89B9" w:rsidR="003D77F8" w:rsidRDefault="003D77F8" w:rsidP="00935D12">
      <w:pPr>
        <w:autoSpaceDE w:val="0"/>
        <w:autoSpaceDN w:val="0"/>
        <w:adjustRightInd w:val="0"/>
        <w:spacing w:after="0" w:line="240" w:lineRule="auto"/>
      </w:pPr>
    </w:p>
    <w:p w14:paraId="292EC740" w14:textId="51CF9918" w:rsidR="003D77F8" w:rsidRDefault="003D77F8" w:rsidP="00935D12">
      <w:pPr>
        <w:autoSpaceDE w:val="0"/>
        <w:autoSpaceDN w:val="0"/>
        <w:adjustRightInd w:val="0"/>
        <w:spacing w:after="0" w:line="240" w:lineRule="auto"/>
      </w:pPr>
    </w:p>
    <w:p w14:paraId="1B4CD671" w14:textId="4EBEDF6C" w:rsidR="003D77F8" w:rsidRDefault="003D77F8" w:rsidP="00935D12">
      <w:pPr>
        <w:autoSpaceDE w:val="0"/>
        <w:autoSpaceDN w:val="0"/>
        <w:adjustRightInd w:val="0"/>
        <w:spacing w:after="0" w:line="240" w:lineRule="auto"/>
      </w:pPr>
    </w:p>
    <w:p w14:paraId="2DA4EAD5" w14:textId="0DBEA5CA" w:rsidR="003D77F8" w:rsidRDefault="00507A67" w:rsidP="00935D12">
      <w:pPr>
        <w:autoSpaceDE w:val="0"/>
        <w:autoSpaceDN w:val="0"/>
        <w:adjustRightInd w:val="0"/>
        <w:spacing w:after="0" w:line="240" w:lineRule="auto"/>
      </w:pPr>
      <w:r w:rsidRPr="00F2233B">
        <w:rPr>
          <w:noProof/>
          <w:lang w:val="en-US"/>
        </w:rPr>
        <mc:AlternateContent>
          <mc:Choice Requires="wps">
            <w:drawing>
              <wp:anchor distT="0" distB="0" distL="114300" distR="114300" simplePos="0" relativeHeight="249187840" behindDoc="1" locked="0" layoutInCell="1" allowOverlap="1" wp14:anchorId="534E78ED" wp14:editId="46C8DB83">
                <wp:simplePos x="0" y="0"/>
                <wp:positionH relativeFrom="margin">
                  <wp:posOffset>3650178</wp:posOffset>
                </wp:positionH>
                <wp:positionV relativeFrom="page">
                  <wp:posOffset>3656965</wp:posOffset>
                </wp:positionV>
                <wp:extent cx="2887980" cy="790575"/>
                <wp:effectExtent l="0" t="0" r="7620" b="9525"/>
                <wp:wrapTight wrapText="bothSides">
                  <wp:wrapPolygon edited="0">
                    <wp:start x="0" y="0"/>
                    <wp:lineTo x="0" y="21340"/>
                    <wp:lineTo x="21515" y="21340"/>
                    <wp:lineTo x="21515" y="0"/>
                    <wp:lineTo x="0" y="0"/>
                  </wp:wrapPolygon>
                </wp:wrapTight>
                <wp:docPr id="490" name="Text Box 490"/>
                <wp:cNvGraphicFramePr/>
                <a:graphic xmlns:a="http://schemas.openxmlformats.org/drawingml/2006/main">
                  <a:graphicData uri="http://schemas.microsoft.com/office/word/2010/wordprocessingShape">
                    <wps:wsp>
                      <wps:cNvSpPr txBox="1"/>
                      <wps:spPr>
                        <a:xfrm>
                          <a:off x="0" y="0"/>
                          <a:ext cx="2887980" cy="790575"/>
                        </a:xfrm>
                        <a:prstGeom prst="rect">
                          <a:avLst/>
                        </a:prstGeom>
                        <a:solidFill>
                          <a:prstClr val="white"/>
                        </a:solidFill>
                        <a:ln>
                          <a:noFill/>
                        </a:ln>
                      </wps:spPr>
                      <wps:txbx>
                        <w:txbxContent>
                          <w:p w14:paraId="54DBC772" w14:textId="2E494963"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41</w:t>
                            </w:r>
                            <w:r w:rsidRPr="00B63B81">
                              <w:rPr>
                                <w:b/>
                                <w:bCs/>
                              </w:rPr>
                              <w:t>.</w:t>
                            </w:r>
                            <w:r>
                              <w:t xml:space="preserve"> A pie chart of age distribution as observed in the North Youth Courts between January 2017 and December 2018, from a sample size of 128.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E78ED" id="Text Box 490" o:spid="_x0000_s1098" type="#_x0000_t202" style="position:absolute;margin-left:287.4pt;margin-top:287.95pt;width:227.4pt;height:62.25pt;z-index:-25412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" stroked="f">
                <v:textbox inset="0,0,0,0">
                  <w:txbxContent>
                    <w:p w14:paraId="54DBC772" w14:textId="2E494963"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41</w:t>
                      </w:r>
                      <w:r w:rsidRPr="00B63B81">
                        <w:rPr>
                          <w:b/>
                          <w:bCs/>
                        </w:rPr>
                        <w:t>.</w:t>
                      </w:r>
                      <w:r>
                        <w:t xml:space="preserve"> A pie chart of age distribution as observed in the North Youth Courts between January 2017 and December 2018, from a sample size of 128. Slice size represents the relative proportion of respondents within an age category. </w:t>
                      </w:r>
                    </w:p>
                  </w:txbxContent>
                </v:textbox>
                <w10:wrap type="tight" anchorx="margin" anchory="page"/>
              </v:shape>
            </w:pict>
          </mc:Fallback>
        </mc:AlternateContent>
      </w:r>
      <w:r w:rsidRPr="00AC0A7E">
        <w:rPr>
          <w:rFonts w:ascii="Times New Roman" w:hAnsi="Times New Roman" w:cs="Times New Roman"/>
          <w:noProof/>
          <w:sz w:val="24"/>
          <w:szCs w:val="24"/>
          <w:lang w:val="en-US"/>
        </w:rPr>
        <mc:AlternateContent>
          <mc:Choice Requires="wps">
            <w:drawing>
              <wp:anchor distT="45720" distB="45720" distL="114300" distR="114300" simplePos="0" relativeHeight="248859136" behindDoc="1" locked="0" layoutInCell="1" allowOverlap="1" wp14:anchorId="5350C8EB" wp14:editId="229A05A3">
                <wp:simplePos x="0" y="0"/>
                <wp:positionH relativeFrom="margin">
                  <wp:posOffset>317368</wp:posOffset>
                </wp:positionH>
                <wp:positionV relativeFrom="page">
                  <wp:posOffset>3662680</wp:posOffset>
                </wp:positionV>
                <wp:extent cx="2743200" cy="838200"/>
                <wp:effectExtent l="0" t="0" r="0" b="0"/>
                <wp:wrapTight wrapText="bothSides">
                  <wp:wrapPolygon edited="0">
                    <wp:start x="0" y="0"/>
                    <wp:lineTo x="0" y="21109"/>
                    <wp:lineTo x="21450" y="21109"/>
                    <wp:lineTo x="21450" y="0"/>
                    <wp:lineTo x="0" y="0"/>
                  </wp:wrapPolygon>
                </wp:wrapTight>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38200"/>
                        </a:xfrm>
                        <a:prstGeom prst="rect">
                          <a:avLst/>
                        </a:prstGeom>
                        <a:solidFill>
                          <a:srgbClr val="FFFFFF"/>
                        </a:solidFill>
                        <a:ln w="9525">
                          <a:noFill/>
                          <a:miter lim="800000"/>
                          <a:headEnd/>
                          <a:tailEnd/>
                        </a:ln>
                      </wps:spPr>
                      <wps:txbx>
                        <w:txbxContent>
                          <w:p w14:paraId="657341C9" w14:textId="54DE129D" w:rsidR="00A56EB4" w:rsidRPr="00AC0A7E" w:rsidRDefault="00A56EB4" w:rsidP="00666C4E">
                            <w:pPr>
                              <w:pStyle w:val="Caption"/>
                            </w:pPr>
                            <w:r w:rsidRPr="00AC0A7E">
                              <w:rPr>
                                <w:b/>
                                <w:bCs/>
                              </w:rPr>
                              <w:t xml:space="preserve">Figure </w:t>
                            </w:r>
                            <w:r>
                              <w:rPr>
                                <w:b/>
                                <w:bCs/>
                              </w:rPr>
                              <w:t>40</w:t>
                            </w:r>
                            <w:r w:rsidRPr="00AC0A7E">
                              <w:rPr>
                                <w:b/>
                                <w:bCs/>
                              </w:rPr>
                              <w:t xml:space="preserve">. </w:t>
                            </w:r>
                            <w:r w:rsidRPr="00AC0A7E">
                              <w:t xml:space="preserve"> A pie chart of gender distribution as observed in</w:t>
                            </w:r>
                            <w:r>
                              <w:t xml:space="preserve"> the North Youth C</w:t>
                            </w:r>
                            <w:r w:rsidRPr="00AC0A7E">
                              <w:t>ourt</w:t>
                            </w:r>
                            <w:r>
                              <w:t>s</w:t>
                            </w:r>
                            <w:r w:rsidRPr="00AC0A7E">
                              <w:t xml:space="preserve"> between January 2017 and December 2018, from a sample size of </w:t>
                            </w:r>
                            <w:r>
                              <w:t>172</w:t>
                            </w:r>
                            <w:r w:rsidRPr="00AC0A7E">
                              <w:t>. Slice sizes represent the proportion of attendees identifying as a specific gender.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50C8EB" id="_x0000_s1099" type="#_x0000_t202" style="position:absolute;margin-left:25pt;margin-top:288.4pt;width:3in;height:66pt;z-index:-2544573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" stroked="f">
                <v:textbox>
                  <w:txbxContent>
                    <w:p w14:paraId="657341C9" w14:textId="54DE129D" w:rsidR="00A56EB4" w:rsidRPr="00AC0A7E" w:rsidRDefault="00A56EB4" w:rsidP="00666C4E">
                      <w:pPr>
                        <w:pStyle w:val="Caption"/>
                      </w:pPr>
                      <w:r w:rsidRPr="00AC0A7E">
                        <w:rPr>
                          <w:b/>
                          <w:bCs/>
                        </w:rPr>
                        <w:t xml:space="preserve">Figure </w:t>
                      </w:r>
                      <w:r>
                        <w:rPr>
                          <w:b/>
                          <w:bCs/>
                        </w:rPr>
                        <w:t>40</w:t>
                      </w:r>
                      <w:r w:rsidRPr="00AC0A7E">
                        <w:rPr>
                          <w:b/>
                          <w:bCs/>
                        </w:rPr>
                        <w:t xml:space="preserve">. </w:t>
                      </w:r>
                      <w:r w:rsidRPr="00AC0A7E">
                        <w:t xml:space="preserve"> A pie chart of gender distribution as observed in</w:t>
                      </w:r>
                      <w:r>
                        <w:t xml:space="preserve"> the North Youth C</w:t>
                      </w:r>
                      <w:r w:rsidRPr="00AC0A7E">
                        <w:t>ourt</w:t>
                      </w:r>
                      <w:r>
                        <w:t>s</w:t>
                      </w:r>
                      <w:r w:rsidRPr="00AC0A7E">
                        <w:t xml:space="preserve"> between January 2017 and December 2018, from a sample size of </w:t>
                      </w:r>
                      <w:r>
                        <w:t>172</w:t>
                      </w:r>
                      <w:r w:rsidRPr="00AC0A7E">
                        <w:t>. Slice sizes represent the proportion of attendees identifying as a specific gender.</w:t>
                      </w:r>
                    </w:p>
                  </w:txbxContent>
                </v:textbox>
                <w10:wrap type="tight" anchorx="margin" anchory="page"/>
              </v:shape>
            </w:pict>
          </mc:Fallback>
        </mc:AlternateContent>
      </w:r>
    </w:p>
    <w:p w14:paraId="3BBE22BA" w14:textId="62C30890" w:rsidR="003D77F8" w:rsidRDefault="003D77F8" w:rsidP="00935D12">
      <w:pPr>
        <w:autoSpaceDE w:val="0"/>
        <w:autoSpaceDN w:val="0"/>
        <w:adjustRightInd w:val="0"/>
        <w:spacing w:after="0" w:line="240" w:lineRule="auto"/>
      </w:pPr>
    </w:p>
    <w:p w14:paraId="2B5002D7" w14:textId="330191F4" w:rsidR="003D77F8" w:rsidRDefault="003D77F8" w:rsidP="00935D12">
      <w:pPr>
        <w:autoSpaceDE w:val="0"/>
        <w:autoSpaceDN w:val="0"/>
        <w:adjustRightInd w:val="0"/>
        <w:spacing w:after="0" w:line="240" w:lineRule="auto"/>
      </w:pPr>
    </w:p>
    <w:p w14:paraId="3CB530D6" w14:textId="412CEE0B" w:rsidR="003D77F8" w:rsidRDefault="003D77F8" w:rsidP="00935D12">
      <w:pPr>
        <w:autoSpaceDE w:val="0"/>
        <w:autoSpaceDN w:val="0"/>
        <w:adjustRightInd w:val="0"/>
        <w:spacing w:after="0" w:line="240" w:lineRule="auto"/>
      </w:pPr>
    </w:p>
    <w:p w14:paraId="634E5D35" w14:textId="6DFFC2A0" w:rsidR="003D77F8" w:rsidRDefault="003D77F8" w:rsidP="00935D12">
      <w:pPr>
        <w:autoSpaceDE w:val="0"/>
        <w:autoSpaceDN w:val="0"/>
        <w:adjustRightInd w:val="0"/>
        <w:spacing w:after="0" w:line="240" w:lineRule="auto"/>
      </w:pPr>
    </w:p>
    <w:p w14:paraId="3DC51055" w14:textId="42F8BBC2" w:rsidR="003D77F8" w:rsidRDefault="00507A67" w:rsidP="00935D12">
      <w:pPr>
        <w:autoSpaceDE w:val="0"/>
        <w:autoSpaceDN w:val="0"/>
        <w:adjustRightInd w:val="0"/>
        <w:spacing w:after="0" w:line="240" w:lineRule="auto"/>
      </w:pPr>
      <w:r>
        <w:rPr>
          <w:noProof/>
          <w:lang w:val="en-US"/>
        </w:rPr>
        <mc:AlternateContent>
          <mc:Choice Requires="wps">
            <w:drawing>
              <wp:anchor distT="0" distB="0" distL="114300" distR="114300" simplePos="0" relativeHeight="249503232" behindDoc="1" locked="0" layoutInCell="1" allowOverlap="1" wp14:anchorId="7C9D1D56" wp14:editId="09D6F7EA">
                <wp:simplePos x="0" y="0"/>
                <wp:positionH relativeFrom="margin">
                  <wp:posOffset>-4445</wp:posOffset>
                </wp:positionH>
                <wp:positionV relativeFrom="page">
                  <wp:posOffset>8719482</wp:posOffset>
                </wp:positionV>
                <wp:extent cx="6862445" cy="381000"/>
                <wp:effectExtent l="0" t="0" r="0" b="0"/>
                <wp:wrapTight wrapText="bothSides">
                  <wp:wrapPolygon edited="0">
                    <wp:start x="0" y="0"/>
                    <wp:lineTo x="0" y="20520"/>
                    <wp:lineTo x="21526" y="20520"/>
                    <wp:lineTo x="21526" y="0"/>
                    <wp:lineTo x="0" y="0"/>
                  </wp:wrapPolygon>
                </wp:wrapTight>
                <wp:docPr id="498" name="Text Box 498"/>
                <wp:cNvGraphicFramePr/>
                <a:graphic xmlns:a="http://schemas.openxmlformats.org/drawingml/2006/main">
                  <a:graphicData uri="http://schemas.microsoft.com/office/word/2010/wordprocessingShape">
                    <wps:wsp>
                      <wps:cNvSpPr txBox="1"/>
                      <wps:spPr>
                        <a:xfrm>
                          <a:off x="0" y="0"/>
                          <a:ext cx="6862445" cy="381000"/>
                        </a:xfrm>
                        <a:prstGeom prst="rect">
                          <a:avLst/>
                        </a:prstGeom>
                        <a:solidFill>
                          <a:prstClr val="white"/>
                        </a:solidFill>
                        <a:ln>
                          <a:noFill/>
                        </a:ln>
                      </wps:spPr>
                      <wps:txbx>
                        <w:txbxContent>
                          <w:p w14:paraId="758CD041" w14:textId="31722CC4" w:rsidR="00A56EB4" w:rsidRPr="00F2233B" w:rsidRDefault="00A56EB4" w:rsidP="00F2233B">
                            <w:pPr>
                              <w:pStyle w:val="Caption"/>
                            </w:pPr>
                            <w:r w:rsidRPr="00B63B81">
                              <w:rPr>
                                <w:b/>
                                <w:bCs/>
                              </w:rPr>
                              <w:t xml:space="preserve">Figure </w:t>
                            </w:r>
                            <w:r>
                              <w:rPr>
                                <w:b/>
                                <w:bCs/>
                              </w:rPr>
                              <w:t>42</w:t>
                            </w:r>
                            <w:r>
                              <w:t>. A population pyramid representing the frequency (x-axis) of attendee gender (split), stratified by age (y-axis), at the North Youth Courts between January 2017 and December 2018, from a sample size of 115.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1D56" id="Text Box 498" o:spid="_x0000_s1100" type="#_x0000_t202" style="position:absolute;margin-left:-.35pt;margin-top:686.55pt;width:540.35pt;height:30pt;z-index:-253813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" stroked="f">
                <v:textbox inset="0,0,0,0">
                  <w:txbxContent>
                    <w:p w14:paraId="758CD041" w14:textId="31722CC4" w:rsidR="00A56EB4" w:rsidRPr="00F2233B" w:rsidRDefault="00A56EB4" w:rsidP="00F2233B">
                      <w:pPr>
                        <w:pStyle w:val="Caption"/>
                      </w:pPr>
                      <w:r w:rsidRPr="00B63B81">
                        <w:rPr>
                          <w:b/>
                          <w:bCs/>
                        </w:rPr>
                        <w:t xml:space="preserve">Figure </w:t>
                      </w:r>
                      <w:r>
                        <w:rPr>
                          <w:b/>
                          <w:bCs/>
                        </w:rPr>
                        <w:t>42</w:t>
                      </w:r>
                      <w:r>
                        <w:t>. A population pyramid representing the frequency (x-axis) of attendee gender (split), stratified by age (y-axis), at the North Youth Courts between January 2017 and December 2018, from a sample size of 115.</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3803008" behindDoc="1" locked="0" layoutInCell="1" allowOverlap="1" wp14:anchorId="5DFA2418" wp14:editId="16F17A3E">
            <wp:simplePos x="0" y="0"/>
            <wp:positionH relativeFrom="margin">
              <wp:posOffset>-3810</wp:posOffset>
            </wp:positionH>
            <wp:positionV relativeFrom="page">
              <wp:posOffset>4639038</wp:posOffset>
            </wp:positionV>
            <wp:extent cx="6858000" cy="4032885"/>
            <wp:effectExtent l="0" t="0" r="0" b="5715"/>
            <wp:wrapTight wrapText="bothSides">
              <wp:wrapPolygon edited="0">
                <wp:start x="0" y="0"/>
                <wp:lineTo x="0" y="21529"/>
                <wp:lineTo x="21540" y="21529"/>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0" cy="403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42D07" w14:textId="29820169" w:rsidR="003D77F8" w:rsidRDefault="003D77F8" w:rsidP="00935D12">
      <w:pPr>
        <w:autoSpaceDE w:val="0"/>
        <w:autoSpaceDN w:val="0"/>
        <w:adjustRightInd w:val="0"/>
        <w:spacing w:after="0" w:line="240" w:lineRule="auto"/>
      </w:pPr>
    </w:p>
    <w:p w14:paraId="484AC3A0" w14:textId="744F901F" w:rsidR="003D77F8" w:rsidRDefault="003D77F8" w:rsidP="00935D12">
      <w:pPr>
        <w:autoSpaceDE w:val="0"/>
        <w:autoSpaceDN w:val="0"/>
        <w:adjustRightInd w:val="0"/>
        <w:spacing w:after="0" w:line="240" w:lineRule="auto"/>
      </w:pPr>
    </w:p>
    <w:p w14:paraId="63269987" w14:textId="77777777" w:rsidR="003D77F8" w:rsidRDefault="003D77F8" w:rsidP="00935D12">
      <w:pPr>
        <w:autoSpaceDE w:val="0"/>
        <w:autoSpaceDN w:val="0"/>
        <w:adjustRightInd w:val="0"/>
        <w:spacing w:after="0" w:line="240" w:lineRule="auto"/>
      </w:pPr>
    </w:p>
    <w:p w14:paraId="4E340EF3" w14:textId="2DF25202" w:rsidR="00935D12" w:rsidRDefault="00507A67" w:rsidP="00935D12">
      <w:pPr>
        <w:autoSpaceDE w:val="0"/>
        <w:autoSpaceDN w:val="0"/>
        <w:adjustRightInd w:val="0"/>
        <w:spacing w:after="0" w:line="240" w:lineRule="auto"/>
        <w:rPr>
          <w:rFonts w:ascii="Times New Roman" w:hAnsi="Times New Roman" w:cs="Times New Roman"/>
          <w:sz w:val="24"/>
          <w:szCs w:val="24"/>
        </w:rPr>
      </w:pPr>
      <w:r w:rsidRPr="00926579">
        <w:rPr>
          <w:noProof/>
          <w:lang w:val="en-US"/>
        </w:rPr>
        <mc:AlternateContent>
          <mc:Choice Requires="wps">
            <w:drawing>
              <wp:anchor distT="0" distB="0" distL="114300" distR="114300" simplePos="0" relativeHeight="249859584" behindDoc="1" locked="0" layoutInCell="1" allowOverlap="1" wp14:anchorId="4FC49EC5" wp14:editId="48EB52C5">
                <wp:simplePos x="0" y="0"/>
                <wp:positionH relativeFrom="margin">
                  <wp:posOffset>3543935</wp:posOffset>
                </wp:positionH>
                <wp:positionV relativeFrom="page">
                  <wp:posOffset>2457450</wp:posOffset>
                </wp:positionV>
                <wp:extent cx="3312795" cy="783590"/>
                <wp:effectExtent l="0" t="0" r="1905" b="0"/>
                <wp:wrapTight wrapText="bothSides">
                  <wp:wrapPolygon edited="0">
                    <wp:start x="0" y="0"/>
                    <wp:lineTo x="0" y="21005"/>
                    <wp:lineTo x="21488" y="21005"/>
                    <wp:lineTo x="21488" y="0"/>
                    <wp:lineTo x="0" y="0"/>
                  </wp:wrapPolygon>
                </wp:wrapTight>
                <wp:docPr id="511" name="Text Box 511"/>
                <wp:cNvGraphicFramePr/>
                <a:graphic xmlns:a="http://schemas.openxmlformats.org/drawingml/2006/main">
                  <a:graphicData uri="http://schemas.microsoft.com/office/word/2010/wordprocessingShape">
                    <wps:wsp>
                      <wps:cNvSpPr txBox="1"/>
                      <wps:spPr>
                        <a:xfrm>
                          <a:off x="0" y="0"/>
                          <a:ext cx="3312795" cy="783590"/>
                        </a:xfrm>
                        <a:prstGeom prst="rect">
                          <a:avLst/>
                        </a:prstGeom>
                        <a:solidFill>
                          <a:prstClr val="white"/>
                        </a:solidFill>
                        <a:ln>
                          <a:noFill/>
                        </a:ln>
                      </wps:spPr>
                      <wps:txbx>
                        <w:txbxContent>
                          <w:p w14:paraId="25183092" w14:textId="6E572131"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43</w:t>
                            </w:r>
                            <w:r w:rsidRPr="00B63B81">
                              <w:rPr>
                                <w:b/>
                                <w:bCs/>
                              </w:rPr>
                              <w:t>.</w:t>
                            </w:r>
                            <w:r>
                              <w:t xml:space="preserve"> A pie chart of minority status as observed in the North Youth Courts between January 2017 and December 2018, from a sample size of 186. Slice size represents the relative proportion of respondents identifying as part of a minority group. </w:t>
                            </w:r>
                          </w:p>
                          <w:p w14:paraId="2C0C0F15" w14:textId="77777777" w:rsidR="00A56EB4" w:rsidRPr="00572B34" w:rsidRDefault="00A56EB4" w:rsidP="00926579">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49EC5" id="Text Box 511" o:spid="_x0000_s1101" type="#_x0000_t202" style="position:absolute;margin-left:279.05pt;margin-top:193.5pt;width:260.85pt;height:61.7pt;z-index:-253456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" stroked="f">
                <v:textbox inset="0,0,0,0">
                  <w:txbxContent>
                    <w:p w14:paraId="25183092" w14:textId="6E572131"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43</w:t>
                      </w:r>
                      <w:r w:rsidRPr="00B63B81">
                        <w:rPr>
                          <w:b/>
                          <w:bCs/>
                        </w:rPr>
                        <w:t>.</w:t>
                      </w:r>
                      <w:r>
                        <w:t xml:space="preserve"> A pie chart of minority status as observed in the North Youth Courts between January 2017 and December 2018, from a sample size of 186. Slice size represents the relative proportion of respondents identifying as part of a minority group. </w:t>
                      </w:r>
                    </w:p>
                    <w:p w14:paraId="2C0C0F15" w14:textId="77777777" w:rsidR="00A56EB4" w:rsidRPr="00572B34" w:rsidRDefault="00A56EB4" w:rsidP="00926579">
                      <w:pPr>
                        <w:pStyle w:val="Caption"/>
                        <w:rPr>
                          <w:rFonts w:ascii="Times New Roman" w:hAnsi="Times New Roman" w:cs="Times New Roman"/>
                          <w:noProof/>
                          <w:sz w:val="24"/>
                          <w:szCs w:val="24"/>
                        </w:rPr>
                      </w:pPr>
                    </w:p>
                  </w:txbxContent>
                </v:textbox>
                <w10:wrap type="tight" anchorx="margin" anchory="page"/>
              </v:shape>
            </w:pict>
          </mc:Fallback>
        </mc:AlternateContent>
      </w:r>
      <w:r w:rsidR="00935D12">
        <w:t xml:space="preserve">It was observed that in defendants receiving services from the Elizabeth Fry Society of Calgary in </w:t>
      </w:r>
      <w:r>
        <w:t xml:space="preserve">the </w:t>
      </w:r>
      <w:r w:rsidR="008D12A5">
        <w:t>North Youth Court</w:t>
      </w:r>
      <w:r>
        <w:t>s</w:t>
      </w:r>
      <w:r w:rsidR="00935D12">
        <w:t xml:space="preserve">, distribution was heavily concentrated in older age categories, and in males. This is reflected in the population pyramid (Figure </w:t>
      </w:r>
      <w:r w:rsidR="00DF0F3D">
        <w:t>42</w:t>
      </w:r>
      <w:r w:rsidR="00935D12">
        <w:t xml:space="preserve">), which is demonstrably top-heavy, suggesting a trend towards older age groups, and left-leaning, suggesting substantial representation of male defendants. More than two thirds (68.60%) of defendants identified as male (Figure </w:t>
      </w:r>
      <w:r w:rsidR="00DF0F3D">
        <w:t>40</w:t>
      </w:r>
      <w:r w:rsidR="00935D12">
        <w:t xml:space="preserve">). Boys aged 17 represent the most common demographic supported by the organization by a large margin, making up 55.47% of all defendants, with a prevalence </w:t>
      </w:r>
      <w:r w:rsidR="00384926">
        <w:t>5.30</w:t>
      </w:r>
      <w:r w:rsidR="00935D12">
        <w:t>X that of their age-matched female peers</w:t>
      </w:r>
      <w:r w:rsidR="00384926">
        <w:t xml:space="preserve"> </w:t>
      </w:r>
      <w:r w:rsidR="00935D12">
        <w:t xml:space="preserve">(Figure </w:t>
      </w:r>
      <w:r w:rsidR="00DF0F3D">
        <w:t>42</w:t>
      </w:r>
      <w:r w:rsidR="00935D12">
        <w:t xml:space="preserve">). Progressively reduced proportions are observed with decreasing </w:t>
      </w:r>
      <w:r w:rsidR="00384926">
        <w:t xml:space="preserve">defendant </w:t>
      </w:r>
      <w:r w:rsidR="00935D12">
        <w:t>age</w:t>
      </w:r>
      <w:r w:rsidR="00384926">
        <w:t xml:space="preserve"> </w:t>
      </w:r>
      <w:r w:rsidR="00935D12">
        <w:t xml:space="preserve">(Figure </w:t>
      </w:r>
      <w:r w:rsidR="00DF0F3D">
        <w:t>41</w:t>
      </w:r>
      <w:r w:rsidR="00935D12">
        <w:t>).</w:t>
      </w:r>
    </w:p>
    <w:p w14:paraId="7F337E9A" w14:textId="392A7C60" w:rsidR="00F2233B" w:rsidRPr="00F2233B" w:rsidRDefault="00507A67" w:rsidP="00F2233B">
      <w:pPr>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48295936" behindDoc="1" locked="0" layoutInCell="1" allowOverlap="1" wp14:anchorId="571380F3" wp14:editId="06D33CE4">
            <wp:simplePos x="0" y="0"/>
            <wp:positionH relativeFrom="margin">
              <wp:posOffset>8890</wp:posOffset>
            </wp:positionH>
            <wp:positionV relativeFrom="margin">
              <wp:posOffset>1698881</wp:posOffset>
            </wp:positionV>
            <wp:extent cx="3492500" cy="2327910"/>
            <wp:effectExtent l="0" t="0" r="0" b="0"/>
            <wp:wrapTight wrapText="bothSides">
              <wp:wrapPolygon edited="0">
                <wp:start x="0" y="0"/>
                <wp:lineTo x="0" y="21388"/>
                <wp:lineTo x="21443" y="21388"/>
                <wp:lineTo x="2144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l="27311" t="26158" r="26763" b="21799"/>
                    <a:stretch/>
                  </pic:blipFill>
                  <pic:spPr bwMode="auto">
                    <a:xfrm>
                      <a:off x="0" y="0"/>
                      <a:ext cx="3492500" cy="232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0E450" w14:textId="1EC35FFB" w:rsidR="00944225" w:rsidRDefault="00944225" w:rsidP="00944225">
      <w:pPr>
        <w:autoSpaceDE w:val="0"/>
        <w:autoSpaceDN w:val="0"/>
        <w:adjustRightInd w:val="0"/>
        <w:spacing w:after="0" w:line="240" w:lineRule="auto"/>
        <w:rPr>
          <w:rFonts w:ascii="Times New Roman" w:hAnsi="Times New Roman" w:cs="Times New Roman"/>
          <w:sz w:val="24"/>
          <w:szCs w:val="24"/>
        </w:rPr>
      </w:pPr>
    </w:p>
    <w:p w14:paraId="6FD38E47" w14:textId="59FDD528" w:rsidR="00944225" w:rsidRDefault="00944225" w:rsidP="00944225">
      <w:pPr>
        <w:autoSpaceDE w:val="0"/>
        <w:autoSpaceDN w:val="0"/>
        <w:adjustRightInd w:val="0"/>
        <w:spacing w:after="0" w:line="400" w:lineRule="atLeast"/>
        <w:rPr>
          <w:rFonts w:ascii="Times New Roman" w:hAnsi="Times New Roman" w:cs="Times New Roman"/>
          <w:sz w:val="24"/>
          <w:szCs w:val="24"/>
        </w:rPr>
      </w:pPr>
    </w:p>
    <w:p w14:paraId="64D56C5A" w14:textId="0F5CFB0B" w:rsidR="007C73B1" w:rsidRDefault="007C73B1" w:rsidP="00944225">
      <w:pPr>
        <w:autoSpaceDE w:val="0"/>
        <w:autoSpaceDN w:val="0"/>
        <w:adjustRightInd w:val="0"/>
        <w:spacing w:after="0" w:line="400" w:lineRule="atLeast"/>
        <w:rPr>
          <w:rFonts w:ascii="Times New Roman" w:hAnsi="Times New Roman" w:cs="Times New Roman"/>
          <w:sz w:val="24"/>
          <w:szCs w:val="24"/>
        </w:rPr>
      </w:pPr>
    </w:p>
    <w:p w14:paraId="2CF5413F" w14:textId="4B6351C0" w:rsidR="007C73B1" w:rsidRDefault="00507A67" w:rsidP="00944225">
      <w:pPr>
        <w:autoSpaceDE w:val="0"/>
        <w:autoSpaceDN w:val="0"/>
        <w:adjustRightInd w:val="0"/>
        <w:spacing w:after="0" w:line="400" w:lineRule="atLeast"/>
        <w:rPr>
          <w:rFonts w:ascii="Times New Roman" w:hAnsi="Times New Roman" w:cs="Times New Roman"/>
          <w:sz w:val="24"/>
          <w:szCs w:val="24"/>
        </w:rPr>
      </w:pPr>
      <w:r>
        <w:rPr>
          <w:noProof/>
          <w:lang w:val="en-US"/>
        </w:rPr>
        <mc:AlternateContent>
          <mc:Choice Requires="wps">
            <w:drawing>
              <wp:anchor distT="0" distB="0" distL="114300" distR="114300" simplePos="0" relativeHeight="250183168" behindDoc="1" locked="0" layoutInCell="1" allowOverlap="1" wp14:anchorId="654F1F5E" wp14:editId="70D3AAD3">
                <wp:simplePos x="0" y="0"/>
                <wp:positionH relativeFrom="margin">
                  <wp:posOffset>3556635</wp:posOffset>
                </wp:positionH>
                <wp:positionV relativeFrom="page">
                  <wp:posOffset>4037330</wp:posOffset>
                </wp:positionV>
                <wp:extent cx="2992120" cy="854710"/>
                <wp:effectExtent l="0" t="0" r="0" b="2540"/>
                <wp:wrapTight wrapText="bothSides">
                  <wp:wrapPolygon edited="0">
                    <wp:start x="0" y="0"/>
                    <wp:lineTo x="0" y="21183"/>
                    <wp:lineTo x="21453" y="21183"/>
                    <wp:lineTo x="21453" y="0"/>
                    <wp:lineTo x="0" y="0"/>
                  </wp:wrapPolygon>
                </wp:wrapTight>
                <wp:docPr id="519" name="Text Box 519"/>
                <wp:cNvGraphicFramePr/>
                <a:graphic xmlns:a="http://schemas.openxmlformats.org/drawingml/2006/main">
                  <a:graphicData uri="http://schemas.microsoft.com/office/word/2010/wordprocessingShape">
                    <wps:wsp>
                      <wps:cNvSpPr txBox="1"/>
                      <wps:spPr>
                        <a:xfrm>
                          <a:off x="0" y="0"/>
                          <a:ext cx="2992120" cy="854710"/>
                        </a:xfrm>
                        <a:prstGeom prst="rect">
                          <a:avLst/>
                        </a:prstGeom>
                        <a:solidFill>
                          <a:prstClr val="white"/>
                        </a:solidFill>
                        <a:ln>
                          <a:noFill/>
                        </a:ln>
                      </wps:spPr>
                      <wps:txbx>
                        <w:txbxContent>
                          <w:p w14:paraId="3D727685" w14:textId="787E2C7F" w:rsidR="00A56EB4" w:rsidRPr="00E25FCA" w:rsidRDefault="00A56EB4" w:rsidP="009D0478">
                            <w:pPr>
                              <w:pStyle w:val="Caption"/>
                            </w:pPr>
                            <w:r w:rsidRPr="00B63B81">
                              <w:rPr>
                                <w:b/>
                                <w:bCs/>
                              </w:rPr>
                              <w:t xml:space="preserve">Figure </w:t>
                            </w:r>
                            <w:r>
                              <w:rPr>
                                <w:b/>
                                <w:bCs/>
                              </w:rPr>
                              <w:t>44</w:t>
                            </w:r>
                            <w:r w:rsidRPr="00B63B81">
                              <w:rPr>
                                <w:b/>
                                <w:bCs/>
                              </w:rPr>
                              <w:t>.</w:t>
                            </w:r>
                            <w:r>
                              <w:t xml:space="preserve"> A population pyramid representing frequency (x-axis) of attendee gender (split), stratified by age (y-axis), and grouped by minority status at the North Youth Courts between January 2017 and December 2018, from a sample size of 113 (neither: 77, Indigenous: 36, newcomers: 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1F5E" id="Text Box 519" o:spid="_x0000_s1102" type="#_x0000_t202" style="position:absolute;margin-left:280.05pt;margin-top:317.9pt;width:235.6pt;height:67.3pt;z-index:-25313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" stroked="f">
                <v:textbox inset="0,0,0,0">
                  <w:txbxContent>
                    <w:p w14:paraId="3D727685" w14:textId="787E2C7F" w:rsidR="00A56EB4" w:rsidRPr="00E25FCA" w:rsidRDefault="00A56EB4" w:rsidP="009D0478">
                      <w:pPr>
                        <w:pStyle w:val="Caption"/>
                      </w:pPr>
                      <w:r w:rsidRPr="00B63B81">
                        <w:rPr>
                          <w:b/>
                          <w:bCs/>
                        </w:rPr>
                        <w:t xml:space="preserve">Figure </w:t>
                      </w:r>
                      <w:r>
                        <w:rPr>
                          <w:b/>
                          <w:bCs/>
                        </w:rPr>
                        <w:t>44</w:t>
                      </w:r>
                      <w:r w:rsidRPr="00B63B81">
                        <w:rPr>
                          <w:b/>
                          <w:bCs/>
                        </w:rPr>
                        <w:t>.</w:t>
                      </w:r>
                      <w:r>
                        <w:t xml:space="preserve"> A population pyramid representing frequency (x-axis) of attendee gender (split), stratified by age (y-axis), and grouped by minority status at the North Youth Courts between January 2017 and December 2018, from a sample size of 113 (neither: 77, Indigenous: 36, newcomers: 0). </w:t>
                      </w:r>
                    </w:p>
                  </w:txbxContent>
                </v:textbox>
                <w10:wrap type="tight" anchorx="margin" anchory="page"/>
              </v:shape>
            </w:pict>
          </mc:Fallback>
        </mc:AlternateContent>
      </w:r>
    </w:p>
    <w:p w14:paraId="18F973BA" w14:textId="27A21728" w:rsidR="007C73B1" w:rsidRDefault="007C73B1" w:rsidP="00944225">
      <w:pPr>
        <w:autoSpaceDE w:val="0"/>
        <w:autoSpaceDN w:val="0"/>
        <w:adjustRightInd w:val="0"/>
        <w:spacing w:after="0" w:line="400" w:lineRule="atLeast"/>
        <w:rPr>
          <w:rFonts w:ascii="Times New Roman" w:hAnsi="Times New Roman" w:cs="Times New Roman"/>
          <w:sz w:val="24"/>
          <w:szCs w:val="24"/>
        </w:rPr>
      </w:pPr>
    </w:p>
    <w:p w14:paraId="11CAAB40" w14:textId="3BC5D6C6" w:rsidR="007C73B1" w:rsidRDefault="00507A67" w:rsidP="00944225">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3849088" behindDoc="1" locked="0" layoutInCell="1" allowOverlap="1" wp14:anchorId="76D65385" wp14:editId="034D631B">
            <wp:simplePos x="0" y="0"/>
            <wp:positionH relativeFrom="margin">
              <wp:posOffset>24765</wp:posOffset>
            </wp:positionH>
            <wp:positionV relativeFrom="page">
              <wp:posOffset>4952481</wp:posOffset>
            </wp:positionV>
            <wp:extent cx="6858000" cy="4032885"/>
            <wp:effectExtent l="0" t="0" r="0" b="5715"/>
            <wp:wrapTight wrapText="bothSides">
              <wp:wrapPolygon edited="0">
                <wp:start x="0" y="0"/>
                <wp:lineTo x="0" y="21529"/>
                <wp:lineTo x="21540" y="21529"/>
                <wp:lineTo x="2154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000" cy="403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0F556" w14:textId="4600EB38" w:rsidR="007C73B1" w:rsidRDefault="007C73B1" w:rsidP="00944225">
      <w:pPr>
        <w:autoSpaceDE w:val="0"/>
        <w:autoSpaceDN w:val="0"/>
        <w:adjustRightInd w:val="0"/>
        <w:spacing w:after="0" w:line="400" w:lineRule="atLeast"/>
        <w:rPr>
          <w:rFonts w:ascii="Times New Roman" w:hAnsi="Times New Roman" w:cs="Times New Roman"/>
          <w:sz w:val="24"/>
          <w:szCs w:val="24"/>
        </w:rPr>
      </w:pPr>
    </w:p>
    <w:p w14:paraId="1FA4CDA8" w14:textId="24E39267" w:rsidR="007C73B1" w:rsidRDefault="007C73B1" w:rsidP="00944225">
      <w:pPr>
        <w:autoSpaceDE w:val="0"/>
        <w:autoSpaceDN w:val="0"/>
        <w:adjustRightInd w:val="0"/>
        <w:spacing w:after="0" w:line="400" w:lineRule="atLeast"/>
        <w:rPr>
          <w:rFonts w:ascii="Times New Roman" w:hAnsi="Times New Roman" w:cs="Times New Roman"/>
          <w:sz w:val="24"/>
          <w:szCs w:val="24"/>
        </w:rPr>
      </w:pPr>
    </w:p>
    <w:p w14:paraId="6D10FFF2" w14:textId="7FB4F1B2" w:rsidR="00A44A84" w:rsidRPr="00507A67" w:rsidRDefault="00507A67" w:rsidP="00507A67">
      <w:pPr>
        <w:autoSpaceDE w:val="0"/>
        <w:autoSpaceDN w:val="0"/>
        <w:adjustRightInd w:val="0"/>
        <w:spacing w:after="0" w:line="240" w:lineRule="auto"/>
        <w:rPr>
          <w:rFonts w:ascii="Times New Roman" w:hAnsi="Times New Roman" w:cs="Times New Roman"/>
          <w:sz w:val="24"/>
          <w:szCs w:val="24"/>
        </w:rPr>
      </w:pPr>
      <w:r>
        <w:t>The North Youth Courts yielded a smaller sample size</w:t>
      </w:r>
      <w:r w:rsidR="0098141B">
        <w:t xml:space="preserve">; for this reason, there are no newcomer cases to analyze. Similarly, data generated on Indigenous defendants reports on a sample of only 36 individuals. For this reason, the relationships described below may be better elucidated with further data collection. </w:t>
      </w:r>
      <w:r w:rsidR="00A44A84">
        <w:t xml:space="preserve">It was observed that </w:t>
      </w:r>
      <w:r w:rsidR="008E4975">
        <w:t>more than two thirds</w:t>
      </w:r>
      <w:r w:rsidR="00A44A84">
        <w:t xml:space="preserve"> (</w:t>
      </w:r>
      <w:r w:rsidR="008E4975">
        <w:t>68.28</w:t>
      </w:r>
      <w:r w:rsidR="00A44A84">
        <w:t xml:space="preserve">%) of defendants receiving services from the Elizabeth Fry Society of Calgary in </w:t>
      </w:r>
      <w:r w:rsidR="008D12A5">
        <w:t>North Youth Court</w:t>
      </w:r>
      <w:r w:rsidR="00A44A84">
        <w:t xml:space="preserve"> had no minority status (Figure </w:t>
      </w:r>
      <w:r w:rsidR="000C6185">
        <w:t>43)</w:t>
      </w:r>
      <w:r w:rsidR="00A44A84">
        <w:t>. When stratified by minority status, distribution was heavily concentrated in older age categories</w:t>
      </w:r>
      <w:r w:rsidR="00874847">
        <w:t xml:space="preserve"> </w:t>
      </w:r>
      <w:r w:rsidR="0098141B">
        <w:t>in both individuals without minority status, and those identifying as Indigenous</w:t>
      </w:r>
      <w:r w:rsidR="00A44A84">
        <w:t xml:space="preserve">. This is reflected in the population pyramids (Figure </w:t>
      </w:r>
      <w:r w:rsidR="000C6185">
        <w:t>44</w:t>
      </w:r>
      <w:r w:rsidR="00A44A84">
        <w:t>), which are demonstrably top-heavy, suggesting a trend towards older age groups</w:t>
      </w:r>
      <w:r w:rsidR="00874847">
        <w:t>.</w:t>
      </w:r>
      <w:r w:rsidR="00A44A84">
        <w:t xml:space="preserve"> </w:t>
      </w:r>
    </w:p>
    <w:p w14:paraId="7007D8A0" w14:textId="1F07689C" w:rsidR="0098141B" w:rsidRDefault="0098141B" w:rsidP="00A44A84">
      <w:pPr>
        <w:keepNext/>
        <w:autoSpaceDE w:val="0"/>
        <w:autoSpaceDN w:val="0"/>
        <w:adjustRightInd w:val="0"/>
        <w:spacing w:after="0" w:line="240" w:lineRule="auto"/>
      </w:pPr>
    </w:p>
    <w:p w14:paraId="7E3B5F87" w14:textId="6182ED64" w:rsidR="00874847" w:rsidRDefault="00874847" w:rsidP="00A44A84">
      <w:pPr>
        <w:keepNext/>
        <w:autoSpaceDE w:val="0"/>
        <w:autoSpaceDN w:val="0"/>
        <w:adjustRightInd w:val="0"/>
        <w:spacing w:after="0" w:line="240" w:lineRule="auto"/>
      </w:pPr>
      <w:r>
        <w:t xml:space="preserve">The population pyramid for individuals of no minority status is notably left- leaning, suggesting an overrepresentation of male defendants (Figure </w:t>
      </w:r>
      <w:r w:rsidR="000C6185">
        <w:t>44</w:t>
      </w:r>
      <w:r>
        <w:t xml:space="preserve">). </w:t>
      </w:r>
      <w:r w:rsidR="00A44A84">
        <w:t xml:space="preserve">Male defendants aged 17 made up </w:t>
      </w:r>
      <w:r w:rsidR="0098141B">
        <w:t xml:space="preserve">54.55% </w:t>
      </w:r>
      <w:r w:rsidR="00A44A84">
        <w:t xml:space="preserve">of defendants with no minority status, with a prevalence </w:t>
      </w:r>
      <w:r w:rsidR="0098141B">
        <w:t>10.50</w:t>
      </w:r>
      <w:r w:rsidR="00A44A84">
        <w:t xml:space="preserve">X that of their age-matched female peers (Figure </w:t>
      </w:r>
      <w:r w:rsidR="000C6185">
        <w:t>44</w:t>
      </w:r>
      <w:r w:rsidR="00A44A84">
        <w:t xml:space="preserve">). </w:t>
      </w:r>
      <w:r>
        <w:t xml:space="preserve">In contrast, the population pyramid for Indigenous individuals did not demonstrate a clear pattern; while right-leaning overall, suggesting significant representation of female defendants, the single gender and age group accounting for the majority of defendants was 17 year-old males (Figure </w:t>
      </w:r>
      <w:r w:rsidR="000C6185">
        <w:t>44</w:t>
      </w:r>
      <w:r>
        <w:t xml:space="preserve">). Consequently, while </w:t>
      </w:r>
      <w:r w:rsidR="00F94525">
        <w:t xml:space="preserve">half of defendants were female, </w:t>
      </w:r>
      <w:r>
        <w:t>females age</w:t>
      </w:r>
      <w:r w:rsidR="00F94525">
        <w:t>d</w:t>
      </w:r>
      <w:r>
        <w:t xml:space="preserve"> 15-17 cumulatively made up </w:t>
      </w:r>
      <w:r w:rsidR="00F94525">
        <w:t>44.44</w:t>
      </w:r>
      <w:r>
        <w:t xml:space="preserve">% of the sample, with a prevalence </w:t>
      </w:r>
      <w:r>
        <w:softHyphen/>
      </w:r>
      <w:r>
        <w:softHyphen/>
      </w:r>
      <w:r>
        <w:softHyphen/>
      </w:r>
      <w:r w:rsidR="00F94525">
        <w:t>1.00</w:t>
      </w:r>
      <w:r>
        <w:t xml:space="preserve">X that of their male peers, males aged 17 </w:t>
      </w:r>
      <w:r w:rsidR="00F94525">
        <w:t xml:space="preserve">alone </w:t>
      </w:r>
      <w:r>
        <w:t xml:space="preserve">made up </w:t>
      </w:r>
      <w:r w:rsidR="00F94525">
        <w:t>30.56</w:t>
      </w:r>
      <w:r>
        <w:t xml:space="preserve">% of the sample, with a prevalence </w:t>
      </w:r>
      <w:r w:rsidR="00F94525">
        <w:t>1.83</w:t>
      </w:r>
      <w:r>
        <w:t xml:space="preserve">X that of their age-matched female peers. Additional data collection may prove useful in further exploring the nature of the relationship between gender, age, and minority status as it pertains to Indigenous youth.  </w:t>
      </w:r>
    </w:p>
    <w:p w14:paraId="29ACACF5" w14:textId="31B7E4EE" w:rsidR="00ED62AA" w:rsidRDefault="004F5A65" w:rsidP="00ED62AA">
      <w:pPr>
        <w:autoSpaceDE w:val="0"/>
        <w:autoSpaceDN w:val="0"/>
        <w:adjustRightInd w:val="0"/>
        <w:spacing w:after="0" w:line="24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1845120" behindDoc="1" locked="0" layoutInCell="1" allowOverlap="1" wp14:anchorId="758F9C7C" wp14:editId="4ADFBF6D">
                <wp:simplePos x="0" y="0"/>
                <wp:positionH relativeFrom="margin">
                  <wp:posOffset>10795</wp:posOffset>
                </wp:positionH>
                <wp:positionV relativeFrom="page">
                  <wp:posOffset>7292967</wp:posOffset>
                </wp:positionV>
                <wp:extent cx="6858000" cy="586740"/>
                <wp:effectExtent l="0" t="0" r="0" b="3810"/>
                <wp:wrapTight wrapText="bothSides">
                  <wp:wrapPolygon edited="0">
                    <wp:start x="0" y="0"/>
                    <wp:lineTo x="0" y="21039"/>
                    <wp:lineTo x="21540" y="21039"/>
                    <wp:lineTo x="21540"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6858000" cy="586740"/>
                        </a:xfrm>
                        <a:prstGeom prst="rect">
                          <a:avLst/>
                        </a:prstGeom>
                        <a:solidFill>
                          <a:prstClr val="white"/>
                        </a:solidFill>
                        <a:ln>
                          <a:noFill/>
                        </a:ln>
                      </wps:spPr>
                      <wps:txbx>
                        <w:txbxContent>
                          <w:p w14:paraId="0459DE41" w14:textId="78C1E46B" w:rsidR="00A56EB4" w:rsidRPr="00701EC7" w:rsidRDefault="00A56EB4" w:rsidP="0033308C">
                            <w:pPr>
                              <w:pStyle w:val="Caption"/>
                              <w:rPr>
                                <w:rFonts w:ascii="Times New Roman" w:hAnsi="Times New Roman" w:cs="Times New Roman"/>
                                <w:noProof/>
                                <w:sz w:val="24"/>
                                <w:szCs w:val="24"/>
                              </w:rPr>
                            </w:pPr>
                            <w:r w:rsidRPr="00B63B81">
                              <w:rPr>
                                <w:b/>
                                <w:bCs/>
                              </w:rPr>
                              <w:t xml:space="preserve">Figure </w:t>
                            </w:r>
                            <w:r>
                              <w:rPr>
                                <w:b/>
                                <w:bCs/>
                              </w:rPr>
                              <w:t>45</w:t>
                            </w:r>
                            <w:r w:rsidRPr="00B63B81">
                              <w:rPr>
                                <w:b/>
                                <w:bCs/>
                              </w:rPr>
                              <w:t>.</w:t>
                            </w:r>
                            <w:r>
                              <w:t xml:space="preserve"> Pie charts representing the presence of support in court, by minority status, as observed in the North Youth Courts between January 2017 and December 2018, from a sample size of 169 (120 attendees without minority status, 47 Indigenous, and 4 attendees who are newcomers). Slice size represents the relative proportion of respondents reporting the presence or absence of supports on the day of data acquisition. </w:t>
                            </w:r>
                          </w:p>
                          <w:p w14:paraId="06B00D47" w14:textId="77777777" w:rsidR="00A56EB4" w:rsidRPr="00E25FCA" w:rsidRDefault="00A56EB4" w:rsidP="0033308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9C7C" id="Text Box 57" o:spid="_x0000_s1103" type="#_x0000_t202" style="position:absolute;margin-left:.85pt;margin-top:574.25pt;width:540pt;height:46.2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" stroked="f">
                <v:textbox inset="0,0,0,0">
                  <w:txbxContent>
                    <w:p w14:paraId="0459DE41" w14:textId="78C1E46B" w:rsidR="00A56EB4" w:rsidRPr="00701EC7" w:rsidRDefault="00A56EB4" w:rsidP="0033308C">
                      <w:pPr>
                        <w:pStyle w:val="Caption"/>
                        <w:rPr>
                          <w:rFonts w:ascii="Times New Roman" w:hAnsi="Times New Roman" w:cs="Times New Roman"/>
                          <w:noProof/>
                          <w:sz w:val="24"/>
                          <w:szCs w:val="24"/>
                        </w:rPr>
                      </w:pPr>
                      <w:r w:rsidRPr="00B63B81">
                        <w:rPr>
                          <w:b/>
                          <w:bCs/>
                        </w:rPr>
                        <w:t xml:space="preserve">Figure </w:t>
                      </w:r>
                      <w:r>
                        <w:rPr>
                          <w:b/>
                          <w:bCs/>
                        </w:rPr>
                        <w:t>45</w:t>
                      </w:r>
                      <w:r w:rsidRPr="00B63B81">
                        <w:rPr>
                          <w:b/>
                          <w:bCs/>
                        </w:rPr>
                        <w:t>.</w:t>
                      </w:r>
                      <w:r>
                        <w:t xml:space="preserve"> Pie charts representing the presence of support in court, by minority status, as observed in the North Youth Courts between January 2017 and December 2018, from a sample size of 169 (120 attendees without minority status, 47 Indigenous, and 4 attendees who are newcomers). Slice size represents the relative proportion of respondents reporting the presence or absence of supports on the day of data acquisition. </w:t>
                      </w:r>
                    </w:p>
                    <w:p w14:paraId="06B00D47" w14:textId="77777777" w:rsidR="00A56EB4" w:rsidRPr="00E25FCA" w:rsidRDefault="00A56EB4" w:rsidP="0033308C">
                      <w:pPr>
                        <w:pStyle w:val="Caption"/>
                      </w:pPr>
                    </w:p>
                  </w:txbxContent>
                </v:textbox>
                <w10:wrap type="tight" anchorx="margin" anchory="page"/>
              </v:shape>
            </w:pict>
          </mc:Fallback>
        </mc:AlternateContent>
      </w:r>
      <w:r>
        <w:rPr>
          <w:noProof/>
          <w:lang w:val="en-US"/>
        </w:rPr>
        <w:drawing>
          <wp:anchor distT="0" distB="0" distL="114300" distR="114300" simplePos="0" relativeHeight="253903360" behindDoc="1" locked="0" layoutInCell="1" allowOverlap="1" wp14:anchorId="06DB243F" wp14:editId="04BF906B">
            <wp:simplePos x="0" y="0"/>
            <wp:positionH relativeFrom="margin">
              <wp:posOffset>15834</wp:posOffset>
            </wp:positionH>
            <wp:positionV relativeFrom="page">
              <wp:posOffset>4301029</wp:posOffset>
            </wp:positionV>
            <wp:extent cx="6845300" cy="2895600"/>
            <wp:effectExtent l="0" t="0" r="0" b="0"/>
            <wp:wrapTight wrapText="bothSides">
              <wp:wrapPolygon edited="0">
                <wp:start x="0" y="0"/>
                <wp:lineTo x="0" y="21458"/>
                <wp:lineTo x="21520" y="21458"/>
                <wp:lineTo x="21520"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t="8053" b="8492"/>
                    <a:stretch/>
                  </pic:blipFill>
                  <pic:spPr bwMode="auto">
                    <a:xfrm>
                      <a:off x="0" y="0"/>
                      <a:ext cx="684530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3F9A9" w14:textId="193130C0" w:rsidR="00ED62AA" w:rsidRDefault="00ED62AA" w:rsidP="00ED62AA">
      <w:pPr>
        <w:autoSpaceDE w:val="0"/>
        <w:autoSpaceDN w:val="0"/>
        <w:adjustRightInd w:val="0"/>
        <w:spacing w:after="0" w:line="240" w:lineRule="auto"/>
        <w:rPr>
          <w:rFonts w:ascii="Times New Roman" w:hAnsi="Times New Roman" w:cs="Times New Roman"/>
          <w:sz w:val="24"/>
          <w:szCs w:val="24"/>
        </w:rPr>
      </w:pPr>
    </w:p>
    <w:p w14:paraId="0747D3A0" w14:textId="17B65CAB" w:rsidR="000061EE" w:rsidRDefault="000061EE" w:rsidP="000061EE">
      <w:r>
        <w:t xml:space="preserve">It was observed that </w:t>
      </w:r>
      <w:r w:rsidR="00086559">
        <w:t>many</w:t>
      </w:r>
      <w:r>
        <w:t xml:space="preserve"> attendees in </w:t>
      </w:r>
      <w:r w:rsidR="008D12A5">
        <w:t>North Youth Court</w:t>
      </w:r>
      <w:r>
        <w:t xml:space="preserve"> attended with support, across all minority status categories (Figure </w:t>
      </w:r>
      <w:r w:rsidR="00086559">
        <w:t>45</w:t>
      </w:r>
      <w:r>
        <w:t>).</w:t>
      </w:r>
      <w:r w:rsidR="007E5674">
        <w:t xml:space="preserve"> </w:t>
      </w:r>
      <w:r w:rsidR="00C235A0">
        <w:t>As only four individuals were part of the newcomer group, this group was omitted from data analysis.</w:t>
      </w:r>
      <w:r>
        <w:t xml:space="preserve"> Of the minority classifications, </w:t>
      </w:r>
      <w:r w:rsidR="007E5674">
        <w:t>Indigenous</w:t>
      </w:r>
      <w:r>
        <w:t xml:space="preserve"> youth most frequently reported support (</w:t>
      </w:r>
      <w:r w:rsidR="007E5674">
        <w:t>87.23</w:t>
      </w:r>
      <w:r>
        <w:t>%),</w:t>
      </w:r>
      <w:r w:rsidR="007E5674">
        <w:t xml:space="preserve"> while y</w:t>
      </w:r>
      <w:r>
        <w:t xml:space="preserve">outh without minority status least frequently (82.50%) reported support. </w:t>
      </w:r>
    </w:p>
    <w:p w14:paraId="134E8DBE" w14:textId="6DE9AB8B" w:rsidR="00D45D53" w:rsidRPr="00071BEC" w:rsidRDefault="00071BEC" w:rsidP="00071BEC">
      <w:r>
        <w:rPr>
          <w:noProof/>
          <w:lang w:val="en-US"/>
        </w:rPr>
        <w:lastRenderedPageBreak/>
        <mc:AlternateContent>
          <mc:Choice Requires="wps">
            <w:drawing>
              <wp:anchor distT="0" distB="0" distL="114300" distR="114300" simplePos="0" relativeHeight="251996672" behindDoc="1" locked="0" layoutInCell="1" allowOverlap="1" wp14:anchorId="054B588F" wp14:editId="44141EDB">
                <wp:simplePos x="0" y="0"/>
                <wp:positionH relativeFrom="margin">
                  <wp:posOffset>5715</wp:posOffset>
                </wp:positionH>
                <wp:positionV relativeFrom="page">
                  <wp:posOffset>3858895</wp:posOffset>
                </wp:positionV>
                <wp:extent cx="5723890" cy="609600"/>
                <wp:effectExtent l="0" t="0" r="0" b="0"/>
                <wp:wrapTight wrapText="bothSides">
                  <wp:wrapPolygon edited="0">
                    <wp:start x="0" y="0"/>
                    <wp:lineTo x="0" y="20925"/>
                    <wp:lineTo x="21495" y="20925"/>
                    <wp:lineTo x="21495" y="0"/>
                    <wp:lineTo x="0" y="0"/>
                  </wp:wrapPolygon>
                </wp:wrapTight>
                <wp:docPr id="504" name="Text Box 504"/>
                <wp:cNvGraphicFramePr/>
                <a:graphic xmlns:a="http://schemas.openxmlformats.org/drawingml/2006/main">
                  <a:graphicData uri="http://schemas.microsoft.com/office/word/2010/wordprocessingShape">
                    <wps:wsp>
                      <wps:cNvSpPr txBox="1"/>
                      <wps:spPr>
                        <a:xfrm>
                          <a:off x="0" y="0"/>
                          <a:ext cx="5723890" cy="609600"/>
                        </a:xfrm>
                        <a:prstGeom prst="rect">
                          <a:avLst/>
                        </a:prstGeom>
                        <a:solidFill>
                          <a:prstClr val="white"/>
                        </a:solidFill>
                        <a:ln>
                          <a:noFill/>
                        </a:ln>
                      </wps:spPr>
                      <wps:txbx>
                        <w:txbxContent>
                          <w:p w14:paraId="64FF4523" w14:textId="31212595" w:rsidR="00A56EB4" w:rsidRPr="00086559" w:rsidRDefault="00A56EB4" w:rsidP="00086559">
                            <w:pPr>
                              <w:pStyle w:val="Caption"/>
                            </w:pPr>
                            <w:r w:rsidRPr="00086559">
                              <w:t xml:space="preserve">Figure </w:t>
                            </w:r>
                            <w:r>
                              <w:t>46</w:t>
                            </w:r>
                            <w:r w:rsidRPr="00086559">
                              <w:t xml:space="preserve">. Pie charts representing the presence of support in court by gender as observed in </w:t>
                            </w:r>
                            <w:r>
                              <w:t>the North Youth C</w:t>
                            </w:r>
                            <w:r w:rsidRPr="00086559">
                              <w:t>ourt</w:t>
                            </w:r>
                            <w:r>
                              <w:t>s</w:t>
                            </w:r>
                            <w:r w:rsidRPr="00086559">
                              <w:t xml:space="preserve"> between January 2017 and December 201</w:t>
                            </w:r>
                            <w:r>
                              <w:t>8</w:t>
                            </w:r>
                            <w:r w:rsidRPr="00086559">
                              <w:t xml:space="preserve">, from a sample size of 162 (113 male and 49 female attendees). Slice size represents the relative proportion of respondents reporting the presence or absence of supports on the day of data acquisition. </w:t>
                            </w:r>
                          </w:p>
                          <w:p w14:paraId="300C2E6D" w14:textId="77777777" w:rsidR="00A56EB4" w:rsidRPr="00E25FCA" w:rsidRDefault="00A56EB4" w:rsidP="00E8534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588F" id="Text Box 504" o:spid="_x0000_s1104" type="#_x0000_t202" style="position:absolute;margin-left:.45pt;margin-top:303.85pt;width:450.7pt;height:48pt;z-index:-25131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" stroked="f">
                <v:textbox inset="0,0,0,0">
                  <w:txbxContent>
                    <w:p w14:paraId="64FF4523" w14:textId="31212595" w:rsidR="00A56EB4" w:rsidRPr="00086559" w:rsidRDefault="00A56EB4" w:rsidP="00086559">
                      <w:pPr>
                        <w:pStyle w:val="Caption"/>
                      </w:pPr>
                      <w:r w:rsidRPr="00086559">
                        <w:t xml:space="preserve">Figure </w:t>
                      </w:r>
                      <w:r>
                        <w:t>46</w:t>
                      </w:r>
                      <w:r w:rsidRPr="00086559">
                        <w:t xml:space="preserve">. Pie charts representing the presence of support in court by gender as observed in </w:t>
                      </w:r>
                      <w:r>
                        <w:t>the North Youth C</w:t>
                      </w:r>
                      <w:r w:rsidRPr="00086559">
                        <w:t>ourt</w:t>
                      </w:r>
                      <w:r>
                        <w:t>s</w:t>
                      </w:r>
                      <w:r w:rsidRPr="00086559">
                        <w:t xml:space="preserve"> between January 2017 and December 201</w:t>
                      </w:r>
                      <w:r>
                        <w:t>8</w:t>
                      </w:r>
                      <w:r w:rsidRPr="00086559">
                        <w:t xml:space="preserve">, from a sample size of 162 (113 male and 49 female attendees). Slice size represents the relative proportion of respondents reporting the presence or absence of supports on the day of data acquisition. </w:t>
                      </w:r>
                    </w:p>
                    <w:p w14:paraId="300C2E6D" w14:textId="77777777" w:rsidR="00A56EB4" w:rsidRPr="00E25FCA" w:rsidRDefault="00A56EB4" w:rsidP="00E8534B">
                      <w:pPr>
                        <w:pStyle w:val="Caption"/>
                      </w:pPr>
                    </w:p>
                  </w:txbxContent>
                </v:textbox>
                <w10:wrap type="tight" anchorx="margin" anchory="page"/>
              </v:shape>
            </w:pict>
          </mc:Fallback>
        </mc:AlternateContent>
      </w:r>
      <w:r w:rsidR="00C235A0">
        <w:t xml:space="preserve">However, it </w:t>
      </w:r>
      <w:r w:rsidR="000061EE">
        <w:t xml:space="preserve">was discovered that </w:t>
      </w:r>
      <w:r w:rsidR="00C12BB2">
        <w:t xml:space="preserve">no </w:t>
      </w:r>
      <w:r w:rsidR="000061EE">
        <w:t>statistically significant relationship existed between Indigenous status and the presence of support (X</w:t>
      </w:r>
      <w:r w:rsidR="000061EE" w:rsidRPr="00526838">
        <w:rPr>
          <w:vertAlign w:val="superscript"/>
        </w:rPr>
        <w:t>2</w:t>
      </w:r>
      <w:r w:rsidR="000061EE">
        <w:t>=</w:t>
      </w:r>
      <w:r w:rsidR="00C12BB2">
        <w:t>0.56</w:t>
      </w:r>
      <w:r w:rsidR="000061EE">
        <w:t>, p=0.</w:t>
      </w:r>
      <w:r w:rsidR="00C12BB2">
        <w:t>45</w:t>
      </w:r>
      <w:r w:rsidR="000061EE">
        <w:t xml:space="preserve"> at p&lt;0.05). Between the genders of Calgary youth court </w:t>
      </w:r>
      <w:r>
        <w:rPr>
          <w:noProof/>
          <w:lang w:val="en-US"/>
        </w:rPr>
        <w:drawing>
          <wp:anchor distT="0" distB="0" distL="114300" distR="114300" simplePos="0" relativeHeight="253952512" behindDoc="1" locked="0" layoutInCell="1" allowOverlap="1" wp14:anchorId="73269A34" wp14:editId="52F0840F">
            <wp:simplePos x="0" y="0"/>
            <wp:positionH relativeFrom="margin">
              <wp:posOffset>-130068</wp:posOffset>
            </wp:positionH>
            <wp:positionV relativeFrom="page">
              <wp:posOffset>783714</wp:posOffset>
            </wp:positionV>
            <wp:extent cx="5854700" cy="3074035"/>
            <wp:effectExtent l="0" t="0" r="0" b="0"/>
            <wp:wrapTight wrapText="bothSides">
              <wp:wrapPolygon edited="0">
                <wp:start x="0" y="0"/>
                <wp:lineTo x="0" y="21417"/>
                <wp:lineTo x="21506" y="21417"/>
                <wp:lineTo x="21506"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854700" cy="3074035"/>
                    </a:xfrm>
                    <a:prstGeom prst="rect">
                      <a:avLst/>
                    </a:prstGeom>
                  </pic:spPr>
                </pic:pic>
              </a:graphicData>
            </a:graphic>
            <wp14:sizeRelH relativeFrom="margin">
              <wp14:pctWidth>0</wp14:pctWidth>
            </wp14:sizeRelH>
            <wp14:sizeRelV relativeFrom="margin">
              <wp14:pctHeight>0</wp14:pctHeight>
            </wp14:sizeRelV>
          </wp:anchor>
        </w:drawing>
      </w:r>
      <w:r w:rsidR="000061EE">
        <w:t>attendees</w:t>
      </w:r>
      <w:r w:rsidR="00086559">
        <w:t xml:space="preserve"> (Figure 46)</w:t>
      </w:r>
      <w:r w:rsidR="000061EE">
        <w:t>, female attendees were more likely to report having support present (</w:t>
      </w:r>
      <w:r w:rsidR="00F41305">
        <w:t>91.84</w:t>
      </w:r>
      <w:r w:rsidR="000061EE">
        <w:t>%) than male attendees (</w:t>
      </w:r>
      <w:r w:rsidR="00F41305">
        <w:t>79.65</w:t>
      </w:r>
      <w:r w:rsidR="000061EE">
        <w:t>%). However, it was discovered that no statistically significant relationship existed between gender and the presence of support in court (X</w:t>
      </w:r>
      <w:r w:rsidR="000061EE" w:rsidRPr="00526838">
        <w:rPr>
          <w:vertAlign w:val="superscript"/>
        </w:rPr>
        <w:t>2</w:t>
      </w:r>
      <w:r w:rsidR="000061EE">
        <w:t>=</w:t>
      </w:r>
      <w:r w:rsidR="00F41305">
        <w:t>3.66</w:t>
      </w:r>
      <w:r w:rsidR="000061EE">
        <w:t>, p=</w:t>
      </w:r>
      <w:r w:rsidR="00F41305">
        <w:t>0.06</w:t>
      </w:r>
      <w:r w:rsidR="000061EE">
        <w:t xml:space="preserve"> at p&lt;0.05)</w:t>
      </w:r>
    </w:p>
    <w:p w14:paraId="2FD89F46" w14:textId="0A63B485" w:rsidR="00071BEC" w:rsidRDefault="00071BEC" w:rsidP="00770FA1">
      <w:r>
        <w:rPr>
          <w:noProof/>
          <w:lang w:val="en-US"/>
        </w:rPr>
        <w:drawing>
          <wp:anchor distT="0" distB="0" distL="114300" distR="114300" simplePos="0" relativeHeight="251099648" behindDoc="1" locked="0" layoutInCell="1" allowOverlap="1" wp14:anchorId="141745B9" wp14:editId="70071EBE">
            <wp:simplePos x="0" y="0"/>
            <wp:positionH relativeFrom="margin">
              <wp:posOffset>10160</wp:posOffset>
            </wp:positionH>
            <wp:positionV relativeFrom="margin">
              <wp:posOffset>5483802</wp:posOffset>
            </wp:positionV>
            <wp:extent cx="3562350" cy="2933700"/>
            <wp:effectExtent l="0" t="0" r="0" b="0"/>
            <wp:wrapTight wrapText="bothSides">
              <wp:wrapPolygon edited="0">
                <wp:start x="0" y="0"/>
                <wp:lineTo x="0" y="21460"/>
                <wp:lineTo x="21484" y="21460"/>
                <wp:lineTo x="21484"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62350" cy="2933700"/>
                    </a:xfrm>
                    <a:prstGeom prst="rect">
                      <a:avLst/>
                    </a:prstGeom>
                  </pic:spPr>
                </pic:pic>
              </a:graphicData>
            </a:graphic>
          </wp:anchor>
        </w:drawing>
      </w:r>
      <w:r>
        <w:rPr>
          <w:noProof/>
          <w:lang w:val="en-US"/>
        </w:rPr>
        <mc:AlternateContent>
          <mc:Choice Requires="wps">
            <w:drawing>
              <wp:anchor distT="0" distB="0" distL="114300" distR="114300" simplePos="0" relativeHeight="251040256" behindDoc="1" locked="0" layoutInCell="1" allowOverlap="1" wp14:anchorId="39177D38" wp14:editId="5C33636C">
                <wp:simplePos x="0" y="0"/>
                <wp:positionH relativeFrom="margin">
                  <wp:posOffset>5715</wp:posOffset>
                </wp:positionH>
                <wp:positionV relativeFrom="page">
                  <wp:posOffset>5747385</wp:posOffset>
                </wp:positionV>
                <wp:extent cx="3562350" cy="441325"/>
                <wp:effectExtent l="0" t="0" r="0" b="0"/>
                <wp:wrapTight wrapText="bothSides">
                  <wp:wrapPolygon edited="0">
                    <wp:start x="0" y="0"/>
                    <wp:lineTo x="0" y="20512"/>
                    <wp:lineTo x="21484" y="20512"/>
                    <wp:lineTo x="21484" y="0"/>
                    <wp:lineTo x="0" y="0"/>
                  </wp:wrapPolygon>
                </wp:wrapTight>
                <wp:docPr id="457" name="Text Box 457"/>
                <wp:cNvGraphicFramePr/>
                <a:graphic xmlns:a="http://schemas.openxmlformats.org/drawingml/2006/main">
                  <a:graphicData uri="http://schemas.microsoft.com/office/word/2010/wordprocessingShape">
                    <wps:wsp>
                      <wps:cNvSpPr txBox="1"/>
                      <wps:spPr>
                        <a:xfrm>
                          <a:off x="0" y="0"/>
                          <a:ext cx="3562350" cy="441325"/>
                        </a:xfrm>
                        <a:prstGeom prst="rect">
                          <a:avLst/>
                        </a:prstGeom>
                        <a:solidFill>
                          <a:prstClr val="white"/>
                        </a:solidFill>
                        <a:ln>
                          <a:noFill/>
                        </a:ln>
                      </wps:spPr>
                      <wps:txbx>
                        <w:txbxContent>
                          <w:p w14:paraId="60954C1D" w14:textId="79CFC088" w:rsidR="00A56EB4" w:rsidRPr="00177D78" w:rsidRDefault="00A56EB4" w:rsidP="00C24226">
                            <w:pPr>
                              <w:pStyle w:val="Caption"/>
                              <w:rPr>
                                <w:b/>
                                <w:bCs/>
                              </w:rPr>
                            </w:pPr>
                            <w:r>
                              <w:rPr>
                                <w:b/>
                                <w:bCs/>
                              </w:rPr>
                              <w:t>Table 18</w:t>
                            </w:r>
                            <w:r w:rsidRPr="00B63B81">
                              <w:rPr>
                                <w:b/>
                                <w:bCs/>
                              </w:rPr>
                              <w:t>.</w:t>
                            </w:r>
                            <w:r>
                              <w:t xml:space="preserve"> Frequency and proportion of North Youth Court attendees by number of court appearances,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7D38" id="Text Box 457" o:spid="_x0000_s1105" type="#_x0000_t202" style="position:absolute;margin-left:.45pt;margin-top:452.55pt;width:280.5pt;height:34.75pt;z-index:-25227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" stroked="f">
                <v:textbox inset="0,0,0,0">
                  <w:txbxContent>
                    <w:p w14:paraId="60954C1D" w14:textId="79CFC088" w:rsidR="00A56EB4" w:rsidRPr="00177D78" w:rsidRDefault="00A56EB4" w:rsidP="00C24226">
                      <w:pPr>
                        <w:pStyle w:val="Caption"/>
                        <w:rPr>
                          <w:b/>
                          <w:bCs/>
                        </w:rPr>
                      </w:pPr>
                      <w:r>
                        <w:rPr>
                          <w:b/>
                          <w:bCs/>
                        </w:rPr>
                        <w:t>Table 18</w:t>
                      </w:r>
                      <w:r w:rsidRPr="00B63B81">
                        <w:rPr>
                          <w:b/>
                          <w:bCs/>
                        </w:rPr>
                        <w:t>.</w:t>
                      </w:r>
                      <w:r>
                        <w:t xml:space="preserve"> Frequency and proportion of North Youth Court attendees by number of court appearances, between January 2017 and December 2018.</w:t>
                      </w:r>
                    </w:p>
                  </w:txbxContent>
                </v:textbox>
                <w10:wrap type="tight" anchorx="margin" anchory="page"/>
              </v:shape>
            </w:pict>
          </mc:Fallback>
        </mc:AlternateContent>
      </w:r>
      <w:r w:rsidR="008437B7" w:rsidRPr="00F64463">
        <w:t xml:space="preserve">It was observed that </w:t>
      </w:r>
      <w:r w:rsidR="008437B7">
        <w:t>most</w:t>
      </w:r>
      <w:r w:rsidR="008437B7" w:rsidRPr="00F64463">
        <w:t xml:space="preserve"> (</w:t>
      </w:r>
      <w:r w:rsidR="008437B7">
        <w:t>26.44</w:t>
      </w:r>
      <w:r w:rsidR="008437B7" w:rsidRPr="00F64463">
        <w:t>%) of</w:t>
      </w:r>
      <w:r w:rsidR="008437B7">
        <w:t xml:space="preserve"> the</w:t>
      </w:r>
      <w:r w:rsidR="008437B7" w:rsidRPr="00F64463">
        <w:t xml:space="preserve"> attendees at </w:t>
      </w:r>
      <w:r w:rsidR="008D12A5">
        <w:t>North Youth Court</w:t>
      </w:r>
      <w:r w:rsidR="008437B7" w:rsidRPr="00F64463">
        <w:t>, for which data was available, were at their first court appearance</w:t>
      </w:r>
      <w:r w:rsidR="008437B7">
        <w:t xml:space="preserve">; likely owing to the small sample size, it is challenging to comment on the nature of the </w:t>
      </w:r>
      <w:r w:rsidR="008437B7" w:rsidRPr="00F64463">
        <w:t>relationship between court appearance number and attendee count</w:t>
      </w:r>
      <w:r w:rsidR="00A7078F">
        <w:t xml:space="preserve"> (Table 18)</w:t>
      </w:r>
      <w:r w:rsidR="008437B7" w:rsidRPr="00F64463">
        <w:t>. The majority of attendees (</w:t>
      </w:r>
      <w:r w:rsidR="008437B7">
        <w:t>52.46%)</w:t>
      </w:r>
      <w:r w:rsidR="008437B7" w:rsidRPr="00F64463">
        <w:t xml:space="preserve"> for which data was available, reported having no legal representation at court (Table</w:t>
      </w:r>
      <w:r w:rsidR="00A7078F">
        <w:t xml:space="preserve"> 20</w:t>
      </w:r>
      <w:r w:rsidR="008437B7" w:rsidRPr="00F64463">
        <w:t xml:space="preserve">). Most  attendees </w:t>
      </w:r>
      <w:r w:rsidR="00253816" w:rsidRPr="00F64463">
        <w:t>(</w:t>
      </w:r>
      <w:r w:rsidR="00253816">
        <w:t>76.58</w:t>
      </w:r>
      <w:r w:rsidR="00253816" w:rsidRPr="00F64463">
        <w:t>%)</w:t>
      </w:r>
      <w:r w:rsidR="00253816">
        <w:t xml:space="preserve"> </w:t>
      </w:r>
      <w:r w:rsidR="008437B7" w:rsidRPr="00F64463">
        <w:t>received services through the organization of a duration of 0-4 minutes, with an inverse relationship between increasing service length and attendee count</w:t>
      </w:r>
      <w:r w:rsidR="008437B7">
        <w:t xml:space="preserve"> (Table </w:t>
      </w:r>
      <w:r w:rsidR="00A7078F">
        <w:t>19</w:t>
      </w:r>
      <w:r w:rsidR="008437B7">
        <w:t>)</w:t>
      </w:r>
      <w:r w:rsidR="008437B7" w:rsidRPr="00F64463">
        <w:t xml:space="preserve">. </w:t>
      </w:r>
      <w:r w:rsidR="00770FA1">
        <w:t>Only 3.60% of defendants required support exceeding 15 minutes (Table 19).</w:t>
      </w:r>
    </w:p>
    <w:p w14:paraId="3BF3856C" w14:textId="2848780F" w:rsidR="00071BEC" w:rsidRDefault="00071BEC">
      <w:r>
        <w:br w:type="page"/>
      </w:r>
    </w:p>
    <w:p w14:paraId="5A348693" w14:textId="62460115" w:rsidR="00AC11DB" w:rsidRDefault="00AC11DB" w:rsidP="00770FA1"/>
    <w:p w14:paraId="1C52E3C8" w14:textId="78F83ECF" w:rsidR="001B240B" w:rsidRDefault="004D2F06">
      <w:pPr>
        <w:rPr>
          <w:rFonts w:asciiTheme="majorHAnsi" w:hAnsiTheme="majorHAnsi" w:cstheme="majorHAnsi"/>
          <w:sz w:val="24"/>
          <w:szCs w:val="24"/>
        </w:rPr>
      </w:pPr>
      <w:r>
        <w:rPr>
          <w:noProof/>
          <w:lang w:val="en-US"/>
        </w:rPr>
        <mc:AlternateContent>
          <mc:Choice Requires="wps">
            <w:drawing>
              <wp:anchor distT="0" distB="0" distL="114300" distR="114300" simplePos="0" relativeHeight="247241216" behindDoc="1" locked="0" layoutInCell="1" allowOverlap="1" wp14:anchorId="65A6225B" wp14:editId="3A79FE93">
                <wp:simplePos x="0" y="0"/>
                <wp:positionH relativeFrom="margin">
                  <wp:posOffset>3726164</wp:posOffset>
                </wp:positionH>
                <wp:positionV relativeFrom="margin">
                  <wp:posOffset>296430</wp:posOffset>
                </wp:positionV>
                <wp:extent cx="3035300" cy="457200"/>
                <wp:effectExtent l="0" t="0" r="0" b="0"/>
                <wp:wrapTight wrapText="bothSides">
                  <wp:wrapPolygon edited="0">
                    <wp:start x="0" y="0"/>
                    <wp:lineTo x="0" y="20700"/>
                    <wp:lineTo x="21419" y="20700"/>
                    <wp:lineTo x="21419" y="0"/>
                    <wp:lineTo x="0" y="0"/>
                  </wp:wrapPolygon>
                </wp:wrapTight>
                <wp:docPr id="466" name="Text Box 466"/>
                <wp:cNvGraphicFramePr/>
                <a:graphic xmlns:a="http://schemas.openxmlformats.org/drawingml/2006/main">
                  <a:graphicData uri="http://schemas.microsoft.com/office/word/2010/wordprocessingShape">
                    <wps:wsp>
                      <wps:cNvSpPr txBox="1"/>
                      <wps:spPr>
                        <a:xfrm>
                          <a:off x="0" y="0"/>
                          <a:ext cx="3035300" cy="457200"/>
                        </a:xfrm>
                        <a:prstGeom prst="rect">
                          <a:avLst/>
                        </a:prstGeom>
                        <a:solidFill>
                          <a:prstClr val="white"/>
                        </a:solidFill>
                        <a:ln>
                          <a:noFill/>
                        </a:ln>
                      </wps:spPr>
                      <wps:txbx>
                        <w:txbxContent>
                          <w:p w14:paraId="1786497C" w14:textId="40D02442" w:rsidR="00A56EB4" w:rsidRPr="0063408E" w:rsidRDefault="00A56EB4" w:rsidP="0030256A">
                            <w:pPr>
                              <w:pStyle w:val="Caption"/>
                            </w:pPr>
                            <w:r>
                              <w:rPr>
                                <w:b/>
                                <w:bCs/>
                              </w:rPr>
                              <w:t>Table 20</w:t>
                            </w:r>
                            <w:r w:rsidRPr="00B63B81">
                              <w:rPr>
                                <w:b/>
                                <w:bCs/>
                              </w:rPr>
                              <w:t>.</w:t>
                            </w:r>
                            <w:r>
                              <w:t xml:space="preserve"> Frequency and proportion of North Youth Court attendees with legal representation,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6225B" id="Text Box 466" o:spid="_x0000_s1106" type="#_x0000_t202" style="position:absolute;margin-left:293.4pt;margin-top:23.35pt;width:239pt;height:36pt;z-index:-256075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" stroked="f">
                <v:textbox inset="0,0,0,0">
                  <w:txbxContent>
                    <w:p w14:paraId="1786497C" w14:textId="40D02442" w:rsidR="00A56EB4" w:rsidRPr="0063408E" w:rsidRDefault="00A56EB4" w:rsidP="0030256A">
                      <w:pPr>
                        <w:pStyle w:val="Caption"/>
                      </w:pPr>
                      <w:r>
                        <w:rPr>
                          <w:b/>
                          <w:bCs/>
                        </w:rPr>
                        <w:t>Table 20</w:t>
                      </w:r>
                      <w:r w:rsidRPr="00B63B81">
                        <w:rPr>
                          <w:b/>
                          <w:bCs/>
                        </w:rPr>
                        <w:t>.</w:t>
                      </w:r>
                      <w:r>
                        <w:t xml:space="preserve"> Frequency and proportion of North Youth Court attendees with legal representation, between January 2017 and December 2018.</w:t>
                      </w:r>
                    </w:p>
                  </w:txbxContent>
                </v:textbox>
                <w10:wrap type="tight" anchorx="margin" anchory="margin"/>
              </v:shape>
            </w:pict>
          </mc:Fallback>
        </mc:AlternateContent>
      </w:r>
      <w:r>
        <w:rPr>
          <w:noProof/>
          <w:lang w:val="en-US"/>
        </w:rPr>
        <w:drawing>
          <wp:anchor distT="0" distB="0" distL="114300" distR="114300" simplePos="0" relativeHeight="247292416" behindDoc="1" locked="0" layoutInCell="1" allowOverlap="1" wp14:anchorId="619D28E1" wp14:editId="75282D28">
            <wp:simplePos x="0" y="0"/>
            <wp:positionH relativeFrom="margin">
              <wp:posOffset>3771719</wp:posOffset>
            </wp:positionH>
            <wp:positionV relativeFrom="margin">
              <wp:posOffset>695325</wp:posOffset>
            </wp:positionV>
            <wp:extent cx="2984500" cy="1569720"/>
            <wp:effectExtent l="0" t="0" r="6350" b="0"/>
            <wp:wrapTight wrapText="bothSides">
              <wp:wrapPolygon edited="0">
                <wp:start x="0" y="0"/>
                <wp:lineTo x="0" y="21233"/>
                <wp:lineTo x="21508" y="21233"/>
                <wp:lineTo x="21508"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984500" cy="1569720"/>
                    </a:xfrm>
                    <a:prstGeom prst="rect">
                      <a:avLst/>
                    </a:prstGeom>
                  </pic:spPr>
                </pic:pic>
              </a:graphicData>
            </a:graphic>
          </wp:anchor>
        </w:drawing>
      </w:r>
      <w:r>
        <w:rPr>
          <w:noProof/>
          <w:lang w:val="en-US"/>
        </w:rPr>
        <w:drawing>
          <wp:anchor distT="0" distB="0" distL="114300" distR="114300" simplePos="0" relativeHeight="254018048" behindDoc="1" locked="0" layoutInCell="1" allowOverlap="1" wp14:anchorId="7D1C97D6" wp14:editId="21595CFB">
            <wp:simplePos x="0" y="0"/>
            <wp:positionH relativeFrom="margin">
              <wp:posOffset>5913</wp:posOffset>
            </wp:positionH>
            <wp:positionV relativeFrom="page">
              <wp:posOffset>1357680</wp:posOffset>
            </wp:positionV>
            <wp:extent cx="3228975" cy="1514475"/>
            <wp:effectExtent l="0" t="0" r="9525" b="9525"/>
            <wp:wrapTight wrapText="bothSides">
              <wp:wrapPolygon edited="0">
                <wp:start x="0" y="0"/>
                <wp:lineTo x="0" y="21464"/>
                <wp:lineTo x="21536" y="21464"/>
                <wp:lineTo x="21536"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28975" cy="1514475"/>
                    </a:xfrm>
                    <a:prstGeom prst="rect">
                      <a:avLst/>
                    </a:prstGeom>
                  </pic:spPr>
                </pic:pic>
              </a:graphicData>
            </a:graphic>
          </wp:anchor>
        </w:drawing>
      </w:r>
      <w:r>
        <w:rPr>
          <w:noProof/>
          <w:lang w:val="en-US"/>
        </w:rPr>
        <mc:AlternateContent>
          <mc:Choice Requires="wps">
            <w:drawing>
              <wp:anchor distT="0" distB="0" distL="114300" distR="114300" simplePos="0" relativeHeight="254415360" behindDoc="1" locked="0" layoutInCell="1" allowOverlap="1" wp14:anchorId="5E615373" wp14:editId="7C50CFFD">
                <wp:simplePos x="0" y="0"/>
                <wp:positionH relativeFrom="margin">
                  <wp:posOffset>53571</wp:posOffset>
                </wp:positionH>
                <wp:positionV relativeFrom="margin">
                  <wp:posOffset>292100</wp:posOffset>
                </wp:positionV>
                <wp:extent cx="3124200" cy="430975"/>
                <wp:effectExtent l="0" t="0" r="0" b="7620"/>
                <wp:wrapTight wrapText="bothSides">
                  <wp:wrapPolygon edited="0">
                    <wp:start x="0" y="0"/>
                    <wp:lineTo x="0" y="21027"/>
                    <wp:lineTo x="21468" y="21027"/>
                    <wp:lineTo x="21468"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3124200" cy="430975"/>
                        </a:xfrm>
                        <a:prstGeom prst="rect">
                          <a:avLst/>
                        </a:prstGeom>
                        <a:solidFill>
                          <a:prstClr val="white"/>
                        </a:solidFill>
                        <a:ln>
                          <a:noFill/>
                        </a:ln>
                      </wps:spPr>
                      <wps:txbx>
                        <w:txbxContent>
                          <w:p w14:paraId="5E3EA31E" w14:textId="50DE39A8" w:rsidR="00A56EB4" w:rsidRPr="0063408E" w:rsidRDefault="00A56EB4" w:rsidP="00891BD0">
                            <w:pPr>
                              <w:pStyle w:val="Caption"/>
                            </w:pPr>
                            <w:r>
                              <w:rPr>
                                <w:b/>
                                <w:bCs/>
                              </w:rPr>
                              <w:t>Table 19</w:t>
                            </w:r>
                            <w:r w:rsidRPr="00B63B81">
                              <w:rPr>
                                <w:b/>
                                <w:bCs/>
                              </w:rPr>
                              <w:t>.</w:t>
                            </w:r>
                            <w:r>
                              <w:t xml:space="preserve"> Frequency and proportion of service length for North Youth Court attendees,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5373" id="Text Box 47" o:spid="_x0000_s1107" type="#_x0000_t202" style="position:absolute;margin-left:4.2pt;margin-top:23pt;width:246pt;height:33.95pt;z-index:-248901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" stroked="f">
                <v:textbox inset="0,0,0,0">
                  <w:txbxContent>
                    <w:p w14:paraId="5E3EA31E" w14:textId="50DE39A8" w:rsidR="00A56EB4" w:rsidRPr="0063408E" w:rsidRDefault="00A56EB4" w:rsidP="00891BD0">
                      <w:pPr>
                        <w:pStyle w:val="Caption"/>
                      </w:pPr>
                      <w:r>
                        <w:rPr>
                          <w:b/>
                          <w:bCs/>
                        </w:rPr>
                        <w:t>Table 19</w:t>
                      </w:r>
                      <w:r w:rsidRPr="00B63B81">
                        <w:rPr>
                          <w:b/>
                          <w:bCs/>
                        </w:rPr>
                        <w:t>.</w:t>
                      </w:r>
                      <w:r>
                        <w:t xml:space="preserve"> Frequency and proportion of service length for North Youth Court attendees, between January 2017 and December 2018.</w:t>
                      </w:r>
                    </w:p>
                  </w:txbxContent>
                </v:textbox>
                <w10:wrap type="tight" anchorx="margin" anchory="margin"/>
              </v:shape>
            </w:pict>
          </mc:Fallback>
        </mc:AlternateContent>
      </w:r>
    </w:p>
    <w:p w14:paraId="1C2CF0DC" w14:textId="6A0AA1D7" w:rsidR="001B240B" w:rsidRPr="001B240B" w:rsidRDefault="001B240B" w:rsidP="001B240B">
      <w:pPr>
        <w:rPr>
          <w:rFonts w:asciiTheme="majorHAnsi" w:hAnsiTheme="majorHAnsi" w:cstheme="majorHAnsi"/>
          <w:sz w:val="24"/>
          <w:szCs w:val="24"/>
        </w:rPr>
      </w:pPr>
    </w:p>
    <w:p w14:paraId="21C6A49D" w14:textId="6DE146E9" w:rsidR="001B240B" w:rsidRPr="001B240B" w:rsidRDefault="001B240B" w:rsidP="001B240B">
      <w:pPr>
        <w:rPr>
          <w:rFonts w:asciiTheme="majorHAnsi" w:hAnsiTheme="majorHAnsi" w:cstheme="majorHAnsi"/>
          <w:sz w:val="24"/>
          <w:szCs w:val="24"/>
        </w:rPr>
      </w:pPr>
    </w:p>
    <w:p w14:paraId="60D935CA" w14:textId="1E59ABC6" w:rsidR="001B240B" w:rsidRPr="001B240B" w:rsidRDefault="001B240B" w:rsidP="001B240B">
      <w:pPr>
        <w:rPr>
          <w:rFonts w:asciiTheme="majorHAnsi" w:hAnsiTheme="majorHAnsi" w:cstheme="majorHAnsi"/>
          <w:sz w:val="24"/>
          <w:szCs w:val="24"/>
        </w:rPr>
      </w:pPr>
    </w:p>
    <w:p w14:paraId="524FF904" w14:textId="77777777" w:rsidR="001B240B" w:rsidRPr="001B240B" w:rsidRDefault="001B240B" w:rsidP="001B240B">
      <w:pPr>
        <w:rPr>
          <w:rFonts w:asciiTheme="majorHAnsi" w:hAnsiTheme="majorHAnsi" w:cstheme="majorHAnsi"/>
          <w:sz w:val="24"/>
          <w:szCs w:val="24"/>
        </w:rPr>
      </w:pPr>
    </w:p>
    <w:p w14:paraId="61CBC9FC" w14:textId="77777777" w:rsidR="001B240B" w:rsidRPr="001B240B" w:rsidRDefault="001B240B" w:rsidP="001B240B">
      <w:pPr>
        <w:rPr>
          <w:rFonts w:asciiTheme="majorHAnsi" w:hAnsiTheme="majorHAnsi" w:cstheme="majorHAnsi"/>
          <w:sz w:val="24"/>
          <w:szCs w:val="24"/>
        </w:rPr>
      </w:pPr>
    </w:p>
    <w:p w14:paraId="349CB158" w14:textId="77777777" w:rsidR="001B240B" w:rsidRPr="001B240B" w:rsidRDefault="001B240B" w:rsidP="001B240B">
      <w:pPr>
        <w:rPr>
          <w:rFonts w:asciiTheme="majorHAnsi" w:hAnsiTheme="majorHAnsi" w:cstheme="majorHAnsi"/>
          <w:sz w:val="24"/>
          <w:szCs w:val="24"/>
        </w:rPr>
      </w:pPr>
    </w:p>
    <w:p w14:paraId="5A863915" w14:textId="77777777" w:rsidR="001B240B" w:rsidRDefault="001B240B">
      <w:pPr>
        <w:rPr>
          <w:rFonts w:asciiTheme="majorHAnsi" w:hAnsiTheme="majorHAnsi" w:cstheme="majorHAnsi"/>
          <w:sz w:val="24"/>
          <w:szCs w:val="24"/>
        </w:rPr>
      </w:pPr>
    </w:p>
    <w:p w14:paraId="02A7AC9D" w14:textId="5D2AE96B" w:rsidR="001B240B" w:rsidRDefault="001B240B">
      <w:pPr>
        <w:rPr>
          <w:rFonts w:asciiTheme="majorHAnsi" w:hAnsiTheme="majorHAnsi" w:cstheme="majorHAnsi"/>
          <w:sz w:val="24"/>
          <w:szCs w:val="24"/>
        </w:rPr>
      </w:pPr>
    </w:p>
    <w:p w14:paraId="6DB06DA6" w14:textId="7ACF4122" w:rsidR="00F67229" w:rsidRPr="001B240B" w:rsidRDefault="001B240B" w:rsidP="001B240B">
      <w:pPr>
        <w:rPr>
          <w:rFonts w:asciiTheme="majorHAnsi" w:hAnsiTheme="majorHAnsi" w:cstheme="majorHAnsi"/>
          <w:sz w:val="24"/>
          <w:szCs w:val="24"/>
        </w:rPr>
      </w:pPr>
      <w:r>
        <w:rPr>
          <w:rFonts w:asciiTheme="majorHAnsi" w:hAnsiTheme="majorHAnsi" w:cstheme="majorHAnsi"/>
          <w:sz w:val="24"/>
          <w:szCs w:val="24"/>
        </w:rPr>
        <w:br w:type="page"/>
      </w:r>
    </w:p>
    <w:p w14:paraId="45A095E8" w14:textId="4E921F71" w:rsidR="00F67229" w:rsidRDefault="00F67229" w:rsidP="00147C80">
      <w:pPr>
        <w:autoSpaceDE w:val="0"/>
        <w:autoSpaceDN w:val="0"/>
        <w:adjustRightInd w:val="0"/>
        <w:spacing w:after="0" w:line="240" w:lineRule="auto"/>
        <w:rPr>
          <w:rFonts w:asciiTheme="majorHAnsi" w:hAnsiTheme="majorHAnsi" w:cstheme="majorHAnsi"/>
          <w:b/>
          <w:bCs/>
        </w:rPr>
      </w:pPr>
    </w:p>
    <w:p w14:paraId="4700073A" w14:textId="0AE098A9" w:rsidR="009E60BB" w:rsidRDefault="008D12A5" w:rsidP="00CF5FD1">
      <w:pPr>
        <w:pStyle w:val="Heading2"/>
      </w:pPr>
      <w:bookmarkStart w:id="39" w:name="_Toc16262351"/>
      <w:r>
        <w:t>South Youth Court</w:t>
      </w:r>
      <w:bookmarkEnd w:id="39"/>
    </w:p>
    <w:p w14:paraId="0AFCDF58" w14:textId="414EF01E" w:rsidR="002F015C" w:rsidRDefault="001B240B" w:rsidP="002F01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4055936" behindDoc="1" locked="0" layoutInCell="1" allowOverlap="1" wp14:anchorId="00A828EF" wp14:editId="43480FB3">
            <wp:simplePos x="0" y="0"/>
            <wp:positionH relativeFrom="margin">
              <wp:posOffset>288240</wp:posOffset>
            </wp:positionH>
            <wp:positionV relativeFrom="page">
              <wp:posOffset>1282568</wp:posOffset>
            </wp:positionV>
            <wp:extent cx="3060700" cy="2522220"/>
            <wp:effectExtent l="0" t="0" r="6350" b="0"/>
            <wp:wrapTight wrapText="bothSides">
              <wp:wrapPolygon edited="0">
                <wp:start x="0" y="0"/>
                <wp:lineTo x="0" y="21372"/>
                <wp:lineTo x="21510" y="21372"/>
                <wp:lineTo x="21510"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28366" t="20435" r="27884" b="18257"/>
                    <a:stretch/>
                  </pic:blipFill>
                  <pic:spPr bwMode="auto">
                    <a:xfrm>
                      <a:off x="0" y="0"/>
                      <a:ext cx="3060700" cy="252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anchor distT="0" distB="0" distL="114300" distR="114300" simplePos="0" relativeHeight="254093824" behindDoc="1" locked="0" layoutInCell="1" allowOverlap="1" wp14:anchorId="0060572C" wp14:editId="3E8F2A5B">
            <wp:simplePos x="0" y="0"/>
            <wp:positionH relativeFrom="column">
              <wp:posOffset>3881252</wp:posOffset>
            </wp:positionH>
            <wp:positionV relativeFrom="page">
              <wp:posOffset>1282906</wp:posOffset>
            </wp:positionV>
            <wp:extent cx="2587625" cy="2433955"/>
            <wp:effectExtent l="0" t="0" r="3175" b="4445"/>
            <wp:wrapTight wrapText="bothSides">
              <wp:wrapPolygon edited="0">
                <wp:start x="0" y="0"/>
                <wp:lineTo x="0" y="21470"/>
                <wp:lineTo x="21467" y="21470"/>
                <wp:lineTo x="21467"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9">
                      <a:extLst>
                        <a:ext uri="{28A0092B-C50C-407E-A947-70E740481C1C}">
                          <a14:useLocalDpi xmlns:a14="http://schemas.microsoft.com/office/drawing/2010/main" val="0"/>
                        </a:ext>
                      </a:extLst>
                    </a:blip>
                    <a:srcRect l="29487" t="16621" r="29808" b="18257"/>
                    <a:stretch/>
                  </pic:blipFill>
                  <pic:spPr bwMode="auto">
                    <a:xfrm>
                      <a:off x="0" y="0"/>
                      <a:ext cx="2587625" cy="243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0FAD4" w14:textId="50CD86CA" w:rsidR="002F015C" w:rsidRDefault="002F015C" w:rsidP="002F015C">
      <w:pPr>
        <w:autoSpaceDE w:val="0"/>
        <w:autoSpaceDN w:val="0"/>
        <w:adjustRightInd w:val="0"/>
        <w:spacing w:after="0" w:line="240" w:lineRule="auto"/>
        <w:rPr>
          <w:rFonts w:ascii="Times New Roman" w:hAnsi="Times New Roman" w:cs="Times New Roman"/>
          <w:sz w:val="24"/>
          <w:szCs w:val="24"/>
        </w:rPr>
      </w:pPr>
    </w:p>
    <w:p w14:paraId="0073604A" w14:textId="339E1288" w:rsidR="002F015C" w:rsidRDefault="002F015C" w:rsidP="002F015C">
      <w:pPr>
        <w:autoSpaceDE w:val="0"/>
        <w:autoSpaceDN w:val="0"/>
        <w:adjustRightInd w:val="0"/>
        <w:spacing w:after="0" w:line="400" w:lineRule="atLeast"/>
        <w:rPr>
          <w:rFonts w:ascii="Times New Roman" w:hAnsi="Times New Roman" w:cs="Times New Roman"/>
          <w:sz w:val="24"/>
          <w:szCs w:val="24"/>
        </w:rPr>
      </w:pPr>
    </w:p>
    <w:p w14:paraId="5E62708D" w14:textId="57E3710E" w:rsidR="00C74C3D" w:rsidRPr="008464B1" w:rsidRDefault="00C74C3D" w:rsidP="00147C80">
      <w:pPr>
        <w:autoSpaceDE w:val="0"/>
        <w:autoSpaceDN w:val="0"/>
        <w:adjustRightInd w:val="0"/>
        <w:spacing w:after="0" w:line="240" w:lineRule="auto"/>
        <w:rPr>
          <w:rFonts w:ascii="Times New Roman" w:hAnsi="Times New Roman" w:cs="Times New Roman"/>
          <w:sz w:val="24"/>
          <w:szCs w:val="24"/>
        </w:rPr>
      </w:pPr>
    </w:p>
    <w:p w14:paraId="5036CA09" w14:textId="6CFF9D41" w:rsidR="00380E30" w:rsidRDefault="00380E30" w:rsidP="00380E30">
      <w:pPr>
        <w:autoSpaceDE w:val="0"/>
        <w:autoSpaceDN w:val="0"/>
        <w:adjustRightInd w:val="0"/>
        <w:spacing w:after="0" w:line="240" w:lineRule="auto"/>
        <w:rPr>
          <w:rFonts w:ascii="Times New Roman" w:hAnsi="Times New Roman" w:cs="Times New Roman"/>
          <w:sz w:val="24"/>
          <w:szCs w:val="24"/>
        </w:rPr>
      </w:pPr>
    </w:p>
    <w:p w14:paraId="60F18D3D" w14:textId="5525A4EA" w:rsidR="00380E30" w:rsidRDefault="00380E30" w:rsidP="00380E30">
      <w:pPr>
        <w:autoSpaceDE w:val="0"/>
        <w:autoSpaceDN w:val="0"/>
        <w:adjustRightInd w:val="0"/>
        <w:spacing w:after="0" w:line="240" w:lineRule="auto"/>
        <w:rPr>
          <w:rFonts w:ascii="Times New Roman" w:hAnsi="Times New Roman" w:cs="Times New Roman"/>
          <w:sz w:val="24"/>
          <w:szCs w:val="24"/>
        </w:rPr>
      </w:pPr>
    </w:p>
    <w:p w14:paraId="6F1DEDDA" w14:textId="77777777" w:rsidR="004D6926" w:rsidRDefault="004D6926" w:rsidP="00FB292D">
      <w:pPr>
        <w:autoSpaceDE w:val="0"/>
        <w:autoSpaceDN w:val="0"/>
        <w:adjustRightInd w:val="0"/>
        <w:spacing w:after="0" w:line="240" w:lineRule="auto"/>
      </w:pPr>
    </w:p>
    <w:p w14:paraId="69E3E1F0" w14:textId="77777777" w:rsidR="004D6926" w:rsidRDefault="004D6926" w:rsidP="00FB292D">
      <w:pPr>
        <w:autoSpaceDE w:val="0"/>
        <w:autoSpaceDN w:val="0"/>
        <w:adjustRightInd w:val="0"/>
        <w:spacing w:after="0" w:line="240" w:lineRule="auto"/>
      </w:pPr>
    </w:p>
    <w:p w14:paraId="00FCCD7A" w14:textId="5B05DC71" w:rsidR="004D6926" w:rsidRDefault="004D6926" w:rsidP="00FB292D">
      <w:pPr>
        <w:autoSpaceDE w:val="0"/>
        <w:autoSpaceDN w:val="0"/>
        <w:adjustRightInd w:val="0"/>
        <w:spacing w:after="0" w:line="240" w:lineRule="auto"/>
      </w:pPr>
    </w:p>
    <w:p w14:paraId="6CD4D8A6" w14:textId="3FDC41A0" w:rsidR="004D6926" w:rsidRDefault="004D6926" w:rsidP="00FB292D">
      <w:pPr>
        <w:autoSpaceDE w:val="0"/>
        <w:autoSpaceDN w:val="0"/>
        <w:adjustRightInd w:val="0"/>
        <w:spacing w:after="0" w:line="240" w:lineRule="auto"/>
      </w:pPr>
    </w:p>
    <w:p w14:paraId="54201756" w14:textId="7C6094EC" w:rsidR="004D6926" w:rsidRDefault="004D6926" w:rsidP="00FB292D">
      <w:pPr>
        <w:autoSpaceDE w:val="0"/>
        <w:autoSpaceDN w:val="0"/>
        <w:adjustRightInd w:val="0"/>
        <w:spacing w:after="0" w:line="240" w:lineRule="auto"/>
      </w:pPr>
    </w:p>
    <w:p w14:paraId="2F14733D" w14:textId="77777777" w:rsidR="004D6926" w:rsidRDefault="004D6926" w:rsidP="00FB292D">
      <w:pPr>
        <w:autoSpaceDE w:val="0"/>
        <w:autoSpaceDN w:val="0"/>
        <w:adjustRightInd w:val="0"/>
        <w:spacing w:after="0" w:line="240" w:lineRule="auto"/>
      </w:pPr>
    </w:p>
    <w:p w14:paraId="10DBF7E2" w14:textId="09929E98" w:rsidR="004D6926" w:rsidRDefault="004D6926" w:rsidP="00FB292D">
      <w:pPr>
        <w:autoSpaceDE w:val="0"/>
        <w:autoSpaceDN w:val="0"/>
        <w:adjustRightInd w:val="0"/>
        <w:spacing w:after="0" w:line="240" w:lineRule="auto"/>
      </w:pPr>
    </w:p>
    <w:p w14:paraId="531EB358" w14:textId="11684FFE" w:rsidR="004D6926" w:rsidRDefault="001B240B" w:rsidP="00FB292D">
      <w:pPr>
        <w:autoSpaceDE w:val="0"/>
        <w:autoSpaceDN w:val="0"/>
        <w:adjustRightInd w:val="0"/>
        <w:spacing w:after="0" w:line="240" w:lineRule="auto"/>
      </w:pPr>
      <w:r w:rsidRPr="00AC0A7E">
        <w:rPr>
          <w:rFonts w:ascii="Times New Roman" w:hAnsi="Times New Roman" w:cs="Times New Roman"/>
          <w:noProof/>
          <w:sz w:val="24"/>
          <w:szCs w:val="24"/>
          <w:lang w:val="en-US"/>
        </w:rPr>
        <mc:AlternateContent>
          <mc:Choice Requires="wps">
            <w:drawing>
              <wp:anchor distT="45720" distB="45720" distL="114300" distR="114300" simplePos="0" relativeHeight="248898048" behindDoc="1" locked="0" layoutInCell="1" allowOverlap="1" wp14:anchorId="6DA0B825" wp14:editId="1558C738">
                <wp:simplePos x="0" y="0"/>
                <wp:positionH relativeFrom="margin">
                  <wp:posOffset>525978</wp:posOffset>
                </wp:positionH>
                <wp:positionV relativeFrom="page">
                  <wp:posOffset>3775331</wp:posOffset>
                </wp:positionV>
                <wp:extent cx="2743200" cy="918210"/>
                <wp:effectExtent l="0" t="0" r="0" b="0"/>
                <wp:wrapTight wrapText="bothSides">
                  <wp:wrapPolygon edited="0">
                    <wp:start x="0" y="0"/>
                    <wp:lineTo x="0" y="21062"/>
                    <wp:lineTo x="21450" y="21062"/>
                    <wp:lineTo x="21450" y="0"/>
                    <wp:lineTo x="0" y="0"/>
                  </wp:wrapPolygon>
                </wp:wrapTight>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8210"/>
                        </a:xfrm>
                        <a:prstGeom prst="rect">
                          <a:avLst/>
                        </a:prstGeom>
                        <a:solidFill>
                          <a:srgbClr val="FFFFFF"/>
                        </a:solidFill>
                        <a:ln w="9525">
                          <a:noFill/>
                          <a:miter lim="800000"/>
                          <a:headEnd/>
                          <a:tailEnd/>
                        </a:ln>
                      </wps:spPr>
                      <wps:txbx>
                        <w:txbxContent>
                          <w:p w14:paraId="64CCE52A" w14:textId="756B074E" w:rsidR="00A56EB4" w:rsidRPr="00AC0A7E" w:rsidRDefault="00A56EB4" w:rsidP="00825E6A">
                            <w:pPr>
                              <w:pStyle w:val="Caption"/>
                            </w:pPr>
                            <w:r w:rsidRPr="00AC0A7E">
                              <w:rPr>
                                <w:b/>
                                <w:bCs/>
                              </w:rPr>
                              <w:t xml:space="preserve">Figure </w:t>
                            </w:r>
                            <w:r>
                              <w:rPr>
                                <w:b/>
                                <w:bCs/>
                              </w:rPr>
                              <w:t>47</w:t>
                            </w:r>
                            <w:r w:rsidRPr="00AC0A7E">
                              <w:rPr>
                                <w:b/>
                                <w:bCs/>
                              </w:rPr>
                              <w:t xml:space="preserve">. </w:t>
                            </w:r>
                            <w:r w:rsidRPr="00AC0A7E">
                              <w:t xml:space="preserve"> A pie chart of gender distribution as observed in </w:t>
                            </w:r>
                            <w:r>
                              <w:t>the South Youth Courts</w:t>
                            </w:r>
                            <w:r w:rsidRPr="00AC0A7E">
                              <w:t xml:space="preserve"> between January 2017 and December 2018, from a sample size of </w:t>
                            </w:r>
                            <w:r>
                              <w:t>236</w:t>
                            </w:r>
                            <w:r w:rsidRPr="00AC0A7E">
                              <w:t>. Slice sizes represent the proportion of attendees identifying as a specific gender.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A0B825" id="_x0000_s1108" type="#_x0000_t202" style="position:absolute;margin-left:41.4pt;margin-top:297.25pt;width:3in;height:72.3pt;z-index:-254418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" stroked="f">
                <v:textbox style="mso-fit-shape-to-text:t">
                  <w:txbxContent>
                    <w:p w14:paraId="64CCE52A" w14:textId="756B074E" w:rsidR="00A56EB4" w:rsidRPr="00AC0A7E" w:rsidRDefault="00A56EB4" w:rsidP="00825E6A">
                      <w:pPr>
                        <w:pStyle w:val="Caption"/>
                      </w:pPr>
                      <w:r w:rsidRPr="00AC0A7E">
                        <w:rPr>
                          <w:b/>
                          <w:bCs/>
                        </w:rPr>
                        <w:t xml:space="preserve">Figure </w:t>
                      </w:r>
                      <w:r>
                        <w:rPr>
                          <w:b/>
                          <w:bCs/>
                        </w:rPr>
                        <w:t>47</w:t>
                      </w:r>
                      <w:r w:rsidRPr="00AC0A7E">
                        <w:rPr>
                          <w:b/>
                          <w:bCs/>
                        </w:rPr>
                        <w:t xml:space="preserve">. </w:t>
                      </w:r>
                      <w:r w:rsidRPr="00AC0A7E">
                        <w:t xml:space="preserve"> A pie chart of gender distribution as observed in </w:t>
                      </w:r>
                      <w:r>
                        <w:t>the South Youth Courts</w:t>
                      </w:r>
                      <w:r w:rsidRPr="00AC0A7E">
                        <w:t xml:space="preserve"> between January 2017 and December 2018, from a sample size of </w:t>
                      </w:r>
                      <w:r>
                        <w:t>236</w:t>
                      </w:r>
                      <w:r w:rsidRPr="00AC0A7E">
                        <w:t>. Slice sizes represent the proportion of attendees identifying as a specific gender.</w:t>
                      </w:r>
                    </w:p>
                  </w:txbxContent>
                </v:textbox>
                <w10:wrap type="tight" anchorx="margin" anchory="page"/>
              </v:shape>
            </w:pict>
          </mc:Fallback>
        </mc:AlternateContent>
      </w:r>
      <w:r w:rsidRPr="00F2233B">
        <w:rPr>
          <w:noProof/>
          <w:lang w:val="en-US"/>
        </w:rPr>
        <mc:AlternateContent>
          <mc:Choice Requires="wps">
            <w:drawing>
              <wp:anchor distT="0" distB="0" distL="114300" distR="114300" simplePos="0" relativeHeight="249228800" behindDoc="1" locked="0" layoutInCell="1" allowOverlap="1" wp14:anchorId="0DC6941D" wp14:editId="09DF60E0">
                <wp:simplePos x="0" y="0"/>
                <wp:positionH relativeFrom="margin">
                  <wp:posOffset>3848925</wp:posOffset>
                </wp:positionH>
                <wp:positionV relativeFrom="page">
                  <wp:posOffset>3752603</wp:posOffset>
                </wp:positionV>
                <wp:extent cx="2717800" cy="660400"/>
                <wp:effectExtent l="0" t="0" r="6350" b="6350"/>
                <wp:wrapTight wrapText="bothSides">
                  <wp:wrapPolygon edited="0">
                    <wp:start x="0" y="0"/>
                    <wp:lineTo x="0" y="21185"/>
                    <wp:lineTo x="21499" y="21185"/>
                    <wp:lineTo x="21499" y="0"/>
                    <wp:lineTo x="0" y="0"/>
                  </wp:wrapPolygon>
                </wp:wrapTight>
                <wp:docPr id="491" name="Text Box 491"/>
                <wp:cNvGraphicFramePr/>
                <a:graphic xmlns:a="http://schemas.openxmlformats.org/drawingml/2006/main">
                  <a:graphicData uri="http://schemas.microsoft.com/office/word/2010/wordprocessingShape">
                    <wps:wsp>
                      <wps:cNvSpPr txBox="1"/>
                      <wps:spPr>
                        <a:xfrm>
                          <a:off x="0" y="0"/>
                          <a:ext cx="2717800" cy="660400"/>
                        </a:xfrm>
                        <a:prstGeom prst="rect">
                          <a:avLst/>
                        </a:prstGeom>
                        <a:solidFill>
                          <a:prstClr val="white"/>
                        </a:solidFill>
                        <a:ln>
                          <a:noFill/>
                        </a:ln>
                      </wps:spPr>
                      <wps:txbx>
                        <w:txbxContent>
                          <w:p w14:paraId="6F10048B" w14:textId="413C044F"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48</w:t>
                            </w:r>
                            <w:r w:rsidRPr="00B63B81">
                              <w:rPr>
                                <w:b/>
                                <w:bCs/>
                              </w:rPr>
                              <w:t>.</w:t>
                            </w:r>
                            <w:r>
                              <w:t xml:space="preserve"> A pie chart of age distribution as observed in the South Youth Courts between January 2017 and December 2018, from a sample size of 236.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941D" id="Text Box 491" o:spid="_x0000_s1109" type="#_x0000_t202" style="position:absolute;margin-left:303.05pt;margin-top:295.5pt;width:214pt;height:52pt;z-index:-254087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" stroked="f">
                <v:textbox inset="0,0,0,0">
                  <w:txbxContent>
                    <w:p w14:paraId="6F10048B" w14:textId="413C044F"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48</w:t>
                      </w:r>
                      <w:r w:rsidRPr="00B63B81">
                        <w:rPr>
                          <w:b/>
                          <w:bCs/>
                        </w:rPr>
                        <w:t>.</w:t>
                      </w:r>
                      <w:r>
                        <w:t xml:space="preserve"> A pie chart of age distribution as observed in the South Youth Courts between January 2017 and December 2018, from a sample size of 236. Slice size represents the relative proportion of respondents within an age category. </w:t>
                      </w:r>
                    </w:p>
                  </w:txbxContent>
                </v:textbox>
                <w10:wrap type="tight" anchorx="margin" anchory="page"/>
              </v:shape>
            </w:pict>
          </mc:Fallback>
        </mc:AlternateContent>
      </w:r>
    </w:p>
    <w:p w14:paraId="4F2C7959" w14:textId="1EF3FE1D" w:rsidR="004D6926" w:rsidRDefault="004D6926" w:rsidP="00FB292D">
      <w:pPr>
        <w:autoSpaceDE w:val="0"/>
        <w:autoSpaceDN w:val="0"/>
        <w:adjustRightInd w:val="0"/>
        <w:spacing w:after="0" w:line="240" w:lineRule="auto"/>
      </w:pPr>
    </w:p>
    <w:p w14:paraId="1DF98F05" w14:textId="77777777" w:rsidR="004D6926" w:rsidRDefault="004D6926" w:rsidP="00FB292D">
      <w:pPr>
        <w:autoSpaceDE w:val="0"/>
        <w:autoSpaceDN w:val="0"/>
        <w:adjustRightInd w:val="0"/>
        <w:spacing w:after="0" w:line="240" w:lineRule="auto"/>
      </w:pPr>
    </w:p>
    <w:p w14:paraId="686887B5" w14:textId="0785D083" w:rsidR="004D6926" w:rsidRDefault="004D6926" w:rsidP="00FB292D">
      <w:pPr>
        <w:autoSpaceDE w:val="0"/>
        <w:autoSpaceDN w:val="0"/>
        <w:adjustRightInd w:val="0"/>
        <w:spacing w:after="0" w:line="240" w:lineRule="auto"/>
      </w:pPr>
    </w:p>
    <w:p w14:paraId="487E3452" w14:textId="68A6AE42" w:rsidR="004D6926" w:rsidRDefault="004D6926" w:rsidP="00FB292D">
      <w:pPr>
        <w:autoSpaceDE w:val="0"/>
        <w:autoSpaceDN w:val="0"/>
        <w:adjustRightInd w:val="0"/>
        <w:spacing w:after="0" w:line="240" w:lineRule="auto"/>
      </w:pPr>
    </w:p>
    <w:p w14:paraId="0F869919" w14:textId="5D78123C" w:rsidR="004D6926" w:rsidRDefault="001B240B" w:rsidP="00FB292D">
      <w:pPr>
        <w:autoSpaceDE w:val="0"/>
        <w:autoSpaceDN w:val="0"/>
        <w:adjustRightInd w:val="0"/>
        <w:spacing w:after="0" w:line="240" w:lineRule="auto"/>
      </w:pPr>
      <w:r>
        <w:rPr>
          <w:noProof/>
          <w:lang w:val="en-US"/>
        </w:rPr>
        <mc:AlternateContent>
          <mc:Choice Requires="wps">
            <w:drawing>
              <wp:anchor distT="0" distB="0" distL="114300" distR="114300" simplePos="0" relativeHeight="249542144" behindDoc="1" locked="0" layoutInCell="1" allowOverlap="1" wp14:anchorId="4822B9A9" wp14:editId="59942752">
                <wp:simplePos x="0" y="0"/>
                <wp:positionH relativeFrom="margin">
                  <wp:posOffset>6350</wp:posOffset>
                </wp:positionH>
                <wp:positionV relativeFrom="margin">
                  <wp:posOffset>8158554</wp:posOffset>
                </wp:positionV>
                <wp:extent cx="6862445" cy="381000"/>
                <wp:effectExtent l="0" t="0" r="0" b="0"/>
                <wp:wrapTight wrapText="bothSides">
                  <wp:wrapPolygon edited="0">
                    <wp:start x="0" y="0"/>
                    <wp:lineTo x="0" y="20520"/>
                    <wp:lineTo x="21526" y="20520"/>
                    <wp:lineTo x="21526" y="0"/>
                    <wp:lineTo x="0" y="0"/>
                  </wp:wrapPolygon>
                </wp:wrapTight>
                <wp:docPr id="499" name="Text Box 499"/>
                <wp:cNvGraphicFramePr/>
                <a:graphic xmlns:a="http://schemas.openxmlformats.org/drawingml/2006/main">
                  <a:graphicData uri="http://schemas.microsoft.com/office/word/2010/wordprocessingShape">
                    <wps:wsp>
                      <wps:cNvSpPr txBox="1"/>
                      <wps:spPr>
                        <a:xfrm>
                          <a:off x="0" y="0"/>
                          <a:ext cx="6862445" cy="381000"/>
                        </a:xfrm>
                        <a:prstGeom prst="rect">
                          <a:avLst/>
                        </a:prstGeom>
                        <a:solidFill>
                          <a:prstClr val="white"/>
                        </a:solidFill>
                        <a:ln>
                          <a:noFill/>
                        </a:ln>
                      </wps:spPr>
                      <wps:txbx>
                        <w:txbxContent>
                          <w:p w14:paraId="26B4B184" w14:textId="387305DA" w:rsidR="00A56EB4" w:rsidRPr="00F2233B" w:rsidRDefault="00A56EB4" w:rsidP="00F2233B">
                            <w:pPr>
                              <w:pStyle w:val="Caption"/>
                            </w:pPr>
                            <w:r w:rsidRPr="00B63B81">
                              <w:rPr>
                                <w:b/>
                                <w:bCs/>
                              </w:rPr>
                              <w:t xml:space="preserve">Figure </w:t>
                            </w:r>
                            <w:r>
                              <w:rPr>
                                <w:b/>
                                <w:bCs/>
                              </w:rPr>
                              <w:t>49</w:t>
                            </w:r>
                            <w:r>
                              <w:t>. A population pyramid representing the frequency (x-axis) of attendee gender (split), stratified by age (y-axis), at the South Youth Courts between January 2017 and December 2018, from a sample size of 233.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B9A9" id="Text Box 499" o:spid="_x0000_s1110" type="#_x0000_t202" style="position:absolute;margin-left:.5pt;margin-top:642.4pt;width:540.35pt;height:30pt;z-index:-253774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" stroked="f">
                <v:textbox inset="0,0,0,0">
                  <w:txbxContent>
                    <w:p w14:paraId="26B4B184" w14:textId="387305DA" w:rsidR="00A56EB4" w:rsidRPr="00F2233B" w:rsidRDefault="00A56EB4" w:rsidP="00F2233B">
                      <w:pPr>
                        <w:pStyle w:val="Caption"/>
                      </w:pPr>
                      <w:r w:rsidRPr="00B63B81">
                        <w:rPr>
                          <w:b/>
                          <w:bCs/>
                        </w:rPr>
                        <w:t xml:space="preserve">Figure </w:t>
                      </w:r>
                      <w:r>
                        <w:rPr>
                          <w:b/>
                          <w:bCs/>
                        </w:rPr>
                        <w:t>49</w:t>
                      </w:r>
                      <w:r>
                        <w:t>. A population pyramid representing the frequency (x-axis) of attendee gender (split), stratified by age (y-axis), at the South Youth Courts between January 2017 and December 2018, from a sample size of 233.</w:t>
                      </w:r>
                    </w:p>
                  </w:txbxContent>
                </v:textbox>
                <w10:wrap type="tight" anchorx="margin" anchory="margin"/>
              </v:shape>
            </w:pict>
          </mc:Fallback>
        </mc:AlternateContent>
      </w:r>
      <w:r>
        <w:rPr>
          <w:rFonts w:ascii="Times New Roman" w:hAnsi="Times New Roman" w:cs="Times New Roman"/>
          <w:noProof/>
          <w:sz w:val="24"/>
          <w:szCs w:val="24"/>
          <w:lang w:val="en-US"/>
        </w:rPr>
        <w:drawing>
          <wp:anchor distT="0" distB="0" distL="114300" distR="114300" simplePos="0" relativeHeight="254130688" behindDoc="1" locked="0" layoutInCell="1" allowOverlap="1" wp14:anchorId="48CBDEFF" wp14:editId="23B56C9A">
            <wp:simplePos x="0" y="0"/>
            <wp:positionH relativeFrom="margin">
              <wp:posOffset>11430</wp:posOffset>
            </wp:positionH>
            <wp:positionV relativeFrom="page">
              <wp:posOffset>4706183</wp:posOffset>
            </wp:positionV>
            <wp:extent cx="6849745" cy="4025900"/>
            <wp:effectExtent l="0" t="0" r="8255" b="0"/>
            <wp:wrapTight wrapText="bothSides">
              <wp:wrapPolygon edited="0">
                <wp:start x="0" y="0"/>
                <wp:lineTo x="0" y="21464"/>
                <wp:lineTo x="21566" y="21464"/>
                <wp:lineTo x="21566"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49745" cy="402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39AD5" w14:textId="596EE630" w:rsidR="00FB292D" w:rsidRDefault="00884F21" w:rsidP="00FB292D">
      <w:pPr>
        <w:autoSpaceDE w:val="0"/>
        <w:autoSpaceDN w:val="0"/>
        <w:adjustRightInd w:val="0"/>
        <w:spacing w:after="0" w:line="240" w:lineRule="auto"/>
        <w:rPr>
          <w:rFonts w:ascii="Times New Roman" w:hAnsi="Times New Roman" w:cs="Times New Roman"/>
          <w:sz w:val="24"/>
          <w:szCs w:val="24"/>
        </w:rPr>
      </w:pPr>
      <w:r w:rsidRPr="00926579">
        <w:rPr>
          <w:noProof/>
          <w:lang w:val="en-US"/>
        </w:rPr>
        <w:lastRenderedPageBreak/>
        <mc:AlternateContent>
          <mc:Choice Requires="wps">
            <w:drawing>
              <wp:anchor distT="0" distB="0" distL="114300" distR="114300" simplePos="0" relativeHeight="249894400" behindDoc="1" locked="0" layoutInCell="1" allowOverlap="1" wp14:anchorId="7ABEAC2C" wp14:editId="0214146F">
                <wp:simplePos x="0" y="0"/>
                <wp:positionH relativeFrom="margin">
                  <wp:posOffset>3530600</wp:posOffset>
                </wp:positionH>
                <wp:positionV relativeFrom="page">
                  <wp:posOffset>2257136</wp:posOffset>
                </wp:positionV>
                <wp:extent cx="3162300" cy="825500"/>
                <wp:effectExtent l="0" t="0" r="0" b="0"/>
                <wp:wrapTight wrapText="bothSides">
                  <wp:wrapPolygon edited="0">
                    <wp:start x="0" y="0"/>
                    <wp:lineTo x="0" y="20935"/>
                    <wp:lineTo x="21470" y="20935"/>
                    <wp:lineTo x="21470" y="0"/>
                    <wp:lineTo x="0" y="0"/>
                  </wp:wrapPolygon>
                </wp:wrapTight>
                <wp:docPr id="512" name="Text Box 512"/>
                <wp:cNvGraphicFramePr/>
                <a:graphic xmlns:a="http://schemas.openxmlformats.org/drawingml/2006/main">
                  <a:graphicData uri="http://schemas.microsoft.com/office/word/2010/wordprocessingShape">
                    <wps:wsp>
                      <wps:cNvSpPr txBox="1"/>
                      <wps:spPr>
                        <a:xfrm>
                          <a:off x="0" y="0"/>
                          <a:ext cx="3162300" cy="825500"/>
                        </a:xfrm>
                        <a:prstGeom prst="rect">
                          <a:avLst/>
                        </a:prstGeom>
                        <a:solidFill>
                          <a:prstClr val="white"/>
                        </a:solidFill>
                        <a:ln>
                          <a:noFill/>
                        </a:ln>
                      </wps:spPr>
                      <wps:txbx>
                        <w:txbxContent>
                          <w:p w14:paraId="60424868" w14:textId="0CD95718" w:rsidR="00A56EB4" w:rsidRPr="00701EC7" w:rsidRDefault="00A56EB4" w:rsidP="00926579">
                            <w:pPr>
                              <w:pStyle w:val="Caption"/>
                              <w:rPr>
                                <w:rFonts w:ascii="Times New Roman" w:hAnsi="Times New Roman" w:cs="Times New Roman"/>
                                <w:noProof/>
                                <w:sz w:val="24"/>
                                <w:szCs w:val="24"/>
                              </w:rPr>
                            </w:pPr>
                            <w:r w:rsidRPr="00B63B81">
                              <w:rPr>
                                <w:b/>
                                <w:bCs/>
                              </w:rPr>
                              <w:t>Figure</w:t>
                            </w:r>
                            <w:r>
                              <w:rPr>
                                <w:b/>
                                <w:bCs/>
                              </w:rPr>
                              <w:t xml:space="preserve"> 50</w:t>
                            </w:r>
                            <w:r w:rsidRPr="00B63B81">
                              <w:rPr>
                                <w:b/>
                                <w:bCs/>
                              </w:rPr>
                              <w:t>.</w:t>
                            </w:r>
                            <w:r>
                              <w:t xml:space="preserve"> A pie chart of minority status as observed in the South Youth Courts between January 2017 and December 2018, from a sample size of 240. Slice size represents the relative proportion of respondents identifying as part of a minority group. </w:t>
                            </w:r>
                          </w:p>
                          <w:p w14:paraId="69E0A45B" w14:textId="77777777" w:rsidR="00A56EB4" w:rsidRPr="00572B34" w:rsidRDefault="00A56EB4" w:rsidP="00926579">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AC2C" id="Text Box 512" o:spid="_x0000_s1111" type="#_x0000_t202" style="position:absolute;margin-left:278pt;margin-top:177.75pt;width:249pt;height:65pt;z-index:-253422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ibMgIAAGwEAAAOAAAAZHJzL2Uyb0RvYy54bWysVFFv2yAQfp+0/4B4X5ykStd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" stroked="f">
                <v:textbox inset="0,0,0,0">
                  <w:txbxContent>
                    <w:p w14:paraId="60424868" w14:textId="0CD95718" w:rsidR="00A56EB4" w:rsidRPr="00701EC7" w:rsidRDefault="00A56EB4" w:rsidP="00926579">
                      <w:pPr>
                        <w:pStyle w:val="Caption"/>
                        <w:rPr>
                          <w:rFonts w:ascii="Times New Roman" w:hAnsi="Times New Roman" w:cs="Times New Roman"/>
                          <w:noProof/>
                          <w:sz w:val="24"/>
                          <w:szCs w:val="24"/>
                        </w:rPr>
                      </w:pPr>
                      <w:r w:rsidRPr="00B63B81">
                        <w:rPr>
                          <w:b/>
                          <w:bCs/>
                        </w:rPr>
                        <w:t>Figure</w:t>
                      </w:r>
                      <w:r>
                        <w:rPr>
                          <w:b/>
                          <w:bCs/>
                        </w:rPr>
                        <w:t xml:space="preserve"> 50</w:t>
                      </w:r>
                      <w:r w:rsidRPr="00B63B81">
                        <w:rPr>
                          <w:b/>
                          <w:bCs/>
                        </w:rPr>
                        <w:t>.</w:t>
                      </w:r>
                      <w:r>
                        <w:t xml:space="preserve"> A pie chart of minority status as observed in the South Youth Courts between January 2017 and December 2018, from a sample size of 240. Slice size represents the relative proportion of respondents identifying as part of a minority group. </w:t>
                      </w:r>
                    </w:p>
                    <w:p w14:paraId="69E0A45B" w14:textId="77777777" w:rsidR="00A56EB4" w:rsidRPr="00572B34" w:rsidRDefault="00A56EB4" w:rsidP="00926579">
                      <w:pPr>
                        <w:pStyle w:val="Caption"/>
                        <w:rPr>
                          <w:rFonts w:ascii="Times New Roman" w:hAnsi="Times New Roman" w:cs="Times New Roman"/>
                          <w:noProof/>
                          <w:sz w:val="24"/>
                          <w:szCs w:val="24"/>
                        </w:rPr>
                      </w:pPr>
                    </w:p>
                  </w:txbxContent>
                </v:textbox>
                <w10:wrap type="tight" anchorx="margin" anchory="page"/>
              </v:shape>
            </w:pict>
          </mc:Fallback>
        </mc:AlternateContent>
      </w:r>
      <w:r w:rsidR="00FB292D">
        <w:t>It was observed that in defendants receiving services from the Elizabeth Fry Society of Calgary in</w:t>
      </w:r>
      <w:r w:rsidR="004D2626">
        <w:t xml:space="preserve"> the</w:t>
      </w:r>
      <w:r w:rsidR="00FB292D">
        <w:t xml:space="preserve"> </w:t>
      </w:r>
      <w:r w:rsidR="008D12A5">
        <w:t>South Youth Court</w:t>
      </w:r>
      <w:r w:rsidR="004D2626">
        <w:t>s</w:t>
      </w:r>
      <w:r w:rsidR="00FB292D">
        <w:t xml:space="preserve">, distribution was heavily concentrated in older age categories, and in males. This is reflected in the population pyramid (Figure </w:t>
      </w:r>
      <w:r w:rsidR="0046603E">
        <w:t>49</w:t>
      </w:r>
      <w:r w:rsidR="00FB292D">
        <w:t xml:space="preserve">), which is demonstrably top-heavy, suggesting a trend towards older age groups, and left-leaning, suggesting substantial representation of male defendants. More than 3 in 4 (75.85%) defendants identified as male (Figure </w:t>
      </w:r>
      <w:r w:rsidR="0046603E">
        <w:t>47</w:t>
      </w:r>
      <w:r w:rsidR="00FB292D">
        <w:t xml:space="preserve">), while 64.41% reported being 16 or older (Figure </w:t>
      </w:r>
      <w:r w:rsidR="00FC2BDD">
        <w:t>48</w:t>
      </w:r>
      <w:r w:rsidR="00FB292D">
        <w:t xml:space="preserve">). Boys aged 16 and 17 represent the most common demographic supported by the organization, making up 25.75% and 24.46% of all defendants, with a prevalence 2.31X and 8.14X that of their age-matched female peers, respectively (Figure </w:t>
      </w:r>
      <w:r w:rsidR="00FC2BDD">
        <w:t>49</w:t>
      </w:r>
      <w:r w:rsidR="00FB292D">
        <w:t xml:space="preserve">). </w:t>
      </w:r>
      <w:r w:rsidR="00783210">
        <w:t>As a trend, p</w:t>
      </w:r>
      <w:r w:rsidR="00FB292D">
        <w:t>rogressively reduced proportions are observed with decreasing age</w:t>
      </w:r>
      <w:r w:rsidR="00783210">
        <w:t xml:space="preserve"> </w:t>
      </w:r>
      <w:r w:rsidR="00FB292D">
        <w:t xml:space="preserve">(Figure </w:t>
      </w:r>
      <w:r w:rsidR="00FC2BDD">
        <w:t>49</w:t>
      </w:r>
      <w:r w:rsidR="00FB292D">
        <w:t>.</w:t>
      </w:r>
    </w:p>
    <w:p w14:paraId="2DC4526D" w14:textId="497C3C54" w:rsidR="00380E30" w:rsidRDefault="00884F21" w:rsidP="00380E3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4166528" behindDoc="1" locked="0" layoutInCell="1" allowOverlap="1" wp14:anchorId="16741B4D" wp14:editId="57609A8C">
            <wp:simplePos x="0" y="0"/>
            <wp:positionH relativeFrom="column">
              <wp:posOffset>56573</wp:posOffset>
            </wp:positionH>
            <wp:positionV relativeFrom="page">
              <wp:posOffset>2206172</wp:posOffset>
            </wp:positionV>
            <wp:extent cx="3390900" cy="2514600"/>
            <wp:effectExtent l="0" t="0" r="0" b="0"/>
            <wp:wrapTight wrapText="bothSides">
              <wp:wrapPolygon edited="0">
                <wp:start x="0" y="0"/>
                <wp:lineTo x="0" y="21436"/>
                <wp:lineTo x="21479" y="21436"/>
                <wp:lineTo x="21479"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1">
                      <a:extLst>
                        <a:ext uri="{28A0092B-C50C-407E-A947-70E740481C1C}">
                          <a14:useLocalDpi xmlns:a14="http://schemas.microsoft.com/office/drawing/2010/main" val="0"/>
                        </a:ext>
                      </a:extLst>
                    </a:blip>
                    <a:srcRect l="26818" t="19251" r="26024" b="21252"/>
                    <a:stretch/>
                  </pic:blipFill>
                  <pic:spPr bwMode="auto">
                    <a:xfrm>
                      <a:off x="0" y="0"/>
                      <a:ext cx="339090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D02FF" w14:textId="705A31A1" w:rsidR="00E22A21" w:rsidRDefault="00E22A21" w:rsidP="00E22A21">
      <w:pPr>
        <w:autoSpaceDE w:val="0"/>
        <w:autoSpaceDN w:val="0"/>
        <w:adjustRightInd w:val="0"/>
        <w:spacing w:after="0" w:line="240" w:lineRule="auto"/>
        <w:rPr>
          <w:rFonts w:ascii="Times New Roman" w:hAnsi="Times New Roman" w:cs="Times New Roman"/>
          <w:sz w:val="24"/>
          <w:szCs w:val="24"/>
        </w:rPr>
      </w:pPr>
    </w:p>
    <w:p w14:paraId="0C48E5C1" w14:textId="0E0D0A20" w:rsidR="00E22A21" w:rsidRDefault="00884F21" w:rsidP="00E22A21">
      <w:pPr>
        <w:autoSpaceDE w:val="0"/>
        <w:autoSpaceDN w:val="0"/>
        <w:adjustRightInd w:val="0"/>
        <w:spacing w:after="0" w:line="24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0222080" behindDoc="1" locked="0" layoutInCell="1" allowOverlap="1" wp14:anchorId="13ADD878" wp14:editId="3015DDDB">
                <wp:simplePos x="0" y="0"/>
                <wp:positionH relativeFrom="margin">
                  <wp:posOffset>0</wp:posOffset>
                </wp:positionH>
                <wp:positionV relativeFrom="paragraph">
                  <wp:posOffset>5231559</wp:posOffset>
                </wp:positionV>
                <wp:extent cx="6858000" cy="635"/>
                <wp:effectExtent l="0" t="0" r="0" b="8255"/>
                <wp:wrapTight wrapText="bothSides">
                  <wp:wrapPolygon edited="0">
                    <wp:start x="0" y="0"/>
                    <wp:lineTo x="0" y="21156"/>
                    <wp:lineTo x="21540" y="21156"/>
                    <wp:lineTo x="21540" y="0"/>
                    <wp:lineTo x="0" y="0"/>
                  </wp:wrapPolygon>
                </wp:wrapTight>
                <wp:docPr id="520" name="Text Box 520"/>
                <wp:cNvGraphicFramePr/>
                <a:graphic xmlns:a="http://schemas.openxmlformats.org/drawingml/2006/main">
                  <a:graphicData uri="http://schemas.microsoft.com/office/word/2010/wordprocessingShape">
                    <wps:wsp>
                      <wps:cNvSpPr txBox="1"/>
                      <wps:spPr>
                        <a:xfrm>
                          <a:off x="0" y="0"/>
                          <a:ext cx="6858000" cy="635"/>
                        </a:xfrm>
                        <a:prstGeom prst="rect">
                          <a:avLst/>
                        </a:prstGeom>
                        <a:solidFill>
                          <a:prstClr val="white"/>
                        </a:solidFill>
                        <a:ln>
                          <a:noFill/>
                        </a:ln>
                      </wps:spPr>
                      <wps:txbx>
                        <w:txbxContent>
                          <w:p w14:paraId="0B966375" w14:textId="1F30869E" w:rsidR="00A56EB4" w:rsidRPr="00E25FCA" w:rsidRDefault="00A56EB4" w:rsidP="009D0478">
                            <w:pPr>
                              <w:pStyle w:val="Caption"/>
                            </w:pPr>
                            <w:r w:rsidRPr="00B63B81">
                              <w:rPr>
                                <w:b/>
                                <w:bCs/>
                              </w:rPr>
                              <w:t xml:space="preserve">Figure </w:t>
                            </w:r>
                            <w:r>
                              <w:rPr>
                                <w:b/>
                                <w:bCs/>
                              </w:rPr>
                              <w:t>51</w:t>
                            </w:r>
                            <w:r w:rsidRPr="00B63B81">
                              <w:rPr>
                                <w:b/>
                                <w:bCs/>
                              </w:rPr>
                              <w:t>.</w:t>
                            </w:r>
                            <w:r>
                              <w:t xml:space="preserve"> A population pyramid representing frequency (x-axis) of attendee gender (split), stratified by age (y-axis), and grouped by minority status at the South Youth Courts between January 2017 and December 2018, from a sample size of 232 (neither: 213, Indigenous: 15, newcomers: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ADD878" id="Text Box 520" o:spid="_x0000_s1112" type="#_x0000_t202" style="position:absolute;margin-left:0;margin-top:411.95pt;width:540pt;height:.05pt;z-index:-253094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" stroked="f">
                <v:textbox style="mso-fit-shape-to-text:t" inset="0,0,0,0">
                  <w:txbxContent>
                    <w:p w14:paraId="0B966375" w14:textId="1F30869E" w:rsidR="00A56EB4" w:rsidRPr="00E25FCA" w:rsidRDefault="00A56EB4" w:rsidP="009D0478">
                      <w:pPr>
                        <w:pStyle w:val="Caption"/>
                      </w:pPr>
                      <w:r w:rsidRPr="00B63B81">
                        <w:rPr>
                          <w:b/>
                          <w:bCs/>
                        </w:rPr>
                        <w:t xml:space="preserve">Figure </w:t>
                      </w:r>
                      <w:r>
                        <w:rPr>
                          <w:b/>
                          <w:bCs/>
                        </w:rPr>
                        <w:t>51</w:t>
                      </w:r>
                      <w:r w:rsidRPr="00B63B81">
                        <w:rPr>
                          <w:b/>
                          <w:bCs/>
                        </w:rPr>
                        <w:t>.</w:t>
                      </w:r>
                      <w:r>
                        <w:t xml:space="preserve"> A population pyramid representing frequency (x-axis) of attendee gender (split), stratified by age (y-axis), and grouped by minority status at the South Youth Courts between January 2017 and December 2018, from a sample size of 232 (neither: 213, Indigenous: 15, newcomers: 4). </w:t>
                      </w:r>
                    </w:p>
                  </w:txbxContent>
                </v:textbox>
                <w10:wrap type="tight" anchorx="margin"/>
              </v:shape>
            </w:pict>
          </mc:Fallback>
        </mc:AlternateContent>
      </w:r>
      <w:r>
        <w:rPr>
          <w:rFonts w:ascii="Times New Roman" w:hAnsi="Times New Roman" w:cs="Times New Roman"/>
          <w:noProof/>
          <w:sz w:val="24"/>
          <w:szCs w:val="24"/>
          <w:lang w:val="en-US"/>
        </w:rPr>
        <w:drawing>
          <wp:anchor distT="0" distB="0" distL="114300" distR="114300" simplePos="0" relativeHeight="254208512" behindDoc="1" locked="0" layoutInCell="1" allowOverlap="1" wp14:anchorId="3B40ED13" wp14:editId="51ECE1BD">
            <wp:simplePos x="0" y="0"/>
            <wp:positionH relativeFrom="margin">
              <wp:posOffset>3316</wp:posOffset>
            </wp:positionH>
            <wp:positionV relativeFrom="page">
              <wp:posOffset>4745355</wp:posOffset>
            </wp:positionV>
            <wp:extent cx="6844665" cy="4025900"/>
            <wp:effectExtent l="0" t="0" r="0" b="0"/>
            <wp:wrapTight wrapText="bothSides">
              <wp:wrapPolygon edited="0">
                <wp:start x="0" y="0"/>
                <wp:lineTo x="0" y="21464"/>
                <wp:lineTo x="21522" y="21464"/>
                <wp:lineTo x="21522"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44665" cy="402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ADAB5" w14:textId="0AE47685" w:rsidR="008464B1" w:rsidRPr="00F346F9" w:rsidRDefault="00763E4C" w:rsidP="00F346F9">
      <w:pPr>
        <w:pStyle w:val="NoSpacing"/>
      </w:pPr>
      <w:r>
        <w:rPr>
          <w:noProof/>
          <w:lang w:val="en-US"/>
        </w:rPr>
        <w:lastRenderedPageBreak/>
        <mc:AlternateContent>
          <mc:Choice Requires="wps">
            <w:drawing>
              <wp:anchor distT="0" distB="0" distL="114300" distR="114300" simplePos="0" relativeHeight="251954688" behindDoc="1" locked="0" layoutInCell="1" allowOverlap="1" wp14:anchorId="0B968689" wp14:editId="079CFEEF">
                <wp:simplePos x="0" y="0"/>
                <wp:positionH relativeFrom="margin">
                  <wp:posOffset>4648695</wp:posOffset>
                </wp:positionH>
                <wp:positionV relativeFrom="page">
                  <wp:posOffset>5749801</wp:posOffset>
                </wp:positionV>
                <wp:extent cx="2019300" cy="1460500"/>
                <wp:effectExtent l="0" t="0" r="0" b="6350"/>
                <wp:wrapTight wrapText="bothSides">
                  <wp:wrapPolygon edited="0">
                    <wp:start x="0" y="0"/>
                    <wp:lineTo x="0" y="21412"/>
                    <wp:lineTo x="21396" y="21412"/>
                    <wp:lineTo x="21396" y="0"/>
                    <wp:lineTo x="0" y="0"/>
                  </wp:wrapPolygon>
                </wp:wrapTight>
                <wp:docPr id="503" name="Text Box 503"/>
                <wp:cNvGraphicFramePr/>
                <a:graphic xmlns:a="http://schemas.openxmlformats.org/drawingml/2006/main">
                  <a:graphicData uri="http://schemas.microsoft.com/office/word/2010/wordprocessingShape">
                    <wps:wsp>
                      <wps:cNvSpPr txBox="1"/>
                      <wps:spPr>
                        <a:xfrm>
                          <a:off x="0" y="0"/>
                          <a:ext cx="2019300" cy="1460500"/>
                        </a:xfrm>
                        <a:prstGeom prst="rect">
                          <a:avLst/>
                        </a:prstGeom>
                        <a:solidFill>
                          <a:prstClr val="white"/>
                        </a:solidFill>
                        <a:ln>
                          <a:noFill/>
                        </a:ln>
                      </wps:spPr>
                      <wps:txbx>
                        <w:txbxContent>
                          <w:p w14:paraId="37753382" w14:textId="612682CB" w:rsidR="00A56EB4" w:rsidRPr="00AC180B" w:rsidRDefault="00A56EB4" w:rsidP="00C70169">
                            <w:pPr>
                              <w:pStyle w:val="Caption"/>
                              <w:rPr>
                                <w:rFonts w:ascii="Times New Roman" w:hAnsi="Times New Roman" w:cs="Times New Roman"/>
                                <w:noProof/>
                                <w:color w:val="auto"/>
                                <w:sz w:val="24"/>
                                <w:szCs w:val="24"/>
                              </w:rPr>
                            </w:pPr>
                            <w:r w:rsidRPr="00AC180B">
                              <w:rPr>
                                <w:b/>
                                <w:bCs/>
                                <w:color w:val="auto"/>
                              </w:rPr>
                              <w:t xml:space="preserve">Figure </w:t>
                            </w:r>
                            <w:r>
                              <w:rPr>
                                <w:b/>
                                <w:bCs/>
                                <w:color w:val="auto"/>
                              </w:rPr>
                              <w:t>53</w:t>
                            </w:r>
                            <w:r w:rsidRPr="00AC180B">
                              <w:rPr>
                                <w:b/>
                                <w:bCs/>
                                <w:color w:val="auto"/>
                              </w:rPr>
                              <w:t>.</w:t>
                            </w:r>
                            <w:r w:rsidRPr="00AC180B">
                              <w:rPr>
                                <w:color w:val="auto"/>
                              </w:rPr>
                              <w:t xml:space="preserve"> Pie charts representing the presence of support in court by gender as observed in </w:t>
                            </w:r>
                            <w:r>
                              <w:rPr>
                                <w:color w:val="auto"/>
                              </w:rPr>
                              <w:t>the South Youth Courts</w:t>
                            </w:r>
                            <w:r w:rsidRPr="00AC180B">
                              <w:rPr>
                                <w:color w:val="auto"/>
                              </w:rPr>
                              <w:t xml:space="preserve"> between January 2017 and December 201</w:t>
                            </w:r>
                            <w:r>
                              <w:rPr>
                                <w:color w:val="auto"/>
                              </w:rPr>
                              <w:t>8</w:t>
                            </w:r>
                            <w:r w:rsidRPr="00AC180B">
                              <w:rPr>
                                <w:color w:val="auto"/>
                              </w:rPr>
                              <w:t xml:space="preserve">, from a sample size of 136 (79 male, and 57 female attendees). Slice size represents the relative proportion of respondents reporting the presence or absence of supports on the day of data acquisition. </w:t>
                            </w:r>
                          </w:p>
                          <w:p w14:paraId="2645CF42" w14:textId="77777777" w:rsidR="00A56EB4" w:rsidRPr="00E25FCA" w:rsidRDefault="00A56EB4" w:rsidP="00C7016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8689" id="Text Box 503" o:spid="_x0000_s1113" type="#_x0000_t202" style="position:absolute;margin-left:366.05pt;margin-top:452.75pt;width:159pt;height:115pt;z-index:-25136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" stroked="f">
                <v:textbox inset="0,0,0,0">
                  <w:txbxContent>
                    <w:p w14:paraId="37753382" w14:textId="612682CB" w:rsidR="00A56EB4" w:rsidRPr="00AC180B" w:rsidRDefault="00A56EB4" w:rsidP="00C70169">
                      <w:pPr>
                        <w:pStyle w:val="Caption"/>
                        <w:rPr>
                          <w:rFonts w:ascii="Times New Roman" w:hAnsi="Times New Roman" w:cs="Times New Roman"/>
                          <w:noProof/>
                          <w:color w:val="auto"/>
                          <w:sz w:val="24"/>
                          <w:szCs w:val="24"/>
                        </w:rPr>
                      </w:pPr>
                      <w:r w:rsidRPr="00AC180B">
                        <w:rPr>
                          <w:b/>
                          <w:bCs/>
                          <w:color w:val="auto"/>
                        </w:rPr>
                        <w:t xml:space="preserve">Figure </w:t>
                      </w:r>
                      <w:r>
                        <w:rPr>
                          <w:b/>
                          <w:bCs/>
                          <w:color w:val="auto"/>
                        </w:rPr>
                        <w:t>53</w:t>
                      </w:r>
                      <w:r w:rsidRPr="00AC180B">
                        <w:rPr>
                          <w:b/>
                          <w:bCs/>
                          <w:color w:val="auto"/>
                        </w:rPr>
                        <w:t>.</w:t>
                      </w:r>
                      <w:r w:rsidRPr="00AC180B">
                        <w:rPr>
                          <w:color w:val="auto"/>
                        </w:rPr>
                        <w:t xml:space="preserve"> Pie charts representing the presence of support in court by gender as observed in </w:t>
                      </w:r>
                      <w:r>
                        <w:rPr>
                          <w:color w:val="auto"/>
                        </w:rPr>
                        <w:t>the South Youth Courts</w:t>
                      </w:r>
                      <w:r w:rsidRPr="00AC180B">
                        <w:rPr>
                          <w:color w:val="auto"/>
                        </w:rPr>
                        <w:t xml:space="preserve"> between January 2017 and December 201</w:t>
                      </w:r>
                      <w:r>
                        <w:rPr>
                          <w:color w:val="auto"/>
                        </w:rPr>
                        <w:t>8</w:t>
                      </w:r>
                      <w:r w:rsidRPr="00AC180B">
                        <w:rPr>
                          <w:color w:val="auto"/>
                        </w:rPr>
                        <w:t xml:space="preserve">, from a sample size of 136 (79 male, and 57 female attendees). Slice size represents the relative proportion of respondents reporting the presence or absence of supports on the day of data acquisition. </w:t>
                      </w:r>
                    </w:p>
                    <w:p w14:paraId="2645CF42" w14:textId="77777777" w:rsidR="00A56EB4" w:rsidRPr="00E25FCA" w:rsidRDefault="00A56EB4" w:rsidP="00C70169">
                      <w:pPr>
                        <w:pStyle w:val="Caption"/>
                      </w:pPr>
                    </w:p>
                  </w:txbxContent>
                </v:textbox>
                <w10:wrap type="tight" anchorx="margin" anchory="page"/>
              </v:shape>
            </w:pict>
          </mc:Fallback>
        </mc:AlternateContent>
      </w:r>
      <w:r>
        <w:rPr>
          <w:noProof/>
          <w:lang w:val="en-US"/>
        </w:rPr>
        <w:drawing>
          <wp:anchor distT="0" distB="0" distL="114300" distR="114300" simplePos="0" relativeHeight="254291456" behindDoc="1" locked="0" layoutInCell="1" allowOverlap="1" wp14:anchorId="5B9F57D7" wp14:editId="2CECC030">
            <wp:simplePos x="0" y="0"/>
            <wp:positionH relativeFrom="margin">
              <wp:posOffset>1905</wp:posOffset>
            </wp:positionH>
            <wp:positionV relativeFrom="page">
              <wp:posOffset>5783308</wp:posOffset>
            </wp:positionV>
            <wp:extent cx="4470400" cy="2616835"/>
            <wp:effectExtent l="0" t="0" r="6350" b="0"/>
            <wp:wrapTight wrapText="bothSides">
              <wp:wrapPolygon edited="0">
                <wp:start x="0" y="0"/>
                <wp:lineTo x="0" y="21385"/>
                <wp:lineTo x="21539" y="21385"/>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8633" t="13006" r="9862" b="11121"/>
                    <a:stretch/>
                  </pic:blipFill>
                  <pic:spPr bwMode="auto">
                    <a:xfrm>
                      <a:off x="0" y="0"/>
                      <a:ext cx="4470400"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4250496" behindDoc="1" locked="0" layoutInCell="1" allowOverlap="1" wp14:anchorId="1A3B5DC6" wp14:editId="1195AF1B">
            <wp:simplePos x="0" y="0"/>
            <wp:positionH relativeFrom="margin">
              <wp:posOffset>130562</wp:posOffset>
            </wp:positionH>
            <wp:positionV relativeFrom="page">
              <wp:posOffset>2115136</wp:posOffset>
            </wp:positionV>
            <wp:extent cx="6594475" cy="2924175"/>
            <wp:effectExtent l="0" t="0" r="0" b="9525"/>
            <wp:wrapTight wrapText="bothSides">
              <wp:wrapPolygon edited="0">
                <wp:start x="0" y="0"/>
                <wp:lineTo x="0" y="21530"/>
                <wp:lineTo x="21527" y="21530"/>
                <wp:lineTo x="215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594475" cy="2924175"/>
                    </a:xfrm>
                    <a:prstGeom prst="rect">
                      <a:avLst/>
                    </a:prstGeom>
                  </pic:spPr>
                </pic:pic>
              </a:graphicData>
            </a:graphic>
          </wp:anchor>
        </w:drawing>
      </w:r>
      <w:r w:rsidR="004D2626">
        <w:t>For</w:t>
      </w:r>
      <w:r w:rsidR="00606793" w:rsidRPr="00563D57">
        <w:t xml:space="preserve"> </w:t>
      </w:r>
      <w:r w:rsidR="004D2626">
        <w:t xml:space="preserve">the </w:t>
      </w:r>
      <w:r w:rsidR="008D12A5">
        <w:t>South Youth Court</w:t>
      </w:r>
      <w:r w:rsidR="004D2626">
        <w:t>s</w:t>
      </w:r>
      <w:r w:rsidR="00606793" w:rsidRPr="00563D57">
        <w:t xml:space="preserve">, the data generated on age and minority status pulls from a notably small sample size; for this reason, </w:t>
      </w:r>
      <w:r w:rsidR="00DA4DE5" w:rsidRPr="00563D57">
        <w:t>it is not possible to effectively analyze the limited data generated on Indigenous defendants and those of newcomer status.</w:t>
      </w:r>
      <w:r w:rsidR="00DA4DE5" w:rsidRPr="00563D57">
        <w:rPr>
          <w:rFonts w:ascii="Times New Roman" w:hAnsi="Times New Roman" w:cs="Times New Roman"/>
          <w:sz w:val="24"/>
          <w:szCs w:val="24"/>
        </w:rPr>
        <w:t xml:space="preserve"> I</w:t>
      </w:r>
      <w:r w:rsidR="00606793" w:rsidRPr="00563D57">
        <w:t>t was observed that the overwhelming majority (</w:t>
      </w:r>
      <w:r w:rsidR="00DA4DE5" w:rsidRPr="00563D57">
        <w:t>91.67</w:t>
      </w:r>
      <w:r w:rsidR="00606793" w:rsidRPr="00563D57">
        <w:t xml:space="preserve">%) of defendants receiving services from the Elizabeth Fry Society of Calgary in </w:t>
      </w:r>
      <w:r w:rsidR="00A057CB">
        <w:t xml:space="preserve">the </w:t>
      </w:r>
      <w:r w:rsidR="008D12A5">
        <w:t>South Youth Court</w:t>
      </w:r>
      <w:r w:rsidR="00A057CB">
        <w:t>s</w:t>
      </w:r>
      <w:r w:rsidR="00606793" w:rsidRPr="00563D57">
        <w:t xml:space="preserve"> had no minority status (Figure </w:t>
      </w:r>
      <w:r w:rsidR="00F346F9">
        <w:t>50</w:t>
      </w:r>
      <w:r w:rsidR="00606793" w:rsidRPr="00563D57">
        <w:t xml:space="preserve">). </w:t>
      </w:r>
      <w:r w:rsidR="00DA4DE5">
        <w:t>For individuals with no minority status</w:t>
      </w:r>
      <w:r w:rsidR="00606793">
        <w:t>, distribution was concentrated in men, reflected in the</w:t>
      </w:r>
      <w:r w:rsidR="00DA4DE5">
        <w:t xml:space="preserve"> associated left-leaning</w:t>
      </w:r>
      <w:r w:rsidR="00606793">
        <w:t xml:space="preserve"> population </w:t>
      </w:r>
      <w:r w:rsidR="00563D57">
        <w:t>pyramids (</w:t>
      </w:r>
      <w:r w:rsidR="00606793">
        <w:t xml:space="preserve">Figure </w:t>
      </w:r>
      <w:r w:rsidR="00F346F9">
        <w:t>51</w:t>
      </w:r>
      <w:r w:rsidR="00606793">
        <w:t xml:space="preserve">). </w:t>
      </w:r>
      <w:r w:rsidR="00DA4DE5">
        <w:t>T</w:t>
      </w:r>
      <w:r w:rsidR="00606793">
        <w:t xml:space="preserve">here is a </w:t>
      </w:r>
      <w:r w:rsidR="00DA4DE5">
        <w:t xml:space="preserve">visible </w:t>
      </w:r>
      <w:r w:rsidR="00606793">
        <w:t xml:space="preserve">trend towards </w:t>
      </w:r>
      <w:r w:rsidR="00DA4DE5">
        <w:t>older</w:t>
      </w:r>
      <w:r w:rsidR="00606793">
        <w:t xml:space="preserve"> age groupings. </w:t>
      </w:r>
      <w:r w:rsidR="00DA4DE5">
        <w:t xml:space="preserve">Males </w:t>
      </w:r>
      <w:r w:rsidR="00253816">
        <w:t xml:space="preserve">aged </w:t>
      </w:r>
      <w:r w:rsidR="00DA4DE5">
        <w:t xml:space="preserve">16 and </w:t>
      </w:r>
      <w:r w:rsidR="00563D57">
        <w:t>17 represent</w:t>
      </w:r>
      <w:r w:rsidR="00606793">
        <w:t xml:space="preserve"> the most common demographics, amongst those without minority status supported by the organization</w:t>
      </w:r>
      <w:r w:rsidR="00F346F9">
        <w:t xml:space="preserve">, </w:t>
      </w:r>
      <w:r w:rsidR="00606793">
        <w:t xml:space="preserve">making up </w:t>
      </w:r>
      <w:r w:rsidR="00DA4DE5">
        <w:t>25.82</w:t>
      </w:r>
      <w:r w:rsidR="00606793">
        <w:t xml:space="preserve">% and </w:t>
      </w:r>
      <w:r w:rsidR="00DA4DE5">
        <w:t>25.82</w:t>
      </w:r>
      <w:r w:rsidR="00606793">
        <w:t xml:space="preserve">% of defendants with no minority status, with a prevalence </w:t>
      </w:r>
      <w:r w:rsidR="00DA4DE5">
        <w:t xml:space="preserve">2.29X </w:t>
      </w:r>
      <w:r w:rsidR="00606793">
        <w:t xml:space="preserve">and </w:t>
      </w:r>
      <w:r w:rsidR="00DA4DE5">
        <w:t>11.00X</w:t>
      </w:r>
      <w:r w:rsidR="00606793">
        <w:t xml:space="preserve"> that of their age-matched female peers, respectively (Figure </w:t>
      </w:r>
      <w:r w:rsidR="00F346F9">
        <w:t>51</w:t>
      </w:r>
      <w:r w:rsidR="00606793">
        <w:t xml:space="preserve">). </w:t>
      </w:r>
      <w:r w:rsidR="00DA4DE5">
        <w:t xml:space="preserve">Given the small sample size, additional data collection could prove </w:t>
      </w:r>
      <w:r w:rsidR="004329E1">
        <w:rPr>
          <w:noProof/>
          <w:lang w:val="en-US"/>
        </w:rPr>
        <mc:AlternateContent>
          <mc:Choice Requires="wps">
            <w:drawing>
              <wp:anchor distT="0" distB="0" distL="114300" distR="114300" simplePos="0" relativeHeight="251881984" behindDoc="1" locked="0" layoutInCell="1" allowOverlap="1" wp14:anchorId="27B3D59D" wp14:editId="366B6518">
                <wp:simplePos x="0" y="0"/>
                <wp:positionH relativeFrom="margin">
                  <wp:align>right</wp:align>
                </wp:positionH>
                <wp:positionV relativeFrom="page">
                  <wp:posOffset>5146675</wp:posOffset>
                </wp:positionV>
                <wp:extent cx="6858000" cy="586740"/>
                <wp:effectExtent l="0" t="0" r="0" b="3810"/>
                <wp:wrapTight wrapText="bothSides">
                  <wp:wrapPolygon edited="0">
                    <wp:start x="0" y="0"/>
                    <wp:lineTo x="0" y="21039"/>
                    <wp:lineTo x="21540" y="21039"/>
                    <wp:lineTo x="21540" y="0"/>
                    <wp:lineTo x="0" y="0"/>
                  </wp:wrapPolygon>
                </wp:wrapTight>
                <wp:docPr id="62" name="Text Box 62"/>
                <wp:cNvGraphicFramePr/>
                <a:graphic xmlns:a="http://schemas.openxmlformats.org/drawingml/2006/main">
                  <a:graphicData uri="http://schemas.microsoft.com/office/word/2010/wordprocessingShape">
                    <wps:wsp>
                      <wps:cNvSpPr txBox="1"/>
                      <wps:spPr>
                        <a:xfrm>
                          <a:off x="0" y="0"/>
                          <a:ext cx="6858000" cy="586740"/>
                        </a:xfrm>
                        <a:prstGeom prst="rect">
                          <a:avLst/>
                        </a:prstGeom>
                        <a:solidFill>
                          <a:prstClr val="white"/>
                        </a:solidFill>
                        <a:ln>
                          <a:noFill/>
                        </a:ln>
                      </wps:spPr>
                      <wps:txbx>
                        <w:txbxContent>
                          <w:p w14:paraId="6E7CB6C7" w14:textId="5F6AF68B" w:rsidR="00A56EB4" w:rsidRPr="009B01E0" w:rsidRDefault="00A56EB4" w:rsidP="009A213F">
                            <w:pPr>
                              <w:pStyle w:val="Caption"/>
                              <w:rPr>
                                <w:rFonts w:ascii="Times New Roman" w:hAnsi="Times New Roman" w:cs="Times New Roman"/>
                                <w:noProof/>
                                <w:color w:val="auto"/>
                                <w:sz w:val="24"/>
                                <w:szCs w:val="24"/>
                              </w:rPr>
                            </w:pPr>
                            <w:r w:rsidRPr="009B01E0">
                              <w:rPr>
                                <w:b/>
                                <w:bCs/>
                                <w:color w:val="auto"/>
                              </w:rPr>
                              <w:t xml:space="preserve">Figure </w:t>
                            </w:r>
                            <w:r>
                              <w:rPr>
                                <w:b/>
                                <w:bCs/>
                                <w:color w:val="auto"/>
                              </w:rPr>
                              <w:t>52</w:t>
                            </w:r>
                            <w:r w:rsidRPr="009B01E0">
                              <w:rPr>
                                <w:b/>
                                <w:bCs/>
                                <w:color w:val="auto"/>
                              </w:rPr>
                              <w:t>.</w:t>
                            </w:r>
                            <w:r w:rsidRPr="009B01E0">
                              <w:rPr>
                                <w:color w:val="auto"/>
                              </w:rPr>
                              <w:t xml:space="preserve"> Pie charts representing the presence of support in court, by minority status, as observed in </w:t>
                            </w:r>
                            <w:r>
                              <w:rPr>
                                <w:color w:val="auto"/>
                              </w:rPr>
                              <w:t>the South Youth Courts</w:t>
                            </w:r>
                            <w:r w:rsidRPr="009B01E0">
                              <w:rPr>
                                <w:color w:val="auto"/>
                              </w:rPr>
                              <w:t xml:space="preserve"> between January 2017 and December 201</w:t>
                            </w:r>
                            <w:r>
                              <w:rPr>
                                <w:color w:val="auto"/>
                              </w:rPr>
                              <w:t>8</w:t>
                            </w:r>
                            <w:r w:rsidRPr="009B01E0">
                              <w:rPr>
                                <w:color w:val="auto"/>
                              </w:rPr>
                              <w:t xml:space="preserve">, from a sample size of 239 (219 attendees without minority status, 16 Indigenous, and 4 attendees who are newcomers). Slice size represents the relative proportion of respondents reporting the presence or absence of supports on the day of data acquisition. </w:t>
                            </w:r>
                          </w:p>
                          <w:p w14:paraId="417CE6C1" w14:textId="77777777" w:rsidR="00A56EB4" w:rsidRPr="00E25FCA" w:rsidRDefault="00A56EB4" w:rsidP="009A213F">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D59D" id="Text Box 62" o:spid="_x0000_s1114" type="#_x0000_t202" style="position:absolute;margin-left:488.8pt;margin-top:405.25pt;width:540pt;height:46.2pt;z-index:-2514344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" stroked="f">
                <v:textbox inset="0,0,0,0">
                  <w:txbxContent>
                    <w:p w14:paraId="6E7CB6C7" w14:textId="5F6AF68B" w:rsidR="00A56EB4" w:rsidRPr="009B01E0" w:rsidRDefault="00A56EB4" w:rsidP="009A213F">
                      <w:pPr>
                        <w:pStyle w:val="Caption"/>
                        <w:rPr>
                          <w:rFonts w:ascii="Times New Roman" w:hAnsi="Times New Roman" w:cs="Times New Roman"/>
                          <w:noProof/>
                          <w:color w:val="auto"/>
                          <w:sz w:val="24"/>
                          <w:szCs w:val="24"/>
                        </w:rPr>
                      </w:pPr>
                      <w:r w:rsidRPr="009B01E0">
                        <w:rPr>
                          <w:b/>
                          <w:bCs/>
                          <w:color w:val="auto"/>
                        </w:rPr>
                        <w:t xml:space="preserve">Figure </w:t>
                      </w:r>
                      <w:r>
                        <w:rPr>
                          <w:b/>
                          <w:bCs/>
                          <w:color w:val="auto"/>
                        </w:rPr>
                        <w:t>52</w:t>
                      </w:r>
                      <w:r w:rsidRPr="009B01E0">
                        <w:rPr>
                          <w:b/>
                          <w:bCs/>
                          <w:color w:val="auto"/>
                        </w:rPr>
                        <w:t>.</w:t>
                      </w:r>
                      <w:r w:rsidRPr="009B01E0">
                        <w:rPr>
                          <w:color w:val="auto"/>
                        </w:rPr>
                        <w:t xml:space="preserve"> Pie charts representing the presence of support in court, by minority status, as observed in </w:t>
                      </w:r>
                      <w:r>
                        <w:rPr>
                          <w:color w:val="auto"/>
                        </w:rPr>
                        <w:t>the South Youth Courts</w:t>
                      </w:r>
                      <w:r w:rsidRPr="009B01E0">
                        <w:rPr>
                          <w:color w:val="auto"/>
                        </w:rPr>
                        <w:t xml:space="preserve"> between January 2017 and December 201</w:t>
                      </w:r>
                      <w:r>
                        <w:rPr>
                          <w:color w:val="auto"/>
                        </w:rPr>
                        <w:t>8</w:t>
                      </w:r>
                      <w:r w:rsidRPr="009B01E0">
                        <w:rPr>
                          <w:color w:val="auto"/>
                        </w:rPr>
                        <w:t xml:space="preserve">, from a sample size of 239 (219 attendees without minority status, 16 Indigenous, and 4 attendees who are newcomers). Slice size represents the relative proportion of respondents reporting the presence or absence of supports on the day of data acquisition. </w:t>
                      </w:r>
                    </w:p>
                    <w:p w14:paraId="417CE6C1" w14:textId="77777777" w:rsidR="00A56EB4" w:rsidRPr="00E25FCA" w:rsidRDefault="00A56EB4" w:rsidP="009A213F">
                      <w:pPr>
                        <w:pStyle w:val="Caption"/>
                      </w:pPr>
                    </w:p>
                  </w:txbxContent>
                </v:textbox>
                <w10:wrap type="tight" anchorx="margin" anchory="page"/>
              </v:shape>
            </w:pict>
          </mc:Fallback>
        </mc:AlternateContent>
      </w:r>
      <w:r w:rsidR="00DA4DE5">
        <w:t xml:space="preserve">invaluable to further exploring the strength and nature of this relationship. </w:t>
      </w:r>
    </w:p>
    <w:p w14:paraId="07615AFC" w14:textId="3EB118C4" w:rsidR="009C7748" w:rsidRDefault="009C7748" w:rsidP="009C7748">
      <w:pPr>
        <w:autoSpaceDE w:val="0"/>
        <w:autoSpaceDN w:val="0"/>
        <w:adjustRightInd w:val="0"/>
        <w:spacing w:after="0" w:line="240" w:lineRule="auto"/>
        <w:rPr>
          <w:rFonts w:ascii="Times New Roman" w:hAnsi="Times New Roman" w:cs="Times New Roman"/>
          <w:sz w:val="24"/>
          <w:szCs w:val="24"/>
        </w:rPr>
      </w:pPr>
    </w:p>
    <w:p w14:paraId="3CEC3A42" w14:textId="67BC38AD" w:rsidR="009C7748" w:rsidRDefault="009C7748" w:rsidP="009C7748">
      <w:pPr>
        <w:autoSpaceDE w:val="0"/>
        <w:autoSpaceDN w:val="0"/>
        <w:adjustRightInd w:val="0"/>
        <w:spacing w:after="0" w:line="240" w:lineRule="auto"/>
        <w:rPr>
          <w:rFonts w:ascii="Times New Roman" w:hAnsi="Times New Roman" w:cs="Times New Roman"/>
          <w:sz w:val="24"/>
          <w:szCs w:val="24"/>
        </w:rPr>
      </w:pPr>
    </w:p>
    <w:p w14:paraId="4D83BF1B" w14:textId="22AEE723" w:rsidR="009C7748" w:rsidRDefault="009C7748" w:rsidP="009C7748">
      <w:pPr>
        <w:autoSpaceDE w:val="0"/>
        <w:autoSpaceDN w:val="0"/>
        <w:adjustRightInd w:val="0"/>
        <w:spacing w:after="0" w:line="400" w:lineRule="atLeast"/>
        <w:rPr>
          <w:rFonts w:ascii="Times New Roman" w:hAnsi="Times New Roman" w:cs="Times New Roman"/>
          <w:sz w:val="24"/>
          <w:szCs w:val="24"/>
        </w:rPr>
      </w:pPr>
    </w:p>
    <w:p w14:paraId="6F84954D" w14:textId="6B162D39" w:rsidR="00F00A9A" w:rsidRDefault="00F00A9A" w:rsidP="00F00A9A">
      <w:pPr>
        <w:autoSpaceDE w:val="0"/>
        <w:autoSpaceDN w:val="0"/>
        <w:adjustRightInd w:val="0"/>
        <w:spacing w:after="0" w:line="240" w:lineRule="auto"/>
        <w:rPr>
          <w:rFonts w:ascii="Times New Roman" w:hAnsi="Times New Roman" w:cs="Times New Roman"/>
          <w:sz w:val="24"/>
          <w:szCs w:val="24"/>
        </w:rPr>
      </w:pPr>
    </w:p>
    <w:p w14:paraId="09531CFD" w14:textId="4D365053" w:rsidR="00ED62AA" w:rsidRDefault="00ED62AA" w:rsidP="00ED62AA">
      <w:pPr>
        <w:autoSpaceDE w:val="0"/>
        <w:autoSpaceDN w:val="0"/>
        <w:adjustRightInd w:val="0"/>
        <w:spacing w:after="0" w:line="240" w:lineRule="auto"/>
        <w:rPr>
          <w:rFonts w:ascii="Times New Roman" w:hAnsi="Times New Roman" w:cs="Times New Roman"/>
          <w:sz w:val="24"/>
          <w:szCs w:val="24"/>
        </w:rPr>
      </w:pPr>
    </w:p>
    <w:p w14:paraId="37B462D5" w14:textId="77777777" w:rsidR="00BA0DBE" w:rsidRDefault="00BA0DBE" w:rsidP="00ED62AA">
      <w:pPr>
        <w:autoSpaceDE w:val="0"/>
        <w:autoSpaceDN w:val="0"/>
        <w:adjustRightInd w:val="0"/>
        <w:spacing w:after="0" w:line="240" w:lineRule="auto"/>
        <w:rPr>
          <w:rFonts w:ascii="Times New Roman" w:hAnsi="Times New Roman" w:cs="Times New Roman"/>
          <w:sz w:val="24"/>
          <w:szCs w:val="24"/>
        </w:rPr>
      </w:pPr>
    </w:p>
    <w:p w14:paraId="59D3F31C" w14:textId="7995774C" w:rsidR="00F47847" w:rsidRDefault="00AB5195" w:rsidP="00AB5195">
      <w:r>
        <w:t xml:space="preserve">It was observed that the majority of attendees in </w:t>
      </w:r>
      <w:r w:rsidR="008D12A5">
        <w:t>South Youth Court</w:t>
      </w:r>
      <w:r>
        <w:t xml:space="preserve"> attended with support, across all minority status categories (Figure </w:t>
      </w:r>
      <w:r w:rsidR="00A56DC4">
        <w:t>52</w:t>
      </w:r>
      <w:r>
        <w:t>). Of the minority classifications, Indigenous youth most frequently reported support (81.25%), while youth without minority status least frequently (78.06%) reported support. The newcomer group was omitted from data analysis, owing to a small sample siz</w:t>
      </w:r>
      <w:r w:rsidR="00F47847">
        <w:t>e; similarly, the interpretation of a chi-squared analysis was impossible owing to small sample size for specific count categories.</w:t>
      </w:r>
    </w:p>
    <w:p w14:paraId="29421C08" w14:textId="7E8FFAF1" w:rsidR="00083C66" w:rsidRDefault="00B7011F" w:rsidP="00083C66">
      <w:r>
        <w:rPr>
          <w:noProof/>
          <w:lang w:val="en-US"/>
        </w:rPr>
        <mc:AlternateContent>
          <mc:Choice Requires="wps">
            <w:drawing>
              <wp:anchor distT="0" distB="0" distL="114300" distR="114300" simplePos="0" relativeHeight="251152896" behindDoc="1" locked="0" layoutInCell="1" allowOverlap="1" wp14:anchorId="781DBCB1" wp14:editId="51120BBB">
                <wp:simplePos x="0" y="0"/>
                <wp:positionH relativeFrom="margin">
                  <wp:posOffset>5715</wp:posOffset>
                </wp:positionH>
                <wp:positionV relativeFrom="margin">
                  <wp:posOffset>1527810</wp:posOffset>
                </wp:positionV>
                <wp:extent cx="3526790" cy="406400"/>
                <wp:effectExtent l="0" t="0" r="0" b="0"/>
                <wp:wrapTight wrapText="bothSides">
                  <wp:wrapPolygon edited="0">
                    <wp:start x="0" y="0"/>
                    <wp:lineTo x="0" y="20250"/>
                    <wp:lineTo x="21468" y="20250"/>
                    <wp:lineTo x="21468" y="0"/>
                    <wp:lineTo x="0" y="0"/>
                  </wp:wrapPolygon>
                </wp:wrapTight>
                <wp:docPr id="459" name="Text Box 459"/>
                <wp:cNvGraphicFramePr/>
                <a:graphic xmlns:a="http://schemas.openxmlformats.org/drawingml/2006/main">
                  <a:graphicData uri="http://schemas.microsoft.com/office/word/2010/wordprocessingShape">
                    <wps:wsp>
                      <wps:cNvSpPr txBox="1"/>
                      <wps:spPr>
                        <a:xfrm>
                          <a:off x="0" y="0"/>
                          <a:ext cx="3526790" cy="406400"/>
                        </a:xfrm>
                        <a:prstGeom prst="rect">
                          <a:avLst/>
                        </a:prstGeom>
                        <a:solidFill>
                          <a:prstClr val="white"/>
                        </a:solidFill>
                        <a:ln>
                          <a:noFill/>
                        </a:ln>
                      </wps:spPr>
                      <wps:txbx>
                        <w:txbxContent>
                          <w:p w14:paraId="4CE089B6" w14:textId="654088BC" w:rsidR="00A56EB4" w:rsidRPr="00177D78" w:rsidRDefault="00A56EB4" w:rsidP="00974192">
                            <w:pPr>
                              <w:pStyle w:val="Caption"/>
                              <w:rPr>
                                <w:b/>
                                <w:bCs/>
                              </w:rPr>
                            </w:pPr>
                            <w:r>
                              <w:rPr>
                                <w:b/>
                                <w:bCs/>
                              </w:rPr>
                              <w:t>Table 21</w:t>
                            </w:r>
                            <w:r w:rsidRPr="00B63B81">
                              <w:rPr>
                                <w:b/>
                                <w:bCs/>
                              </w:rPr>
                              <w:t>.</w:t>
                            </w:r>
                            <w:r>
                              <w:t xml:space="preserve"> Frequency and proportion of South Youth Court attendees by number of court appearances,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BCB1" id="Text Box 459" o:spid="_x0000_s1115" type="#_x0000_t202" style="position:absolute;margin-left:.45pt;margin-top:120.3pt;width:277.7pt;height:32pt;z-index:-252163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" stroked="f">
                <v:textbox inset="0,0,0,0">
                  <w:txbxContent>
                    <w:p w14:paraId="4CE089B6" w14:textId="654088BC" w:rsidR="00A56EB4" w:rsidRPr="00177D78" w:rsidRDefault="00A56EB4" w:rsidP="00974192">
                      <w:pPr>
                        <w:pStyle w:val="Caption"/>
                        <w:rPr>
                          <w:b/>
                          <w:bCs/>
                        </w:rPr>
                      </w:pPr>
                      <w:r>
                        <w:rPr>
                          <w:b/>
                          <w:bCs/>
                        </w:rPr>
                        <w:t>Table 21</w:t>
                      </w:r>
                      <w:r w:rsidRPr="00B63B81">
                        <w:rPr>
                          <w:b/>
                          <w:bCs/>
                        </w:rPr>
                        <w:t>.</w:t>
                      </w:r>
                      <w:r>
                        <w:t xml:space="preserve"> Frequency and proportion of South Youth Court attendees by number of court appearances, between January 2017 and December 2018.</w:t>
                      </w:r>
                    </w:p>
                  </w:txbxContent>
                </v:textbox>
                <w10:wrap type="tight" anchorx="margin" anchory="margin"/>
              </v:shape>
            </w:pict>
          </mc:Fallback>
        </mc:AlternateContent>
      </w:r>
      <w:r w:rsidR="008E7039">
        <w:rPr>
          <w:noProof/>
          <w:lang w:val="en-US"/>
        </w:rPr>
        <w:drawing>
          <wp:anchor distT="0" distB="0" distL="114300" distR="114300" simplePos="0" relativeHeight="251200000" behindDoc="1" locked="0" layoutInCell="1" allowOverlap="1" wp14:anchorId="41DAE97D" wp14:editId="3C58DFBF">
            <wp:simplePos x="0" y="0"/>
            <wp:positionH relativeFrom="margin">
              <wp:posOffset>0</wp:posOffset>
            </wp:positionH>
            <wp:positionV relativeFrom="page">
              <wp:posOffset>2686297</wp:posOffset>
            </wp:positionV>
            <wp:extent cx="3530600" cy="2921635"/>
            <wp:effectExtent l="0" t="0" r="0" b="0"/>
            <wp:wrapTight wrapText="bothSides">
              <wp:wrapPolygon edited="0">
                <wp:start x="0" y="0"/>
                <wp:lineTo x="0" y="21408"/>
                <wp:lineTo x="21445" y="21408"/>
                <wp:lineTo x="21445"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530600" cy="2921635"/>
                    </a:xfrm>
                    <a:prstGeom prst="rect">
                      <a:avLst/>
                    </a:prstGeom>
                  </pic:spPr>
                </pic:pic>
              </a:graphicData>
            </a:graphic>
            <wp14:sizeRelH relativeFrom="margin">
              <wp14:pctWidth>0</wp14:pctWidth>
            </wp14:sizeRelH>
            <wp14:sizeRelV relativeFrom="margin">
              <wp14:pctHeight>0</wp14:pctHeight>
            </wp14:sizeRelV>
          </wp:anchor>
        </w:drawing>
      </w:r>
      <w:r w:rsidR="00AB5195">
        <w:t xml:space="preserve">Between the genders of </w:t>
      </w:r>
      <w:r>
        <w:t xml:space="preserve">the </w:t>
      </w:r>
      <w:r w:rsidR="008D12A5">
        <w:t>South Youth Court</w:t>
      </w:r>
      <w:r w:rsidR="00AB5195">
        <w:t xml:space="preserve"> attendees</w:t>
      </w:r>
      <w:r w:rsidR="00AD1FA1">
        <w:t xml:space="preserve"> (Figure </w:t>
      </w:r>
      <w:r w:rsidR="00A56DC4">
        <w:t>53</w:t>
      </w:r>
      <w:r w:rsidR="00AD1FA1">
        <w:t>)</w:t>
      </w:r>
      <w:r w:rsidR="00AB5195">
        <w:t xml:space="preserve">, </w:t>
      </w:r>
      <w:r w:rsidR="00AD1FA1">
        <w:t>male and female attendees were similarly</w:t>
      </w:r>
      <w:r w:rsidR="00AB5195">
        <w:t xml:space="preserve"> likely to report having support present </w:t>
      </w:r>
      <w:r w:rsidR="00AD1FA1">
        <w:t>(78.12% and 78.95% respectively</w:t>
      </w:r>
      <w:r w:rsidR="00AB5195">
        <w:t xml:space="preserve">). </w:t>
      </w:r>
      <w:r w:rsidR="00AD1FA1">
        <w:t>Similarly</w:t>
      </w:r>
      <w:r w:rsidR="00AB5195">
        <w:t>, it was discovered that no statistically significant relationship existed between gender and the presence of support in</w:t>
      </w:r>
      <w:r>
        <w:t xml:space="preserve"> the</w:t>
      </w:r>
      <w:r w:rsidR="00497503">
        <w:t xml:space="preserve"> </w:t>
      </w:r>
      <w:r w:rsidR="008D12A5">
        <w:t>South Youth Court</w:t>
      </w:r>
      <w:r>
        <w:t>s</w:t>
      </w:r>
      <w:r w:rsidR="00AB5195">
        <w:t xml:space="preserve"> (X</w:t>
      </w:r>
      <w:r w:rsidR="00AB5195" w:rsidRPr="00526838">
        <w:rPr>
          <w:vertAlign w:val="superscript"/>
        </w:rPr>
        <w:t>2</w:t>
      </w:r>
      <w:r w:rsidR="00AB5195">
        <w:t>=</w:t>
      </w:r>
      <w:r w:rsidR="00AD1FA1">
        <w:t>0.01</w:t>
      </w:r>
      <w:r w:rsidR="00AB5195">
        <w:t>, p=0</w:t>
      </w:r>
      <w:r w:rsidR="00AD1FA1">
        <w:t>.91</w:t>
      </w:r>
      <w:r w:rsidR="00AB5195">
        <w:t xml:space="preserve"> at p&lt;0.05).</w:t>
      </w:r>
    </w:p>
    <w:p w14:paraId="2C8160F0" w14:textId="68CF53D3" w:rsidR="007F6D1E" w:rsidRPr="00083C66" w:rsidRDefault="00B7011F" w:rsidP="00083C66">
      <w:r>
        <w:rPr>
          <w:noProof/>
          <w:lang w:val="en-US"/>
        </w:rPr>
        <w:drawing>
          <wp:anchor distT="0" distB="0" distL="114300" distR="114300" simplePos="0" relativeHeight="250426880" behindDoc="0" locked="0" layoutInCell="1" allowOverlap="1" wp14:anchorId="388C4535" wp14:editId="388C81EC">
            <wp:simplePos x="0" y="0"/>
            <wp:positionH relativeFrom="margin">
              <wp:posOffset>3538039</wp:posOffset>
            </wp:positionH>
            <wp:positionV relativeFrom="page">
              <wp:posOffset>6881792</wp:posOffset>
            </wp:positionV>
            <wp:extent cx="3286125" cy="1943100"/>
            <wp:effectExtent l="0" t="0" r="9525"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286125" cy="1943100"/>
                    </a:xfrm>
                    <a:prstGeom prst="rect">
                      <a:avLst/>
                    </a:prstGeom>
                  </pic:spPr>
                </pic:pic>
              </a:graphicData>
            </a:graphic>
          </wp:anchor>
        </w:drawing>
      </w:r>
      <w:r>
        <w:rPr>
          <w:noProof/>
          <w:lang w:val="en-US"/>
        </w:rPr>
        <mc:AlternateContent>
          <mc:Choice Requires="wps">
            <w:drawing>
              <wp:anchor distT="0" distB="0" distL="114300" distR="114300" simplePos="0" relativeHeight="251620864" behindDoc="1" locked="0" layoutInCell="1" allowOverlap="1" wp14:anchorId="1487592F" wp14:editId="016104EB">
                <wp:simplePos x="0" y="0"/>
                <wp:positionH relativeFrom="margin">
                  <wp:posOffset>3561080</wp:posOffset>
                </wp:positionH>
                <wp:positionV relativeFrom="margin">
                  <wp:posOffset>5808733</wp:posOffset>
                </wp:positionV>
                <wp:extent cx="3286125" cy="419100"/>
                <wp:effectExtent l="0" t="0" r="9525" b="0"/>
                <wp:wrapTight wrapText="bothSides">
                  <wp:wrapPolygon edited="0">
                    <wp:start x="0" y="0"/>
                    <wp:lineTo x="0" y="20618"/>
                    <wp:lineTo x="21537" y="20618"/>
                    <wp:lineTo x="21537"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3286125" cy="419100"/>
                        </a:xfrm>
                        <a:prstGeom prst="rect">
                          <a:avLst/>
                        </a:prstGeom>
                        <a:solidFill>
                          <a:prstClr val="white"/>
                        </a:solidFill>
                        <a:ln>
                          <a:noFill/>
                        </a:ln>
                      </wps:spPr>
                      <wps:txbx>
                        <w:txbxContent>
                          <w:p w14:paraId="7A40D791" w14:textId="4CEF4A06" w:rsidR="00A56EB4" w:rsidRPr="0063408E" w:rsidRDefault="00A56EB4" w:rsidP="00385A1F">
                            <w:pPr>
                              <w:pStyle w:val="Caption"/>
                            </w:pPr>
                            <w:r>
                              <w:rPr>
                                <w:b/>
                                <w:bCs/>
                              </w:rPr>
                              <w:t>Table 23</w:t>
                            </w:r>
                            <w:r w:rsidRPr="00B63B81">
                              <w:rPr>
                                <w:b/>
                                <w:bCs/>
                              </w:rPr>
                              <w:t>.</w:t>
                            </w:r>
                            <w:r>
                              <w:t xml:space="preserve"> Frequency and proportion of service length for South Youth Court attendees,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592F" id="Text Box 48" o:spid="_x0000_s1116" type="#_x0000_t202" style="position:absolute;margin-left:280.4pt;margin-top:457.4pt;width:258.75pt;height:33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" stroked="f">
                <v:textbox inset="0,0,0,0">
                  <w:txbxContent>
                    <w:p w14:paraId="7A40D791" w14:textId="4CEF4A06" w:rsidR="00A56EB4" w:rsidRPr="0063408E" w:rsidRDefault="00A56EB4" w:rsidP="00385A1F">
                      <w:pPr>
                        <w:pStyle w:val="Caption"/>
                      </w:pPr>
                      <w:r>
                        <w:rPr>
                          <w:b/>
                          <w:bCs/>
                        </w:rPr>
                        <w:t>Table 23</w:t>
                      </w:r>
                      <w:r w:rsidRPr="00B63B81">
                        <w:rPr>
                          <w:b/>
                          <w:bCs/>
                        </w:rPr>
                        <w:t>.</w:t>
                      </w:r>
                      <w:r>
                        <w:t xml:space="preserve"> Frequency and proportion of service length for South Youth Court attendees, between January 2017 and December 2018.</w:t>
                      </w:r>
                    </w:p>
                  </w:txbxContent>
                </v:textbox>
                <w10:wrap type="tight" anchorx="margin" anchory="margin"/>
              </v:shape>
            </w:pict>
          </mc:Fallback>
        </mc:AlternateContent>
      </w:r>
      <w:r>
        <w:rPr>
          <w:noProof/>
          <w:lang w:val="en-US"/>
        </w:rPr>
        <w:drawing>
          <wp:anchor distT="0" distB="0" distL="114300" distR="114300" simplePos="0" relativeHeight="254356992" behindDoc="1" locked="0" layoutInCell="1" allowOverlap="1" wp14:anchorId="7EA3B595" wp14:editId="0206581B">
            <wp:simplePos x="0" y="0"/>
            <wp:positionH relativeFrom="margin">
              <wp:posOffset>5715</wp:posOffset>
            </wp:positionH>
            <wp:positionV relativeFrom="page">
              <wp:posOffset>6174740</wp:posOffset>
            </wp:positionV>
            <wp:extent cx="3445510" cy="1769110"/>
            <wp:effectExtent l="0" t="0" r="2540" b="2540"/>
            <wp:wrapTight wrapText="bothSides">
              <wp:wrapPolygon edited="0">
                <wp:start x="0" y="0"/>
                <wp:lineTo x="0" y="21398"/>
                <wp:lineTo x="21496" y="21398"/>
                <wp:lineTo x="21496"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445510" cy="17691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315712" behindDoc="1" locked="0" layoutInCell="1" allowOverlap="1" wp14:anchorId="19D557F8" wp14:editId="486EC825">
                <wp:simplePos x="0" y="0"/>
                <wp:positionH relativeFrom="margin">
                  <wp:posOffset>5715</wp:posOffset>
                </wp:positionH>
                <wp:positionV relativeFrom="margin">
                  <wp:posOffset>5090160</wp:posOffset>
                </wp:positionV>
                <wp:extent cx="3526790" cy="419100"/>
                <wp:effectExtent l="0" t="0" r="0" b="0"/>
                <wp:wrapTight wrapText="bothSides">
                  <wp:wrapPolygon edited="0">
                    <wp:start x="0" y="0"/>
                    <wp:lineTo x="0" y="20618"/>
                    <wp:lineTo x="21468" y="20618"/>
                    <wp:lineTo x="21468" y="0"/>
                    <wp:lineTo x="0" y="0"/>
                  </wp:wrapPolygon>
                </wp:wrapTight>
                <wp:docPr id="468" name="Text Box 468"/>
                <wp:cNvGraphicFramePr/>
                <a:graphic xmlns:a="http://schemas.openxmlformats.org/drawingml/2006/main">
                  <a:graphicData uri="http://schemas.microsoft.com/office/word/2010/wordprocessingShape">
                    <wps:wsp>
                      <wps:cNvSpPr txBox="1"/>
                      <wps:spPr>
                        <a:xfrm>
                          <a:off x="0" y="0"/>
                          <a:ext cx="3526790" cy="419100"/>
                        </a:xfrm>
                        <a:prstGeom prst="rect">
                          <a:avLst/>
                        </a:prstGeom>
                        <a:solidFill>
                          <a:prstClr val="white"/>
                        </a:solidFill>
                        <a:ln>
                          <a:noFill/>
                        </a:ln>
                      </wps:spPr>
                      <wps:txbx>
                        <w:txbxContent>
                          <w:p w14:paraId="5C73D51E" w14:textId="2F797DA6" w:rsidR="00A56EB4" w:rsidRPr="0063408E" w:rsidRDefault="00A56EB4" w:rsidP="00830F38">
                            <w:pPr>
                              <w:pStyle w:val="Caption"/>
                            </w:pPr>
                            <w:r>
                              <w:rPr>
                                <w:b/>
                                <w:bCs/>
                              </w:rPr>
                              <w:t>Table 22</w:t>
                            </w:r>
                            <w:r w:rsidRPr="00B63B81">
                              <w:rPr>
                                <w:b/>
                                <w:bCs/>
                              </w:rPr>
                              <w:t>.</w:t>
                            </w:r>
                            <w:r>
                              <w:t xml:space="preserve"> Frequency and proportion of South Youth Court attendees with legal representation,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557F8" id="Text Box 468" o:spid="_x0000_s1117" type="#_x0000_t202" style="position:absolute;margin-left:.45pt;margin-top:400.8pt;width:277.7pt;height:33pt;z-index:-25200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" stroked="f">
                <v:textbox inset="0,0,0,0">
                  <w:txbxContent>
                    <w:p w14:paraId="5C73D51E" w14:textId="2F797DA6" w:rsidR="00A56EB4" w:rsidRPr="0063408E" w:rsidRDefault="00A56EB4" w:rsidP="00830F38">
                      <w:pPr>
                        <w:pStyle w:val="Caption"/>
                      </w:pPr>
                      <w:r>
                        <w:rPr>
                          <w:b/>
                          <w:bCs/>
                        </w:rPr>
                        <w:t>Table 22</w:t>
                      </w:r>
                      <w:r w:rsidRPr="00B63B81">
                        <w:rPr>
                          <w:b/>
                          <w:bCs/>
                        </w:rPr>
                        <w:t>.</w:t>
                      </w:r>
                      <w:r>
                        <w:t xml:space="preserve"> Frequency and proportion of South Youth Court attendees with legal representation, between January 2017 and December 2018.</w:t>
                      </w:r>
                    </w:p>
                  </w:txbxContent>
                </v:textbox>
                <w10:wrap type="tight" anchorx="margin" anchory="margin"/>
              </v:shape>
            </w:pict>
          </mc:Fallback>
        </mc:AlternateContent>
      </w:r>
      <w:r w:rsidR="00EB1E40" w:rsidRPr="00F64463">
        <w:rPr>
          <w:rFonts w:asciiTheme="majorHAnsi" w:hAnsiTheme="majorHAnsi" w:cstheme="majorHAnsi"/>
          <w:sz w:val="24"/>
          <w:szCs w:val="24"/>
        </w:rPr>
        <w:t>I</w:t>
      </w:r>
      <w:r w:rsidR="00EB1E40" w:rsidRPr="00E21CF7">
        <w:t xml:space="preserve">t was observed that </w:t>
      </w:r>
      <w:r w:rsidR="000E4778">
        <w:t xml:space="preserve">the largest proportion </w:t>
      </w:r>
      <w:r w:rsidR="00EB1E40" w:rsidRPr="00E21CF7">
        <w:t>(42.22%) of attendees at</w:t>
      </w:r>
      <w:r>
        <w:t xml:space="preserve"> the</w:t>
      </w:r>
      <w:r w:rsidR="00EB1E40" w:rsidRPr="00E21CF7">
        <w:t xml:space="preserve"> </w:t>
      </w:r>
      <w:r w:rsidR="008D12A5">
        <w:t>South Youth Court</w:t>
      </w:r>
      <w:r>
        <w:t>s</w:t>
      </w:r>
      <w:r w:rsidR="00EB1E40" w:rsidRPr="00E21CF7">
        <w:t>, for which data was available, were at their first court appearance, with an apparent inverse relationship between increasing court appearance number and attendee count</w:t>
      </w:r>
      <w:r w:rsidR="00E21CF7" w:rsidRPr="00E21CF7">
        <w:t xml:space="preserve"> (Table 21)</w:t>
      </w:r>
      <w:r w:rsidR="00EB1E40" w:rsidRPr="00E21CF7">
        <w:t>. The majority of attendees (</w:t>
      </w:r>
      <w:r w:rsidR="00EE4038" w:rsidRPr="00E21CF7">
        <w:t>58.58</w:t>
      </w:r>
      <w:r w:rsidR="00EB1E40" w:rsidRPr="00E21CF7">
        <w:t xml:space="preserve">%), for which data was available, reported having no legal representation at court (Table </w:t>
      </w:r>
      <w:r w:rsidR="00E21CF7" w:rsidRPr="00E21CF7">
        <w:t>22</w:t>
      </w:r>
      <w:r w:rsidR="00EB1E40" w:rsidRPr="00E21CF7">
        <w:t xml:space="preserve">). Most attendees </w:t>
      </w:r>
      <w:r w:rsidR="002D03DD" w:rsidRPr="00E21CF7">
        <w:t xml:space="preserve">(61.83%) </w:t>
      </w:r>
      <w:r w:rsidR="00EB1E40" w:rsidRPr="00E21CF7">
        <w:t xml:space="preserve">received services through the organization of a duration of 0-4 minutes, with an inverse relationship between increasing service length and attendee count (Table </w:t>
      </w:r>
      <w:r w:rsidR="00E21CF7" w:rsidRPr="00E21CF7">
        <w:t>23</w:t>
      </w:r>
      <w:r w:rsidR="00EB1E40" w:rsidRPr="00E21CF7">
        <w:t xml:space="preserve">). </w:t>
      </w:r>
      <w:r w:rsidR="00770FA1">
        <w:t>Only 3.25% of defendants required support exceeding 15 minutes (Table 23).</w:t>
      </w:r>
    </w:p>
    <w:p w14:paraId="2D0C1DAD" w14:textId="24BF5E2E" w:rsidR="007F6D1E" w:rsidRDefault="007F6D1E"/>
    <w:p w14:paraId="18CC1F45" w14:textId="77777777" w:rsidR="00EB1E40" w:rsidRPr="00E21CF7" w:rsidRDefault="00EB1E40" w:rsidP="00EB1E40"/>
    <w:p w14:paraId="11797940" w14:textId="7C2D578D" w:rsidR="00CD0B2D" w:rsidRDefault="00CD0B2D" w:rsidP="00CF5FD1">
      <w:pPr>
        <w:autoSpaceDE w:val="0"/>
        <w:autoSpaceDN w:val="0"/>
        <w:adjustRightInd w:val="0"/>
        <w:spacing w:after="0" w:line="240" w:lineRule="auto"/>
        <w:rPr>
          <w:rFonts w:ascii="Times New Roman" w:hAnsi="Times New Roman" w:cs="Times New Roman"/>
          <w:sz w:val="24"/>
          <w:szCs w:val="24"/>
        </w:rPr>
      </w:pPr>
    </w:p>
    <w:p w14:paraId="7284AB1D" w14:textId="66A57124" w:rsidR="00CD0B2D" w:rsidRDefault="00CD0B2D" w:rsidP="00CF5FD1">
      <w:pPr>
        <w:autoSpaceDE w:val="0"/>
        <w:autoSpaceDN w:val="0"/>
        <w:adjustRightInd w:val="0"/>
        <w:spacing w:after="0" w:line="240" w:lineRule="auto"/>
        <w:rPr>
          <w:rFonts w:ascii="Times New Roman" w:hAnsi="Times New Roman" w:cs="Times New Roman"/>
          <w:sz w:val="24"/>
          <w:szCs w:val="24"/>
        </w:rPr>
      </w:pPr>
    </w:p>
    <w:p w14:paraId="73F26AC9" w14:textId="35F792C3" w:rsidR="00CD0B2D" w:rsidRDefault="00CD0B2D" w:rsidP="00CF5FD1">
      <w:pPr>
        <w:autoSpaceDE w:val="0"/>
        <w:autoSpaceDN w:val="0"/>
        <w:adjustRightInd w:val="0"/>
        <w:spacing w:after="0" w:line="240" w:lineRule="auto"/>
        <w:rPr>
          <w:rFonts w:ascii="Times New Roman" w:hAnsi="Times New Roman" w:cs="Times New Roman"/>
          <w:sz w:val="24"/>
          <w:szCs w:val="24"/>
        </w:rPr>
      </w:pPr>
    </w:p>
    <w:p w14:paraId="5C1DAED7" w14:textId="7ACCA6E2" w:rsidR="00A85959" w:rsidRDefault="00A85959">
      <w:pPr>
        <w:rPr>
          <w:rFonts w:ascii="Times New Roman" w:hAnsi="Times New Roman" w:cs="Times New Roman"/>
          <w:sz w:val="24"/>
          <w:szCs w:val="24"/>
        </w:rPr>
      </w:pPr>
      <w:r>
        <w:rPr>
          <w:rFonts w:ascii="Times New Roman" w:hAnsi="Times New Roman" w:cs="Times New Roman"/>
          <w:sz w:val="24"/>
          <w:szCs w:val="24"/>
        </w:rPr>
        <w:br w:type="page"/>
      </w:r>
    </w:p>
    <w:p w14:paraId="765F32FC" w14:textId="110ABB84" w:rsidR="00BB27EF" w:rsidRPr="00CF5FD1" w:rsidRDefault="00BB27EF" w:rsidP="00CD0B2D">
      <w:pPr>
        <w:rPr>
          <w:rFonts w:ascii="Times New Roman" w:hAnsi="Times New Roman" w:cs="Times New Roman"/>
          <w:sz w:val="24"/>
          <w:szCs w:val="24"/>
        </w:rPr>
      </w:pPr>
    </w:p>
    <w:p w14:paraId="1FC0F390" w14:textId="3DB8BC81" w:rsidR="009E60BB" w:rsidRDefault="007952BD" w:rsidP="00CF5FD1">
      <w:pPr>
        <w:pStyle w:val="Heading2"/>
        <w:rPr>
          <w:rFonts w:cstheme="majorHAnsi"/>
        </w:rPr>
      </w:pPr>
      <w:bookmarkStart w:id="40" w:name="_Toc16262352"/>
      <w:r>
        <w:rPr>
          <w:rFonts w:cstheme="majorHAnsi"/>
        </w:rPr>
        <w:t>Traffic Court</w:t>
      </w:r>
      <w:bookmarkEnd w:id="40"/>
      <w:r w:rsidR="009E60BB">
        <w:rPr>
          <w:rFonts w:cstheme="majorHAnsi"/>
        </w:rPr>
        <w:t xml:space="preserve"> </w:t>
      </w:r>
    </w:p>
    <w:p w14:paraId="734BF5D5" w14:textId="25A4F11E" w:rsidR="00D6190C" w:rsidRDefault="000A5A32" w:rsidP="00D6190C">
      <w:pPr>
        <w:autoSpaceDE w:val="0"/>
        <w:autoSpaceDN w:val="0"/>
        <w:adjustRightInd w:val="0"/>
        <w:spacing w:after="0" w:line="240" w:lineRule="auto"/>
        <w:rPr>
          <w:rFonts w:ascii="Times New Roman" w:hAnsi="Times New Roman" w:cs="Times New Roman"/>
          <w:sz w:val="24"/>
          <w:szCs w:val="24"/>
        </w:rPr>
      </w:pPr>
      <w:r>
        <w:rPr>
          <w:noProof/>
          <w:lang w:val="en-US"/>
        </w:rPr>
        <w:drawing>
          <wp:anchor distT="0" distB="0" distL="114300" distR="114300" simplePos="0" relativeHeight="248357376" behindDoc="1" locked="0" layoutInCell="1" allowOverlap="1" wp14:anchorId="68EF4437" wp14:editId="5D010B97">
            <wp:simplePos x="0" y="0"/>
            <wp:positionH relativeFrom="margin">
              <wp:posOffset>190</wp:posOffset>
            </wp:positionH>
            <wp:positionV relativeFrom="page">
              <wp:posOffset>1589908</wp:posOffset>
            </wp:positionV>
            <wp:extent cx="3098800" cy="2655570"/>
            <wp:effectExtent l="0" t="0" r="6350" b="0"/>
            <wp:wrapTight wrapText="bothSides">
              <wp:wrapPolygon edited="0">
                <wp:start x="0" y="0"/>
                <wp:lineTo x="0" y="21383"/>
                <wp:lineTo x="21511" y="21383"/>
                <wp:lineTo x="215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7920" t="9265" r="7291" b="10425"/>
                    <a:stretch/>
                  </pic:blipFill>
                  <pic:spPr bwMode="auto">
                    <a:xfrm>
                      <a:off x="0" y="0"/>
                      <a:ext cx="3098800"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39A5C" w14:textId="43FEEBB2" w:rsidR="007234F7" w:rsidRDefault="000A5A32" w:rsidP="007234F7">
      <w:pPr>
        <w:autoSpaceDE w:val="0"/>
        <w:autoSpaceDN w:val="0"/>
        <w:adjustRightInd w:val="0"/>
        <w:spacing w:after="0" w:line="240" w:lineRule="auto"/>
        <w:rPr>
          <w:rFonts w:ascii="Times New Roman" w:hAnsi="Times New Roman" w:cs="Times New Roman"/>
          <w:sz w:val="24"/>
          <w:szCs w:val="24"/>
        </w:rPr>
      </w:pPr>
      <w:r>
        <w:rPr>
          <w:noProof/>
          <w:lang w:val="en-US"/>
        </w:rPr>
        <w:drawing>
          <wp:anchor distT="0" distB="0" distL="114300" distR="114300" simplePos="0" relativeHeight="248396288" behindDoc="1" locked="0" layoutInCell="1" allowOverlap="1" wp14:anchorId="707DBBBB" wp14:editId="0C2690C7">
            <wp:simplePos x="0" y="0"/>
            <wp:positionH relativeFrom="margin">
              <wp:posOffset>3753683</wp:posOffset>
            </wp:positionH>
            <wp:positionV relativeFrom="page">
              <wp:posOffset>1667815</wp:posOffset>
            </wp:positionV>
            <wp:extent cx="2832100" cy="2646045"/>
            <wp:effectExtent l="0" t="0" r="6350" b="1905"/>
            <wp:wrapTight wrapText="bothSides">
              <wp:wrapPolygon edited="0">
                <wp:start x="0" y="0"/>
                <wp:lineTo x="0" y="21460"/>
                <wp:lineTo x="21503" y="21460"/>
                <wp:lineTo x="215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l="5739" t="7055" r="6844" b="5948"/>
                    <a:stretch/>
                  </pic:blipFill>
                  <pic:spPr bwMode="auto">
                    <a:xfrm>
                      <a:off x="0" y="0"/>
                      <a:ext cx="2832100" cy="264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57DBC" w14:textId="25F58533" w:rsidR="007234F7" w:rsidRDefault="007234F7" w:rsidP="007234F7">
      <w:pPr>
        <w:autoSpaceDE w:val="0"/>
        <w:autoSpaceDN w:val="0"/>
        <w:adjustRightInd w:val="0"/>
        <w:spacing w:after="0" w:line="240" w:lineRule="auto"/>
        <w:rPr>
          <w:rFonts w:ascii="Times New Roman" w:hAnsi="Times New Roman" w:cs="Times New Roman"/>
          <w:sz w:val="24"/>
          <w:szCs w:val="24"/>
        </w:rPr>
      </w:pPr>
    </w:p>
    <w:p w14:paraId="3E55659F" w14:textId="0E9BA820" w:rsidR="007234F7" w:rsidRDefault="007234F7" w:rsidP="007234F7">
      <w:pPr>
        <w:autoSpaceDE w:val="0"/>
        <w:autoSpaceDN w:val="0"/>
        <w:adjustRightInd w:val="0"/>
        <w:spacing w:after="0" w:line="400" w:lineRule="atLeast"/>
        <w:rPr>
          <w:rFonts w:ascii="Times New Roman" w:hAnsi="Times New Roman" w:cs="Times New Roman"/>
          <w:sz w:val="24"/>
          <w:szCs w:val="24"/>
        </w:rPr>
      </w:pPr>
    </w:p>
    <w:p w14:paraId="4422D67A" w14:textId="59A3773D" w:rsidR="00D6190C" w:rsidRDefault="00D6190C" w:rsidP="00D6190C">
      <w:pPr>
        <w:autoSpaceDE w:val="0"/>
        <w:autoSpaceDN w:val="0"/>
        <w:adjustRightInd w:val="0"/>
        <w:spacing w:after="0" w:line="240" w:lineRule="auto"/>
        <w:rPr>
          <w:rFonts w:ascii="Times New Roman" w:hAnsi="Times New Roman" w:cs="Times New Roman"/>
          <w:sz w:val="24"/>
          <w:szCs w:val="24"/>
        </w:rPr>
      </w:pPr>
    </w:p>
    <w:p w14:paraId="078AE7F5" w14:textId="6F6E49B6" w:rsidR="00D6190C" w:rsidRDefault="00D6190C" w:rsidP="00D6190C">
      <w:pPr>
        <w:autoSpaceDE w:val="0"/>
        <w:autoSpaceDN w:val="0"/>
        <w:adjustRightInd w:val="0"/>
        <w:spacing w:after="0" w:line="400" w:lineRule="atLeast"/>
        <w:rPr>
          <w:rFonts w:ascii="Times New Roman" w:hAnsi="Times New Roman" w:cs="Times New Roman"/>
          <w:sz w:val="24"/>
          <w:szCs w:val="24"/>
        </w:rPr>
      </w:pPr>
    </w:p>
    <w:p w14:paraId="3A8CA3DD" w14:textId="3240B00F" w:rsidR="00D6190C" w:rsidRDefault="00D6190C" w:rsidP="00147C80">
      <w:pPr>
        <w:autoSpaceDE w:val="0"/>
        <w:autoSpaceDN w:val="0"/>
        <w:adjustRightInd w:val="0"/>
        <w:spacing w:after="0" w:line="240" w:lineRule="auto"/>
        <w:rPr>
          <w:rFonts w:asciiTheme="majorHAnsi" w:hAnsiTheme="majorHAnsi" w:cstheme="majorHAnsi"/>
          <w:b/>
          <w:bCs/>
        </w:rPr>
      </w:pPr>
    </w:p>
    <w:p w14:paraId="0D400466" w14:textId="0938A994" w:rsidR="00BB27EF" w:rsidRDefault="00BB27EF" w:rsidP="00147C80">
      <w:pPr>
        <w:autoSpaceDE w:val="0"/>
        <w:autoSpaceDN w:val="0"/>
        <w:adjustRightInd w:val="0"/>
        <w:spacing w:after="0" w:line="240" w:lineRule="auto"/>
        <w:rPr>
          <w:rFonts w:asciiTheme="majorHAnsi" w:hAnsiTheme="majorHAnsi" w:cstheme="majorHAnsi"/>
          <w:b/>
          <w:bCs/>
        </w:rPr>
      </w:pPr>
    </w:p>
    <w:p w14:paraId="3E22250D" w14:textId="363D57F9" w:rsidR="00F2233B" w:rsidRPr="00F2233B" w:rsidRDefault="00F2233B" w:rsidP="00F2233B">
      <w:pPr>
        <w:rPr>
          <w:rFonts w:asciiTheme="majorHAnsi" w:hAnsiTheme="majorHAnsi" w:cstheme="majorHAnsi"/>
        </w:rPr>
      </w:pPr>
    </w:p>
    <w:p w14:paraId="25B826CA" w14:textId="481C1F38" w:rsidR="00F2233B" w:rsidRPr="00F2233B" w:rsidRDefault="00F2233B" w:rsidP="00F2233B">
      <w:pPr>
        <w:rPr>
          <w:rFonts w:asciiTheme="majorHAnsi" w:hAnsiTheme="majorHAnsi" w:cstheme="majorHAnsi"/>
        </w:rPr>
      </w:pPr>
    </w:p>
    <w:p w14:paraId="4837A0D5" w14:textId="1E6C8EFF" w:rsidR="00F2233B" w:rsidRPr="00F2233B" w:rsidRDefault="00F2233B" w:rsidP="00F2233B">
      <w:pPr>
        <w:rPr>
          <w:rFonts w:asciiTheme="majorHAnsi" w:hAnsiTheme="majorHAnsi" w:cstheme="majorHAnsi"/>
        </w:rPr>
      </w:pPr>
    </w:p>
    <w:p w14:paraId="44DC2195" w14:textId="3F1590D7" w:rsidR="00F2233B" w:rsidRPr="00F2233B" w:rsidRDefault="00F2233B" w:rsidP="00F2233B">
      <w:pPr>
        <w:rPr>
          <w:rFonts w:asciiTheme="majorHAnsi" w:hAnsiTheme="majorHAnsi" w:cstheme="majorHAnsi"/>
        </w:rPr>
      </w:pPr>
    </w:p>
    <w:p w14:paraId="66979E35" w14:textId="491A6267" w:rsidR="00F2233B" w:rsidRPr="00F2233B" w:rsidRDefault="000A5A32" w:rsidP="00F2233B">
      <w:pPr>
        <w:rPr>
          <w:rFonts w:asciiTheme="majorHAnsi" w:hAnsiTheme="majorHAnsi" w:cstheme="majorHAnsi"/>
        </w:rPr>
      </w:pPr>
      <w:r>
        <w:rPr>
          <w:noProof/>
          <w:lang w:val="en-US"/>
        </w:rPr>
        <mc:AlternateContent>
          <mc:Choice Requires="wps">
            <w:drawing>
              <wp:anchor distT="0" distB="0" distL="114300" distR="114300" simplePos="0" relativeHeight="249263616" behindDoc="1" locked="0" layoutInCell="1" allowOverlap="1" wp14:anchorId="0FDDBFFD" wp14:editId="3E8CCB81">
                <wp:simplePos x="0" y="0"/>
                <wp:positionH relativeFrom="margin">
                  <wp:posOffset>3902388</wp:posOffset>
                </wp:positionH>
                <wp:positionV relativeFrom="page">
                  <wp:posOffset>4361180</wp:posOffset>
                </wp:positionV>
                <wp:extent cx="2692400" cy="685800"/>
                <wp:effectExtent l="0" t="0" r="0" b="0"/>
                <wp:wrapTight wrapText="bothSides">
                  <wp:wrapPolygon edited="0">
                    <wp:start x="0" y="0"/>
                    <wp:lineTo x="0" y="21000"/>
                    <wp:lineTo x="21396" y="21000"/>
                    <wp:lineTo x="21396" y="0"/>
                    <wp:lineTo x="0" y="0"/>
                  </wp:wrapPolygon>
                </wp:wrapTight>
                <wp:docPr id="492" name="Text Box 492"/>
                <wp:cNvGraphicFramePr/>
                <a:graphic xmlns:a="http://schemas.openxmlformats.org/drawingml/2006/main">
                  <a:graphicData uri="http://schemas.microsoft.com/office/word/2010/wordprocessingShape">
                    <wps:wsp>
                      <wps:cNvSpPr txBox="1"/>
                      <wps:spPr>
                        <a:xfrm>
                          <a:off x="0" y="0"/>
                          <a:ext cx="2692400" cy="685800"/>
                        </a:xfrm>
                        <a:prstGeom prst="rect">
                          <a:avLst/>
                        </a:prstGeom>
                        <a:solidFill>
                          <a:prstClr val="white"/>
                        </a:solidFill>
                        <a:ln>
                          <a:noFill/>
                        </a:ln>
                      </wps:spPr>
                      <wps:txbx>
                        <w:txbxContent>
                          <w:p w14:paraId="157E6B0A" w14:textId="5A1D532F"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55</w:t>
                            </w:r>
                            <w:r w:rsidRPr="00B63B81">
                              <w:rPr>
                                <w:b/>
                                <w:bCs/>
                              </w:rPr>
                              <w:t>.</w:t>
                            </w:r>
                            <w:r>
                              <w:t xml:space="preserve"> A pie chart of age distribution as observed in Traffic Court between January 2017 and December 2018, from a sample size of 13,689.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DBFFD" id="Text Box 492" o:spid="_x0000_s1118" type="#_x0000_t202" style="position:absolute;margin-left:307.25pt;margin-top:343.4pt;width:212pt;height:54pt;z-index:-25405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" stroked="f">
                <v:textbox inset="0,0,0,0">
                  <w:txbxContent>
                    <w:p w14:paraId="157E6B0A" w14:textId="5A1D532F"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55</w:t>
                      </w:r>
                      <w:r w:rsidRPr="00B63B81">
                        <w:rPr>
                          <w:b/>
                          <w:bCs/>
                        </w:rPr>
                        <w:t>.</w:t>
                      </w:r>
                      <w:r>
                        <w:t xml:space="preserve"> A pie chart of age distribution as observed in Traffic Court between January 2017 and December 2018, from a sample size of 13,689. Slice size represents the relative proportion of respondents within an age category. </w:t>
                      </w:r>
                    </w:p>
                  </w:txbxContent>
                </v:textbox>
                <w10:wrap type="tight" anchorx="margin" anchory="page"/>
              </v:shape>
            </w:pict>
          </mc:Fallback>
        </mc:AlternateContent>
      </w:r>
      <w:r w:rsidRPr="00AC0A7E">
        <w:rPr>
          <w:rFonts w:ascii="Times New Roman" w:hAnsi="Times New Roman" w:cs="Times New Roman"/>
          <w:noProof/>
          <w:sz w:val="24"/>
          <w:szCs w:val="24"/>
          <w:lang w:val="en-US"/>
        </w:rPr>
        <mc:AlternateContent>
          <mc:Choice Requires="wps">
            <w:drawing>
              <wp:anchor distT="45720" distB="45720" distL="114300" distR="114300" simplePos="0" relativeHeight="248935936" behindDoc="1" locked="0" layoutInCell="1" allowOverlap="1" wp14:anchorId="0AF138F0" wp14:editId="3A67E9F5">
                <wp:simplePos x="0" y="0"/>
                <wp:positionH relativeFrom="margin">
                  <wp:posOffset>37474</wp:posOffset>
                </wp:positionH>
                <wp:positionV relativeFrom="page">
                  <wp:posOffset>4232514</wp:posOffset>
                </wp:positionV>
                <wp:extent cx="2743200" cy="1023620"/>
                <wp:effectExtent l="0" t="0" r="0" b="5080"/>
                <wp:wrapTight wrapText="bothSides">
                  <wp:wrapPolygon edited="0">
                    <wp:start x="0" y="0"/>
                    <wp:lineTo x="0" y="21305"/>
                    <wp:lineTo x="21450" y="21305"/>
                    <wp:lineTo x="21450" y="0"/>
                    <wp:lineTo x="0" y="0"/>
                  </wp:wrapPolygon>
                </wp:wrapTight>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3620"/>
                        </a:xfrm>
                        <a:prstGeom prst="rect">
                          <a:avLst/>
                        </a:prstGeom>
                        <a:solidFill>
                          <a:srgbClr val="FFFFFF"/>
                        </a:solidFill>
                        <a:ln w="9525">
                          <a:noFill/>
                          <a:miter lim="800000"/>
                          <a:headEnd/>
                          <a:tailEnd/>
                        </a:ln>
                      </wps:spPr>
                      <wps:txbx>
                        <w:txbxContent>
                          <w:p w14:paraId="1DAEB296" w14:textId="3A1E9B37" w:rsidR="00A56EB4" w:rsidRPr="00AC0A7E" w:rsidRDefault="00A56EB4" w:rsidP="0089029C">
                            <w:pPr>
                              <w:pStyle w:val="Caption"/>
                            </w:pPr>
                            <w:r w:rsidRPr="00AC0A7E">
                              <w:rPr>
                                <w:b/>
                                <w:bCs/>
                              </w:rPr>
                              <w:t xml:space="preserve">Figure </w:t>
                            </w:r>
                            <w:r>
                              <w:rPr>
                                <w:b/>
                                <w:bCs/>
                              </w:rPr>
                              <w:t>54</w:t>
                            </w:r>
                            <w:r w:rsidRPr="00AC0A7E">
                              <w:rPr>
                                <w:b/>
                                <w:bCs/>
                              </w:rPr>
                              <w:t xml:space="preserve">. </w:t>
                            </w:r>
                            <w:r w:rsidRPr="00AC0A7E">
                              <w:t xml:space="preserve"> A pie chart of gender distribution as observed in </w:t>
                            </w:r>
                            <w:r>
                              <w:t>Calgary’s Traffic Court</w:t>
                            </w:r>
                            <w:r w:rsidRPr="00AC0A7E">
                              <w:t xml:space="preserve"> between January 2017 and December 2018, from a sample size of </w:t>
                            </w:r>
                            <w:r>
                              <w:t>14,347</w:t>
                            </w:r>
                            <w:r w:rsidRPr="00AC0A7E">
                              <w:t>. Slice sizes represent the proportion of attendees identifying as a specific gender.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F138F0" id="_x0000_s1119" type="#_x0000_t202" style="position:absolute;margin-left:2.95pt;margin-top:333.25pt;width:3in;height:80.6pt;z-index:-254380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" stroked="f">
                <v:textbox style="mso-fit-shape-to-text:t">
                  <w:txbxContent>
                    <w:p w14:paraId="1DAEB296" w14:textId="3A1E9B37" w:rsidR="00A56EB4" w:rsidRPr="00AC0A7E" w:rsidRDefault="00A56EB4" w:rsidP="0089029C">
                      <w:pPr>
                        <w:pStyle w:val="Caption"/>
                      </w:pPr>
                      <w:r w:rsidRPr="00AC0A7E">
                        <w:rPr>
                          <w:b/>
                          <w:bCs/>
                        </w:rPr>
                        <w:t xml:space="preserve">Figure </w:t>
                      </w:r>
                      <w:r>
                        <w:rPr>
                          <w:b/>
                          <w:bCs/>
                        </w:rPr>
                        <w:t>54</w:t>
                      </w:r>
                      <w:r w:rsidRPr="00AC0A7E">
                        <w:rPr>
                          <w:b/>
                          <w:bCs/>
                        </w:rPr>
                        <w:t xml:space="preserve">. </w:t>
                      </w:r>
                      <w:r w:rsidRPr="00AC0A7E">
                        <w:t xml:space="preserve"> A pie chart of gender distribution as observed in </w:t>
                      </w:r>
                      <w:r>
                        <w:t>Calgary’s Traffic Court</w:t>
                      </w:r>
                      <w:r w:rsidRPr="00AC0A7E">
                        <w:t xml:space="preserve"> between January 2017 and December 2018, from a sample size of </w:t>
                      </w:r>
                      <w:r>
                        <w:t>14,347</w:t>
                      </w:r>
                      <w:r w:rsidRPr="00AC0A7E">
                        <w:t>. Slice sizes represent the proportion of attendees identifying as a specific gender.</w:t>
                      </w:r>
                    </w:p>
                  </w:txbxContent>
                </v:textbox>
                <w10:wrap type="tight" anchorx="margin" anchory="page"/>
              </v:shape>
            </w:pict>
          </mc:Fallback>
        </mc:AlternateContent>
      </w:r>
    </w:p>
    <w:p w14:paraId="6AE943EB" w14:textId="63D02C15" w:rsidR="00F2233B" w:rsidRPr="00F2233B" w:rsidRDefault="00F2233B" w:rsidP="00F2233B">
      <w:pPr>
        <w:rPr>
          <w:rFonts w:asciiTheme="majorHAnsi" w:hAnsiTheme="majorHAnsi" w:cstheme="majorHAnsi"/>
        </w:rPr>
      </w:pPr>
    </w:p>
    <w:p w14:paraId="4406A1D8" w14:textId="102452DF" w:rsidR="00F2233B" w:rsidRPr="00F2233B" w:rsidRDefault="000A5A32" w:rsidP="00F2233B">
      <w:pPr>
        <w:rPr>
          <w:rFonts w:asciiTheme="majorHAnsi" w:hAnsiTheme="majorHAnsi" w:cstheme="majorHAnsi"/>
        </w:rPr>
      </w:pPr>
      <w:r>
        <w:rPr>
          <w:noProof/>
          <w:lang w:val="en-US"/>
        </w:rPr>
        <mc:AlternateContent>
          <mc:Choice Requires="wps">
            <w:drawing>
              <wp:anchor distT="0" distB="0" distL="114300" distR="114300" simplePos="0" relativeHeight="249577984" behindDoc="1" locked="0" layoutInCell="1" allowOverlap="1" wp14:anchorId="6247A4A5" wp14:editId="3F872A87">
                <wp:simplePos x="0" y="0"/>
                <wp:positionH relativeFrom="margin">
                  <wp:posOffset>-6350</wp:posOffset>
                </wp:positionH>
                <wp:positionV relativeFrom="margin">
                  <wp:posOffset>8550522</wp:posOffset>
                </wp:positionV>
                <wp:extent cx="6862445" cy="381000"/>
                <wp:effectExtent l="0" t="0" r="0" b="0"/>
                <wp:wrapTight wrapText="bothSides">
                  <wp:wrapPolygon edited="0">
                    <wp:start x="0" y="0"/>
                    <wp:lineTo x="0" y="20520"/>
                    <wp:lineTo x="21526" y="20520"/>
                    <wp:lineTo x="21526" y="0"/>
                    <wp:lineTo x="0" y="0"/>
                  </wp:wrapPolygon>
                </wp:wrapTight>
                <wp:docPr id="500" name="Text Box 500"/>
                <wp:cNvGraphicFramePr/>
                <a:graphic xmlns:a="http://schemas.openxmlformats.org/drawingml/2006/main">
                  <a:graphicData uri="http://schemas.microsoft.com/office/word/2010/wordprocessingShape">
                    <wps:wsp>
                      <wps:cNvSpPr txBox="1"/>
                      <wps:spPr>
                        <a:xfrm>
                          <a:off x="0" y="0"/>
                          <a:ext cx="6862445" cy="381000"/>
                        </a:xfrm>
                        <a:prstGeom prst="rect">
                          <a:avLst/>
                        </a:prstGeom>
                        <a:solidFill>
                          <a:prstClr val="white"/>
                        </a:solidFill>
                        <a:ln>
                          <a:noFill/>
                        </a:ln>
                      </wps:spPr>
                      <wps:txbx>
                        <w:txbxContent>
                          <w:p w14:paraId="4E86AF2B" w14:textId="7082F14E" w:rsidR="00A56EB4" w:rsidRPr="00F2233B" w:rsidRDefault="00A56EB4" w:rsidP="00F2233B">
                            <w:pPr>
                              <w:pStyle w:val="Caption"/>
                            </w:pPr>
                            <w:r w:rsidRPr="00B63B81">
                              <w:rPr>
                                <w:b/>
                                <w:bCs/>
                              </w:rPr>
                              <w:t xml:space="preserve">Figure </w:t>
                            </w:r>
                            <w:r>
                              <w:rPr>
                                <w:b/>
                                <w:bCs/>
                              </w:rPr>
                              <w:t>56</w:t>
                            </w:r>
                            <w:r>
                              <w:t>. A population pyramid representing the frequency (x-axis) of attendee gender (split), stratified by age (y-axis), at Calgary’s Traffic Court between January 2017 and December 2018, from a sample size of 13,664.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A4A5" id="Text Box 500" o:spid="_x0000_s1120" type="#_x0000_t202" style="position:absolute;margin-left:-.5pt;margin-top:673.25pt;width:540.35pt;height:30pt;z-index:-253738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" stroked="f">
                <v:textbox inset="0,0,0,0">
                  <w:txbxContent>
                    <w:p w14:paraId="4E86AF2B" w14:textId="7082F14E" w:rsidR="00A56EB4" w:rsidRPr="00F2233B" w:rsidRDefault="00A56EB4" w:rsidP="00F2233B">
                      <w:pPr>
                        <w:pStyle w:val="Caption"/>
                      </w:pPr>
                      <w:r w:rsidRPr="00B63B81">
                        <w:rPr>
                          <w:b/>
                          <w:bCs/>
                        </w:rPr>
                        <w:t xml:space="preserve">Figure </w:t>
                      </w:r>
                      <w:r>
                        <w:rPr>
                          <w:b/>
                          <w:bCs/>
                        </w:rPr>
                        <w:t>56</w:t>
                      </w:r>
                      <w:r>
                        <w:t>. A population pyramid representing the frequency (x-axis) of attendee gender (split), stratified by age (y-axis), at Calgary’s Traffic Court between January 2017 and December 2018, from a sample size of 13,664.</w:t>
                      </w:r>
                    </w:p>
                  </w:txbxContent>
                </v:textbox>
                <w10:wrap type="tight" anchorx="margin" anchory="margin"/>
              </v:shape>
            </w:pict>
          </mc:Fallback>
        </mc:AlternateContent>
      </w:r>
      <w:r>
        <w:rPr>
          <w:rFonts w:ascii="Times New Roman" w:hAnsi="Times New Roman" w:cs="Times New Roman"/>
          <w:noProof/>
          <w:sz w:val="24"/>
          <w:szCs w:val="24"/>
          <w:lang w:val="en-US"/>
        </w:rPr>
        <w:drawing>
          <wp:anchor distT="0" distB="0" distL="114300" distR="114300" simplePos="0" relativeHeight="254456320" behindDoc="1" locked="0" layoutInCell="1" allowOverlap="1" wp14:anchorId="6FDCE197" wp14:editId="3F7764AB">
            <wp:simplePos x="0" y="0"/>
            <wp:positionH relativeFrom="margin">
              <wp:posOffset>14737</wp:posOffset>
            </wp:positionH>
            <wp:positionV relativeFrom="page">
              <wp:posOffset>5185600</wp:posOffset>
            </wp:positionV>
            <wp:extent cx="6845300" cy="4025900"/>
            <wp:effectExtent l="0" t="0" r="0" b="0"/>
            <wp:wrapTight wrapText="bothSides">
              <wp:wrapPolygon edited="0">
                <wp:start x="0" y="0"/>
                <wp:lineTo x="0" y="21464"/>
                <wp:lineTo x="21520" y="21464"/>
                <wp:lineTo x="21520"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45300" cy="402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276E1" w14:textId="37806806" w:rsidR="00F2233B" w:rsidRDefault="00F2233B" w:rsidP="00F2233B">
      <w:pPr>
        <w:rPr>
          <w:rFonts w:asciiTheme="majorHAnsi" w:hAnsiTheme="majorHAnsi" w:cstheme="majorHAnsi"/>
          <w:b/>
          <w:bCs/>
        </w:rPr>
      </w:pPr>
    </w:p>
    <w:p w14:paraId="5A0003C9" w14:textId="6695B3F9" w:rsidR="005C2D30" w:rsidRDefault="005C2D30" w:rsidP="000E38A4">
      <w:pPr>
        <w:autoSpaceDE w:val="0"/>
        <w:autoSpaceDN w:val="0"/>
        <w:adjustRightInd w:val="0"/>
        <w:spacing w:after="0" w:line="240" w:lineRule="auto"/>
      </w:pPr>
    </w:p>
    <w:p w14:paraId="11B9B333" w14:textId="05CDEA8F" w:rsidR="00136878" w:rsidRPr="00136878" w:rsidRDefault="00D5652F" w:rsidP="00136878">
      <w:pPr>
        <w:autoSpaceDE w:val="0"/>
        <w:autoSpaceDN w:val="0"/>
        <w:adjustRightInd w:val="0"/>
        <w:spacing w:after="0" w:line="240" w:lineRule="auto"/>
        <w:rPr>
          <w:rFonts w:ascii="Times New Roman" w:hAnsi="Times New Roman" w:cs="Times New Roman"/>
          <w:sz w:val="24"/>
          <w:szCs w:val="24"/>
        </w:rPr>
      </w:pPr>
      <w:r>
        <w:t xml:space="preserve">It was observed that in defendants receiving services from the Elizabeth Fry Society of Calgary in Calgary’s </w:t>
      </w:r>
      <w:r w:rsidR="007952BD">
        <w:t>Traffic Court</w:t>
      </w:r>
      <w:r>
        <w:t xml:space="preserve">, distribution was </w:t>
      </w:r>
      <w:r w:rsidR="007F25C2">
        <w:t>moderately</w:t>
      </w:r>
      <w:r>
        <w:t xml:space="preserve"> concentrated in younger age groups, and in men. </w:t>
      </w:r>
      <w:r w:rsidR="007F25C2">
        <w:t xml:space="preserve">More than half </w:t>
      </w:r>
      <w:r>
        <w:t>(</w:t>
      </w:r>
      <w:r w:rsidR="007F25C2">
        <w:t>61.76</w:t>
      </w:r>
      <w:r>
        <w:t xml:space="preserve">%) of defendants identified as male (Figure </w:t>
      </w:r>
      <w:r w:rsidR="009F2AB6">
        <w:t>54</w:t>
      </w:r>
      <w:r>
        <w:t xml:space="preserve">), while </w:t>
      </w:r>
      <w:r w:rsidR="007F25C2">
        <w:t>29.56</w:t>
      </w:r>
      <w:r>
        <w:t xml:space="preserve">% reported being under the age of 30 (Figure </w:t>
      </w:r>
      <w:r w:rsidR="009F2AB6">
        <w:t>55</w:t>
      </w:r>
      <w:r>
        <w:t xml:space="preserve">). With men aged 30-39 making up the second largest demographic observed, more than </w:t>
      </w:r>
      <w:r w:rsidR="007F25C2">
        <w:t>half</w:t>
      </w:r>
      <w:r>
        <w:t xml:space="preserve"> of defendants served (</w:t>
      </w:r>
      <w:r w:rsidR="007F25C2">
        <w:t>56.33</w:t>
      </w:r>
      <w:r>
        <w:t xml:space="preserve">%) were under the age of 40, with progressively reduced proportions in subsequent age groups (Figure </w:t>
      </w:r>
      <w:r w:rsidR="009F2AB6">
        <w:t>56</w:t>
      </w:r>
      <w:r>
        <w:t xml:space="preserve">). This is reflected in the population pyramid, which is bottom-heavy, suggesting a trend towards younger age groups, and </w:t>
      </w:r>
      <w:r w:rsidR="009F2AB6">
        <w:t xml:space="preserve">slightly </w:t>
      </w:r>
      <w:r>
        <w:t xml:space="preserve">left-leaning, suggesting </w:t>
      </w:r>
      <w:r w:rsidR="007F25C2">
        <w:t>a greater</w:t>
      </w:r>
      <w:r>
        <w:t xml:space="preserve"> representation of male defendants</w:t>
      </w:r>
      <w:r w:rsidR="009F2AB6">
        <w:t xml:space="preserve"> (Figure 56)</w:t>
      </w:r>
      <w:r>
        <w:t>. Men under 30</w:t>
      </w:r>
      <w:r w:rsidR="007F25C2">
        <w:t xml:space="preserve">, and between ages 30-39, </w:t>
      </w:r>
      <w:r>
        <w:t>represent the most common demographic</w:t>
      </w:r>
      <w:r w:rsidR="007F25C2">
        <w:t>s</w:t>
      </w:r>
      <w:r>
        <w:t xml:space="preserve"> supported by the organization, making up </w:t>
      </w:r>
      <w:r w:rsidR="007F25C2">
        <w:t>18.10</w:t>
      </w:r>
      <w:r>
        <w:t>%</w:t>
      </w:r>
      <w:r w:rsidR="007F25C2">
        <w:t xml:space="preserve"> and </w:t>
      </w:r>
      <w:r w:rsidR="00DE7090">
        <w:t>15.97</w:t>
      </w:r>
      <w:r w:rsidR="007F25C2">
        <w:t>%</w:t>
      </w:r>
      <w:r>
        <w:t xml:space="preserve"> of all defendants, with a prevalence </w:t>
      </w:r>
      <w:r w:rsidR="00DE7090">
        <w:t>1.58</w:t>
      </w:r>
      <w:r>
        <w:t xml:space="preserve">X </w:t>
      </w:r>
      <w:r w:rsidR="007F25C2">
        <w:t xml:space="preserve">and </w:t>
      </w:r>
      <w:r w:rsidR="00DE7090">
        <w:t>1.48</w:t>
      </w:r>
      <w:r w:rsidR="007F25C2">
        <w:t xml:space="preserve">X </w:t>
      </w:r>
      <w:r>
        <w:t>that of their age-matched female peers</w:t>
      </w:r>
      <w:r w:rsidR="007F25C2">
        <w:t>, respectively</w:t>
      </w:r>
      <w:r>
        <w:t xml:space="preserve"> (</w:t>
      </w:r>
      <w:r w:rsidR="009F2AB6">
        <w:t xml:space="preserve">Figure </w:t>
      </w:r>
      <w:r w:rsidR="00904121">
        <w:t>56).</w:t>
      </w:r>
    </w:p>
    <w:p w14:paraId="1527C2B2" w14:textId="47AC230D" w:rsidR="00950439" w:rsidRDefault="00415304" w:rsidP="00136878">
      <w:pPr>
        <w:autoSpaceDE w:val="0"/>
        <w:autoSpaceDN w:val="0"/>
        <w:adjustRightInd w:val="0"/>
        <w:spacing w:after="0" w:line="240" w:lineRule="auto"/>
      </w:pPr>
      <w:r>
        <w:rPr>
          <w:rFonts w:ascii="Times New Roman" w:hAnsi="Times New Roman" w:cs="Times New Roman"/>
          <w:noProof/>
          <w:sz w:val="24"/>
          <w:szCs w:val="24"/>
          <w:lang w:val="en-US"/>
        </w:rPr>
        <w:drawing>
          <wp:anchor distT="0" distB="0" distL="114300" distR="114300" simplePos="0" relativeHeight="254493184" behindDoc="1" locked="0" layoutInCell="1" allowOverlap="1" wp14:anchorId="6F9440E3" wp14:editId="625DD5FA">
            <wp:simplePos x="0" y="0"/>
            <wp:positionH relativeFrom="margin">
              <wp:posOffset>0</wp:posOffset>
            </wp:positionH>
            <wp:positionV relativeFrom="page">
              <wp:posOffset>2633996</wp:posOffset>
            </wp:positionV>
            <wp:extent cx="4108450" cy="2857500"/>
            <wp:effectExtent l="0" t="0" r="6350" b="0"/>
            <wp:wrapTight wrapText="bothSides">
              <wp:wrapPolygon edited="0">
                <wp:start x="0" y="0"/>
                <wp:lineTo x="0" y="21456"/>
                <wp:lineTo x="21533" y="21456"/>
                <wp:lineTo x="21533"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1">
                      <a:extLst>
                        <a:ext uri="{28A0092B-C50C-407E-A947-70E740481C1C}">
                          <a14:useLocalDpi xmlns:a14="http://schemas.microsoft.com/office/drawing/2010/main" val="0"/>
                        </a:ext>
                      </a:extLst>
                    </a:blip>
                    <a:srcRect l="23932" t="19566" r="24145" b="19202"/>
                    <a:stretch/>
                  </pic:blipFill>
                  <pic:spPr bwMode="auto">
                    <a:xfrm>
                      <a:off x="0" y="0"/>
                      <a:ext cx="4108450" cy="2857500"/>
                    </a:xfrm>
                    <a:prstGeom prst="rect">
                      <a:avLst/>
                    </a:prstGeom>
                    <a:noFill/>
                    <a:ln>
                      <a:noFill/>
                    </a:ln>
                    <a:extLst>
                      <a:ext uri="{53640926-AAD7-44D8-BBD7-CCE9431645EC}">
                        <a14:shadowObscured xmlns:a14="http://schemas.microsoft.com/office/drawing/2010/main"/>
                      </a:ext>
                    </a:extLst>
                  </pic:spPr>
                </pic:pic>
              </a:graphicData>
            </a:graphic>
          </wp:anchor>
        </w:drawing>
      </w:r>
      <w:r w:rsidRPr="00926579">
        <w:rPr>
          <w:noProof/>
          <w:lang w:val="en-US"/>
        </w:rPr>
        <mc:AlternateContent>
          <mc:Choice Requires="wps">
            <w:drawing>
              <wp:anchor distT="0" distB="0" distL="114300" distR="114300" simplePos="0" relativeHeight="249931264" behindDoc="1" locked="0" layoutInCell="1" allowOverlap="1" wp14:anchorId="72242CAA" wp14:editId="44E6BA34">
                <wp:simplePos x="0" y="0"/>
                <wp:positionH relativeFrom="margin">
                  <wp:posOffset>4165600</wp:posOffset>
                </wp:positionH>
                <wp:positionV relativeFrom="margin">
                  <wp:posOffset>2097174</wp:posOffset>
                </wp:positionV>
                <wp:extent cx="2692400" cy="939800"/>
                <wp:effectExtent l="0" t="0" r="0" b="0"/>
                <wp:wrapTight wrapText="bothSides">
                  <wp:wrapPolygon edited="0">
                    <wp:start x="0" y="0"/>
                    <wp:lineTo x="0" y="21016"/>
                    <wp:lineTo x="21396" y="21016"/>
                    <wp:lineTo x="21396" y="0"/>
                    <wp:lineTo x="0" y="0"/>
                  </wp:wrapPolygon>
                </wp:wrapTight>
                <wp:docPr id="513" name="Text Box 513"/>
                <wp:cNvGraphicFramePr/>
                <a:graphic xmlns:a="http://schemas.openxmlformats.org/drawingml/2006/main">
                  <a:graphicData uri="http://schemas.microsoft.com/office/word/2010/wordprocessingShape">
                    <wps:wsp>
                      <wps:cNvSpPr txBox="1"/>
                      <wps:spPr>
                        <a:xfrm>
                          <a:off x="0" y="0"/>
                          <a:ext cx="2692400" cy="939800"/>
                        </a:xfrm>
                        <a:prstGeom prst="rect">
                          <a:avLst/>
                        </a:prstGeom>
                        <a:solidFill>
                          <a:prstClr val="white"/>
                        </a:solidFill>
                        <a:ln>
                          <a:noFill/>
                        </a:ln>
                      </wps:spPr>
                      <wps:txbx>
                        <w:txbxContent>
                          <w:p w14:paraId="347590AA" w14:textId="6F34E608"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57.</w:t>
                            </w:r>
                            <w:r>
                              <w:t xml:space="preserve"> A pie chart of minority status as observed in Calgary’s Traffic Court between January 2017 and December 2018, from a sample size of 14,397. Slice size represents the relative proportion of respondents identifying as part of a minority group. </w:t>
                            </w:r>
                          </w:p>
                          <w:p w14:paraId="1D3BA04D" w14:textId="77777777" w:rsidR="00A56EB4" w:rsidRPr="00572B34" w:rsidRDefault="00A56EB4" w:rsidP="00926579">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42CAA" id="Text Box 513" o:spid="_x0000_s1121" type="#_x0000_t202" style="position:absolute;margin-left:328pt;margin-top:165.15pt;width:212pt;height:74pt;z-index:-253385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xMgIAAGwEAAAOAAAAZHJzL2Uyb0RvYy54bWysVFFv2yAQfp+0/4B4X5ykW9VY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" stroked="f">
                <v:textbox inset="0,0,0,0">
                  <w:txbxContent>
                    <w:p w14:paraId="347590AA" w14:textId="6F34E608"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57.</w:t>
                      </w:r>
                      <w:r>
                        <w:t xml:space="preserve"> A pie chart of minority status as observed in Calgary’s Traffic Court between January 2017 and December 2018, from a sample size of 14,397. Slice size represents the relative proportion of respondents identifying as part of a minority group. </w:t>
                      </w:r>
                    </w:p>
                    <w:p w14:paraId="1D3BA04D" w14:textId="77777777" w:rsidR="00A56EB4" w:rsidRPr="00572B34" w:rsidRDefault="00A56EB4" w:rsidP="00926579">
                      <w:pPr>
                        <w:pStyle w:val="Caption"/>
                        <w:rPr>
                          <w:rFonts w:ascii="Times New Roman" w:hAnsi="Times New Roman" w:cs="Times New Roman"/>
                          <w:noProof/>
                          <w:sz w:val="24"/>
                          <w:szCs w:val="24"/>
                        </w:rPr>
                      </w:pPr>
                    </w:p>
                  </w:txbxContent>
                </v:textbox>
                <w10:wrap type="tight" anchorx="margin" anchory="margin"/>
              </v:shape>
            </w:pict>
          </mc:Fallback>
        </mc:AlternateContent>
      </w:r>
      <w:r w:rsidR="004B0B1A">
        <w:rPr>
          <w:rFonts w:ascii="Times New Roman" w:hAnsi="Times New Roman" w:cs="Times New Roman"/>
          <w:noProof/>
          <w:sz w:val="24"/>
          <w:szCs w:val="24"/>
          <w:lang w:val="en-US"/>
        </w:rPr>
        <w:drawing>
          <wp:anchor distT="0" distB="0" distL="114300" distR="114300" simplePos="0" relativeHeight="254525952" behindDoc="1" locked="0" layoutInCell="1" allowOverlap="1" wp14:anchorId="668BCDF0" wp14:editId="62822352">
            <wp:simplePos x="0" y="0"/>
            <wp:positionH relativeFrom="margin">
              <wp:align>right</wp:align>
            </wp:positionH>
            <wp:positionV relativeFrom="page">
              <wp:posOffset>5511800</wp:posOffset>
            </wp:positionV>
            <wp:extent cx="6858000" cy="4032885"/>
            <wp:effectExtent l="0" t="0" r="0" b="5715"/>
            <wp:wrapTight wrapText="bothSides">
              <wp:wrapPolygon edited="0">
                <wp:start x="0" y="0"/>
                <wp:lineTo x="0" y="21529"/>
                <wp:lineTo x="21540" y="21529"/>
                <wp:lineTo x="21540" y="0"/>
                <wp:lineTo x="0" y="0"/>
              </wp:wrapPolygon>
            </wp:wrapTight>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0" cy="403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069D8" w14:textId="6AEDB369" w:rsidR="00950439" w:rsidRDefault="00950439" w:rsidP="00136878">
      <w:pPr>
        <w:autoSpaceDE w:val="0"/>
        <w:autoSpaceDN w:val="0"/>
        <w:adjustRightInd w:val="0"/>
        <w:spacing w:after="0" w:line="240" w:lineRule="auto"/>
      </w:pPr>
    </w:p>
    <w:p w14:paraId="277C7EC4" w14:textId="3FF49C62" w:rsidR="00950439" w:rsidRDefault="004B0B1A" w:rsidP="00136878">
      <w:pPr>
        <w:autoSpaceDE w:val="0"/>
        <w:autoSpaceDN w:val="0"/>
        <w:adjustRightInd w:val="0"/>
        <w:spacing w:after="0" w:line="240" w:lineRule="auto"/>
      </w:pPr>
      <w:r>
        <w:rPr>
          <w:noProof/>
          <w:lang w:val="en-US"/>
        </w:rPr>
        <mc:AlternateContent>
          <mc:Choice Requires="wps">
            <w:drawing>
              <wp:anchor distT="0" distB="0" distL="114300" distR="114300" simplePos="0" relativeHeight="250255872" behindDoc="1" locked="0" layoutInCell="1" allowOverlap="1" wp14:anchorId="19D31418" wp14:editId="3591F71A">
                <wp:simplePos x="0" y="0"/>
                <wp:positionH relativeFrom="margin">
                  <wp:posOffset>4165600</wp:posOffset>
                </wp:positionH>
                <wp:positionV relativeFrom="paragraph">
                  <wp:posOffset>194310</wp:posOffset>
                </wp:positionV>
                <wp:extent cx="2717800" cy="1435100"/>
                <wp:effectExtent l="0" t="0" r="6350" b="0"/>
                <wp:wrapTight wrapText="bothSides">
                  <wp:wrapPolygon edited="0">
                    <wp:start x="0" y="0"/>
                    <wp:lineTo x="0" y="21218"/>
                    <wp:lineTo x="21499" y="21218"/>
                    <wp:lineTo x="21499" y="0"/>
                    <wp:lineTo x="0" y="0"/>
                  </wp:wrapPolygon>
                </wp:wrapTight>
                <wp:docPr id="521" name="Text Box 521"/>
                <wp:cNvGraphicFramePr/>
                <a:graphic xmlns:a="http://schemas.openxmlformats.org/drawingml/2006/main">
                  <a:graphicData uri="http://schemas.microsoft.com/office/word/2010/wordprocessingShape">
                    <wps:wsp>
                      <wps:cNvSpPr txBox="1"/>
                      <wps:spPr>
                        <a:xfrm>
                          <a:off x="0" y="0"/>
                          <a:ext cx="2717800" cy="1435100"/>
                        </a:xfrm>
                        <a:prstGeom prst="rect">
                          <a:avLst/>
                        </a:prstGeom>
                        <a:solidFill>
                          <a:prstClr val="white"/>
                        </a:solidFill>
                        <a:ln>
                          <a:noFill/>
                        </a:ln>
                      </wps:spPr>
                      <wps:txbx>
                        <w:txbxContent>
                          <w:p w14:paraId="14121CF3" w14:textId="02058DA7" w:rsidR="00A56EB4" w:rsidRPr="00E25FCA" w:rsidRDefault="00A56EB4" w:rsidP="009D0478">
                            <w:pPr>
                              <w:pStyle w:val="Caption"/>
                            </w:pPr>
                            <w:r w:rsidRPr="00B63B81">
                              <w:rPr>
                                <w:b/>
                                <w:bCs/>
                              </w:rPr>
                              <w:t xml:space="preserve">Figure </w:t>
                            </w:r>
                            <w:r>
                              <w:rPr>
                                <w:b/>
                                <w:bCs/>
                              </w:rPr>
                              <w:t>58</w:t>
                            </w:r>
                            <w:r w:rsidRPr="00B63B81">
                              <w:rPr>
                                <w:b/>
                                <w:bCs/>
                              </w:rPr>
                              <w:t>.</w:t>
                            </w:r>
                            <w:r>
                              <w:t xml:space="preserve"> A population pyramid representing frequency (x-axis) of attendee gender (split), stratified by age (y-axis), and grouped by minority status at Calgary’s Traffic Court between January 2017 and December 2018, from a sample size of 13,664 (neither: 11,882, Indigenous: 367, newcomers: 1415). Values exceeding the scale of the count have been indicated on their respective bar, to allow for ease of observing minority group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1418" id="Text Box 521" o:spid="_x0000_s1122" type="#_x0000_t202" style="position:absolute;margin-left:328pt;margin-top:15.3pt;width:214pt;height:113pt;z-index:-2530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" stroked="f">
                <v:textbox inset="0,0,0,0">
                  <w:txbxContent>
                    <w:p w14:paraId="14121CF3" w14:textId="02058DA7" w:rsidR="00A56EB4" w:rsidRPr="00E25FCA" w:rsidRDefault="00A56EB4" w:rsidP="009D0478">
                      <w:pPr>
                        <w:pStyle w:val="Caption"/>
                      </w:pPr>
                      <w:r w:rsidRPr="00B63B81">
                        <w:rPr>
                          <w:b/>
                          <w:bCs/>
                        </w:rPr>
                        <w:t xml:space="preserve">Figure </w:t>
                      </w:r>
                      <w:r>
                        <w:rPr>
                          <w:b/>
                          <w:bCs/>
                        </w:rPr>
                        <w:t>58</w:t>
                      </w:r>
                      <w:r w:rsidRPr="00B63B81">
                        <w:rPr>
                          <w:b/>
                          <w:bCs/>
                        </w:rPr>
                        <w:t>.</w:t>
                      </w:r>
                      <w:r>
                        <w:t xml:space="preserve"> A population pyramid representing frequency (x-axis) of attendee gender (split), stratified by age (y-axis), and grouped by minority status at Calgary’s Traffic Court between January 2017 and December 2018, from a sample size of 13,664 (neither: 11,882, Indigenous: 367, newcomers: 1415). Values exceeding the scale of the count have been indicated on their respective bar, to allow for ease of observing minority group data. </w:t>
                      </w:r>
                    </w:p>
                  </w:txbxContent>
                </v:textbox>
                <w10:wrap type="tight" anchorx="margin"/>
              </v:shape>
            </w:pict>
          </mc:Fallback>
        </mc:AlternateContent>
      </w:r>
    </w:p>
    <w:p w14:paraId="2A6305EA" w14:textId="6E9974D7" w:rsidR="000F7270" w:rsidRPr="00136878" w:rsidRDefault="00A023C1" w:rsidP="00136878">
      <w:pPr>
        <w:autoSpaceDE w:val="0"/>
        <w:autoSpaceDN w:val="0"/>
        <w:adjustRightInd w:val="0"/>
        <w:spacing w:after="0" w:line="240" w:lineRule="auto"/>
        <w:rPr>
          <w:rFonts w:ascii="Times New Roman" w:hAnsi="Times New Roman" w:cs="Times New Roman"/>
          <w:sz w:val="24"/>
          <w:szCs w:val="24"/>
        </w:rPr>
      </w:pPr>
      <w:r>
        <w:lastRenderedPageBreak/>
        <w:t xml:space="preserve">It was observed that the majority (87.48%) of defendants receiving services from the Elizabeth Fry Society of Calgary in Calgary’s </w:t>
      </w:r>
      <w:r w:rsidR="007952BD">
        <w:t>Traffic Court</w:t>
      </w:r>
      <w:r>
        <w:t xml:space="preserve"> had no minority status (Figure </w:t>
      </w:r>
      <w:r w:rsidR="00950439">
        <w:t>57</w:t>
      </w:r>
      <w:r>
        <w:t xml:space="preserve">). When stratified by minority status, distribution was moderately concentrated in younger age categories, and in men, across </w:t>
      </w:r>
      <w:r w:rsidR="00765447">
        <w:t xml:space="preserve">the no </w:t>
      </w:r>
      <w:r w:rsidR="00EA198A">
        <w:t>minority</w:t>
      </w:r>
      <w:r w:rsidR="00765447">
        <w:t xml:space="preserve"> status and newcomer status</w:t>
      </w:r>
      <w:r>
        <w:t xml:space="preserve"> groupings.</w:t>
      </w:r>
      <w:r w:rsidR="00EA198A">
        <w:t xml:space="preserve"> </w:t>
      </w:r>
      <w:r>
        <w:t xml:space="preserve">This is reflected in the population pyramids (Figure </w:t>
      </w:r>
      <w:r w:rsidR="00950439">
        <w:t>58</w:t>
      </w:r>
      <w:r>
        <w:t>), which are s</w:t>
      </w:r>
      <w:r w:rsidR="00CB0FD1">
        <w:t xml:space="preserve">omewhat </w:t>
      </w:r>
      <w:r>
        <w:t xml:space="preserve">bottom-heavy, suggesting a trend towards younger age groups, and left-leaning, suggesting </w:t>
      </w:r>
      <w:r w:rsidR="00CB0FD1">
        <w:t xml:space="preserve">greater </w:t>
      </w:r>
      <w:r>
        <w:t xml:space="preserve">representation of male defendants. </w:t>
      </w:r>
    </w:p>
    <w:p w14:paraId="760D8C88" w14:textId="4FAE6A28" w:rsidR="004977AD" w:rsidRDefault="004977AD" w:rsidP="004977AD">
      <w:pPr>
        <w:keepNext/>
        <w:autoSpaceDE w:val="0"/>
        <w:autoSpaceDN w:val="0"/>
        <w:adjustRightInd w:val="0"/>
        <w:spacing w:after="0" w:line="240" w:lineRule="auto"/>
      </w:pPr>
    </w:p>
    <w:p w14:paraId="1FFA6436" w14:textId="6B340622" w:rsidR="00667502" w:rsidRPr="00392764" w:rsidRDefault="004977AD" w:rsidP="00392764">
      <w:pPr>
        <w:keepNext/>
        <w:autoSpaceDE w:val="0"/>
        <w:autoSpaceDN w:val="0"/>
        <w:adjustRightInd w:val="0"/>
        <w:spacing w:after="0" w:line="240" w:lineRule="auto"/>
      </w:pPr>
      <w:r>
        <w:t xml:space="preserve">Male defendants aged 18-29 made up 17.80% of defendants with no minority status, with a prevalence 1.53X that of their age-matched female peers (Figure </w:t>
      </w:r>
      <w:r w:rsidR="00D82D4F">
        <w:t>58</w:t>
      </w:r>
      <w:r>
        <w:t xml:space="preserve">). </w:t>
      </w:r>
      <w:r w:rsidR="003B6069">
        <w:t xml:space="preserve">In contrast, the population pyramid for Indigenous individuals was balanced overall, suggesting relatively equal representation of both genders (Figure </w:t>
      </w:r>
      <w:r w:rsidR="00D82D4F">
        <w:t>58</w:t>
      </w:r>
      <w:r w:rsidR="00E75EF8">
        <w:t xml:space="preserve">); 47.68% of defendants identified as being male, while 52.32% identified as being female. There is still a visible trend towards younger age groups, with the 18-29 and 30-39 age groups accounting for </w:t>
      </w:r>
      <w:r w:rsidR="00C57FA6">
        <w:t>30.86</w:t>
      </w:r>
      <w:r w:rsidR="00E75EF8">
        <w:t xml:space="preserve">% and </w:t>
      </w:r>
      <w:r w:rsidR="00C57FA6">
        <w:t>33.71</w:t>
      </w:r>
      <w:r w:rsidR="00E75EF8">
        <w:t xml:space="preserve">% of Indigenous male defendants, and </w:t>
      </w:r>
      <w:r w:rsidR="00C57FA6">
        <w:t>28.13% and 25.00%</w:t>
      </w:r>
      <w:r w:rsidR="00E75EF8">
        <w:t xml:space="preserve"> of Indigenous female age groups</w:t>
      </w:r>
      <w:r w:rsidR="00D82D4F">
        <w:t xml:space="preserve"> (Figure 58)</w:t>
      </w:r>
      <w:r w:rsidR="00E75EF8">
        <w:t xml:space="preserve">. </w:t>
      </w:r>
      <w:r w:rsidR="00077411">
        <w:t xml:space="preserve">Cumulatively, the male:female prevalence ratio for these groups is </w:t>
      </w:r>
      <w:r w:rsidR="00765447">
        <w:t>1.11, suggesting that the</w:t>
      </w:r>
      <w:r w:rsidR="00C57FA6">
        <w:t>re</w:t>
      </w:r>
      <w:r w:rsidR="00765447">
        <w:t xml:space="preserve"> exists relatively equal representation between genders. </w:t>
      </w:r>
      <w:r w:rsidR="003B6069">
        <w:t xml:space="preserve">Additional data collection may prove useful in further exploring the nature of the relationship between gender, age, and minority status as it pertains to Indigenous youth. </w:t>
      </w:r>
      <w:r>
        <w:t xml:space="preserve">Male defendants aged 18-29 and 30-39 made up </w:t>
      </w:r>
      <w:r w:rsidR="00AD25B8">
        <w:t>21.48%</w:t>
      </w:r>
      <w:r>
        <w:t xml:space="preserve"> and </w:t>
      </w:r>
      <w:r w:rsidR="00AD25B8">
        <w:t>22.33</w:t>
      </w:r>
      <w:r>
        <w:t xml:space="preserve">% of defendants with newcomer status, with a prevalence </w:t>
      </w:r>
      <w:r w:rsidR="00AD25B8">
        <w:t xml:space="preserve">2.39X </w:t>
      </w:r>
      <w:r>
        <w:t xml:space="preserve">and </w:t>
      </w:r>
      <w:r w:rsidR="003C03F1">
        <w:t xml:space="preserve">1.84X </w:t>
      </w:r>
      <w:r>
        <w:t>that of their age-matched female peers</w:t>
      </w:r>
      <w:r w:rsidR="003C03F1">
        <w:t>, respectively</w:t>
      </w:r>
      <w:r>
        <w:t xml:space="preserve"> (Figure </w:t>
      </w:r>
      <w:r w:rsidR="00D82D4F">
        <w:t>58</w:t>
      </w:r>
      <w:r>
        <w:t>).</w:t>
      </w:r>
      <w:r w:rsidR="00440A83">
        <w:t xml:space="preserve"> </w:t>
      </w:r>
      <w:r>
        <w:t xml:space="preserve">Reflecting these differences in prevalence ratios, male:female representation </w:t>
      </w:r>
      <w:r w:rsidR="00C57FA6">
        <w:t xml:space="preserve">appears </w:t>
      </w:r>
      <w:r>
        <w:t>least</w:t>
      </w:r>
      <w:r w:rsidR="00440A83">
        <w:t xml:space="preserve"> </w:t>
      </w:r>
      <w:r>
        <w:t>divergent in the Indigenous grouping</w:t>
      </w:r>
      <w:r w:rsidR="00440A83">
        <w:t xml:space="preserve"> </w:t>
      </w:r>
      <w:r>
        <w:t>(Figure</w:t>
      </w:r>
      <w:r w:rsidR="00D82D4F">
        <w:t xml:space="preserve"> 58</w:t>
      </w:r>
      <w:r>
        <w:t xml:space="preserve">). </w:t>
      </w:r>
    </w:p>
    <w:p w14:paraId="5ABFE0F7" w14:textId="1B97D572" w:rsidR="001F669B" w:rsidRDefault="001764BA" w:rsidP="001F66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4558720" behindDoc="1" locked="0" layoutInCell="1" allowOverlap="1" wp14:anchorId="01E178AF" wp14:editId="3BC17304">
            <wp:simplePos x="0" y="0"/>
            <wp:positionH relativeFrom="margin">
              <wp:posOffset>0</wp:posOffset>
            </wp:positionH>
            <wp:positionV relativeFrom="page">
              <wp:posOffset>4128819</wp:posOffset>
            </wp:positionV>
            <wp:extent cx="6858000" cy="4363085"/>
            <wp:effectExtent l="0" t="0" r="0" b="0"/>
            <wp:wrapTight wrapText="bothSides">
              <wp:wrapPolygon edited="0">
                <wp:start x="0" y="0"/>
                <wp:lineTo x="0" y="21503"/>
                <wp:lineTo x="21540" y="21503"/>
                <wp:lineTo x="21540"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0" cy="4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764" w:rsidRPr="0065265A">
        <w:rPr>
          <w:rFonts w:ascii="Times New Roman" w:hAnsi="Times New Roman" w:cs="Times New Roman"/>
          <w:noProof/>
          <w:sz w:val="24"/>
          <w:szCs w:val="24"/>
          <w:lang w:val="en-US"/>
        </w:rPr>
        <mc:AlternateContent>
          <mc:Choice Requires="wps">
            <w:drawing>
              <wp:anchor distT="45720" distB="45720" distL="114300" distR="114300" simplePos="0" relativeHeight="254591488" behindDoc="0" locked="0" layoutInCell="1" allowOverlap="1" wp14:anchorId="6C6C9241" wp14:editId="076640BD">
                <wp:simplePos x="0" y="0"/>
                <wp:positionH relativeFrom="margin">
                  <wp:align>right</wp:align>
                </wp:positionH>
                <wp:positionV relativeFrom="paragraph">
                  <wp:posOffset>4502150</wp:posOffset>
                </wp:positionV>
                <wp:extent cx="6845300" cy="508000"/>
                <wp:effectExtent l="0" t="0" r="0" b="63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508000"/>
                        </a:xfrm>
                        <a:prstGeom prst="rect">
                          <a:avLst/>
                        </a:prstGeom>
                        <a:solidFill>
                          <a:srgbClr val="FFFFFF"/>
                        </a:solidFill>
                        <a:ln w="9525">
                          <a:noFill/>
                          <a:miter lim="800000"/>
                          <a:headEnd/>
                          <a:tailEnd/>
                        </a:ln>
                      </wps:spPr>
                      <wps:txbx>
                        <w:txbxContent>
                          <w:p w14:paraId="1BB1D3A1" w14:textId="71ACDD13" w:rsidR="00A56EB4" w:rsidRPr="00391DDA" w:rsidRDefault="00A56EB4" w:rsidP="0065265A">
                            <w:pPr>
                              <w:pStyle w:val="Caption"/>
                              <w:rPr>
                                <w:rFonts w:ascii="Times New Roman" w:hAnsi="Times New Roman" w:cs="Times New Roman"/>
                              </w:rPr>
                            </w:pPr>
                            <w:r w:rsidRPr="00391DDA">
                              <w:rPr>
                                <w:b/>
                                <w:bCs/>
                              </w:rPr>
                              <w:t xml:space="preserve">Figure </w:t>
                            </w:r>
                            <w:r>
                              <w:rPr>
                                <w:b/>
                                <w:bCs/>
                              </w:rPr>
                              <w:t>59</w:t>
                            </w:r>
                            <w:r w:rsidRPr="00391DDA">
                              <w:rPr>
                                <w:b/>
                                <w:bCs/>
                              </w:rPr>
                              <w:t>.</w:t>
                            </w:r>
                            <w:r w:rsidRPr="00391DDA">
                              <w:t xml:space="preserve"> A bar graph of attendee family size as observed in Calgary’s </w:t>
                            </w:r>
                            <w:r>
                              <w:t>Traffic Court</w:t>
                            </w:r>
                            <w:r w:rsidRPr="00391DDA">
                              <w:t xml:space="preserve"> between January 2017 and December 201</w:t>
                            </w:r>
                            <w:r>
                              <w:t>8</w:t>
                            </w:r>
                            <w:r w:rsidRPr="00391DDA">
                              <w:t xml:space="preserve">, from a sample size of </w:t>
                            </w:r>
                            <w:r>
                              <w:t>13,401.</w:t>
                            </w:r>
                            <w:r w:rsidRPr="00391DDA">
                              <w:t xml:space="preserve"> Bar height corresponds to the number of respondents reporting a given family size (y-axis), with relative proportions of family size categories indicated within the bar. </w:t>
                            </w:r>
                          </w:p>
                          <w:p w14:paraId="627BB2EA" w14:textId="7D393F64"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C9241" id="_x0000_s1123" type="#_x0000_t202" style="position:absolute;margin-left:487.8pt;margin-top:354.5pt;width:539pt;height:40pt;z-index:25459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" stroked="f">
                <v:textbox>
                  <w:txbxContent>
                    <w:p w14:paraId="1BB1D3A1" w14:textId="71ACDD13" w:rsidR="00A56EB4" w:rsidRPr="00391DDA" w:rsidRDefault="00A56EB4" w:rsidP="0065265A">
                      <w:pPr>
                        <w:pStyle w:val="Caption"/>
                        <w:rPr>
                          <w:rFonts w:ascii="Times New Roman" w:hAnsi="Times New Roman" w:cs="Times New Roman"/>
                        </w:rPr>
                      </w:pPr>
                      <w:r w:rsidRPr="00391DDA">
                        <w:rPr>
                          <w:b/>
                          <w:bCs/>
                        </w:rPr>
                        <w:t xml:space="preserve">Figure </w:t>
                      </w:r>
                      <w:r>
                        <w:rPr>
                          <w:b/>
                          <w:bCs/>
                        </w:rPr>
                        <w:t>59</w:t>
                      </w:r>
                      <w:r w:rsidRPr="00391DDA">
                        <w:rPr>
                          <w:b/>
                          <w:bCs/>
                        </w:rPr>
                        <w:t>.</w:t>
                      </w:r>
                      <w:r w:rsidRPr="00391DDA">
                        <w:t xml:space="preserve"> A bar graph of attendee family size as observed in Calgary’s </w:t>
                      </w:r>
                      <w:r>
                        <w:t>Traffic Court</w:t>
                      </w:r>
                      <w:r w:rsidRPr="00391DDA">
                        <w:t xml:space="preserve"> between January 2017 and December 201</w:t>
                      </w:r>
                      <w:r>
                        <w:t>8</w:t>
                      </w:r>
                      <w:r w:rsidRPr="00391DDA">
                        <w:t xml:space="preserve">, from a sample size of </w:t>
                      </w:r>
                      <w:r>
                        <w:t>13,401.</w:t>
                      </w:r>
                      <w:r w:rsidRPr="00391DDA">
                        <w:t xml:space="preserve"> Bar height corresponds to the number of respondents reporting a given family size (y-axis), with relative proportions of family size categories indicated within the bar. </w:t>
                      </w:r>
                    </w:p>
                    <w:p w14:paraId="627BB2EA" w14:textId="7D393F64" w:rsidR="00A56EB4" w:rsidRDefault="00A56EB4"/>
                  </w:txbxContent>
                </v:textbox>
                <w10:wrap type="square" anchorx="margin"/>
              </v:shape>
            </w:pict>
          </mc:Fallback>
        </mc:AlternateContent>
      </w:r>
    </w:p>
    <w:p w14:paraId="0E264285" w14:textId="425D105D" w:rsidR="001F669B" w:rsidRDefault="002072A4" w:rsidP="001F669B">
      <w:pPr>
        <w:autoSpaceDE w:val="0"/>
        <w:autoSpaceDN w:val="0"/>
        <w:adjustRightInd w:val="0"/>
        <w:spacing w:after="0" w:line="240" w:lineRule="auto"/>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0518016" behindDoc="1" locked="0" layoutInCell="1" allowOverlap="1" wp14:anchorId="2C3D6E93" wp14:editId="78CE55CB">
                <wp:simplePos x="0" y="0"/>
                <wp:positionH relativeFrom="margin">
                  <wp:align>right</wp:align>
                </wp:positionH>
                <wp:positionV relativeFrom="margin">
                  <wp:posOffset>3949065</wp:posOffset>
                </wp:positionV>
                <wp:extent cx="6851015" cy="444500"/>
                <wp:effectExtent l="0" t="0" r="6985" b="0"/>
                <wp:wrapTight wrapText="bothSides">
                  <wp:wrapPolygon edited="0">
                    <wp:start x="0" y="0"/>
                    <wp:lineTo x="0" y="20366"/>
                    <wp:lineTo x="21562" y="20366"/>
                    <wp:lineTo x="21562" y="0"/>
                    <wp:lineTo x="0" y="0"/>
                  </wp:wrapPolygon>
                </wp:wrapTight>
                <wp:docPr id="527" name="Text Box 527"/>
                <wp:cNvGraphicFramePr/>
                <a:graphic xmlns:a="http://schemas.openxmlformats.org/drawingml/2006/main">
                  <a:graphicData uri="http://schemas.microsoft.com/office/word/2010/wordprocessingShape">
                    <wps:wsp>
                      <wps:cNvSpPr txBox="1"/>
                      <wps:spPr>
                        <a:xfrm>
                          <a:off x="0" y="0"/>
                          <a:ext cx="6851015" cy="444500"/>
                        </a:xfrm>
                        <a:prstGeom prst="rect">
                          <a:avLst/>
                        </a:prstGeom>
                        <a:solidFill>
                          <a:prstClr val="white"/>
                        </a:solidFill>
                        <a:ln>
                          <a:noFill/>
                        </a:ln>
                      </wps:spPr>
                      <wps:txbx>
                        <w:txbxContent>
                          <w:p w14:paraId="2B2DD094" w14:textId="0902E490" w:rsidR="00A56EB4" w:rsidRPr="001A2D38" w:rsidRDefault="00A56EB4" w:rsidP="001A2D38">
                            <w:pPr>
                              <w:pStyle w:val="Caption"/>
                              <w:rPr>
                                <w:highlight w:val="yellow"/>
                              </w:rPr>
                            </w:pPr>
                            <w:r w:rsidRPr="001A2D38">
                              <w:rPr>
                                <w:b/>
                                <w:bCs/>
                              </w:rPr>
                              <w:t xml:space="preserve">Figure </w:t>
                            </w:r>
                            <w:r>
                              <w:rPr>
                                <w:b/>
                                <w:bCs/>
                              </w:rPr>
                              <w:t>60</w:t>
                            </w:r>
                            <w:r w:rsidRPr="001A2D38">
                              <w:t xml:space="preserve">. Proportion of attendee households (y-axis) in a given income category (colour legend) by family size (x-axis), grouped by minority status, at Calgary’s </w:t>
                            </w:r>
                            <w:r>
                              <w:t>Traffic Court</w:t>
                            </w:r>
                            <w:r w:rsidRPr="001A2D38">
                              <w:t xml:space="preserve"> between January 2017 and December 2018. Bar height represents 100% of attendee households in a family size category. This data was generated from a sample size of 4474.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6E93" id="Text Box 527" o:spid="_x0000_s1124" type="#_x0000_t202" style="position:absolute;margin-left:488.25pt;margin-top:310.95pt;width:539.45pt;height:35pt;z-index:-2527984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" stroked="f">
                <v:textbox inset="0,0,0,0">
                  <w:txbxContent>
                    <w:p w14:paraId="2B2DD094" w14:textId="0902E490" w:rsidR="00A56EB4" w:rsidRPr="001A2D38" w:rsidRDefault="00A56EB4" w:rsidP="001A2D38">
                      <w:pPr>
                        <w:pStyle w:val="Caption"/>
                        <w:rPr>
                          <w:highlight w:val="yellow"/>
                        </w:rPr>
                      </w:pPr>
                      <w:r w:rsidRPr="001A2D38">
                        <w:rPr>
                          <w:b/>
                          <w:bCs/>
                        </w:rPr>
                        <w:t xml:space="preserve">Figure </w:t>
                      </w:r>
                      <w:r>
                        <w:rPr>
                          <w:b/>
                          <w:bCs/>
                        </w:rPr>
                        <w:t>60</w:t>
                      </w:r>
                      <w:r w:rsidRPr="001A2D38">
                        <w:t xml:space="preserve">. Proportion of attendee households (y-axis) in a given income category (colour legend) by family size (x-axis), grouped by minority status, at Calgary’s </w:t>
                      </w:r>
                      <w:r>
                        <w:t>Traffic Court</w:t>
                      </w:r>
                      <w:r w:rsidRPr="001A2D38">
                        <w:t xml:space="preserve"> between January 2017 and December 2018. Bar height represents 100% of attendee households in a family size category. This data was generated from a sample size of 4474. </w:t>
                      </w:r>
                    </w:p>
                  </w:txbxContent>
                </v:textbox>
                <w10:wrap type="tight" anchorx="margin" anchory="margin"/>
              </v:shape>
            </w:pict>
          </mc:Fallback>
        </mc:AlternateContent>
      </w:r>
      <w:r>
        <w:rPr>
          <w:noProof/>
          <w:lang w:val="en-US"/>
        </w:rPr>
        <w:drawing>
          <wp:inline distT="0" distB="0" distL="0" distR="0" wp14:anchorId="778173F8" wp14:editId="1EBE435C">
            <wp:extent cx="6858000" cy="3862070"/>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58000" cy="3862070"/>
                    </a:xfrm>
                    <a:prstGeom prst="rect">
                      <a:avLst/>
                    </a:prstGeom>
                  </pic:spPr>
                </pic:pic>
              </a:graphicData>
            </a:graphic>
          </wp:inline>
        </w:drawing>
      </w:r>
    </w:p>
    <w:p w14:paraId="6CD2932C" w14:textId="45F5EF3F" w:rsidR="001F669B" w:rsidRDefault="001F669B" w:rsidP="001F669B">
      <w:pPr>
        <w:autoSpaceDE w:val="0"/>
        <w:autoSpaceDN w:val="0"/>
        <w:adjustRightInd w:val="0"/>
        <w:spacing w:after="0" w:line="400" w:lineRule="atLeast"/>
        <w:rPr>
          <w:rFonts w:ascii="Times New Roman" w:hAnsi="Times New Roman" w:cs="Times New Roman"/>
          <w:sz w:val="24"/>
          <w:szCs w:val="24"/>
        </w:rPr>
      </w:pPr>
    </w:p>
    <w:p w14:paraId="4DEB63EF" w14:textId="5D030D19" w:rsidR="00342F84" w:rsidRDefault="00342F84" w:rsidP="00342F84">
      <w:pPr>
        <w:autoSpaceDE w:val="0"/>
        <w:autoSpaceDN w:val="0"/>
        <w:adjustRightInd w:val="0"/>
        <w:spacing w:after="0" w:line="240" w:lineRule="auto"/>
        <w:rPr>
          <w:rFonts w:ascii="Times New Roman" w:hAnsi="Times New Roman" w:cs="Times New Roman"/>
          <w:sz w:val="24"/>
          <w:szCs w:val="24"/>
        </w:rPr>
      </w:pPr>
    </w:p>
    <w:p w14:paraId="5A6594ED" w14:textId="2DD4D763" w:rsidR="00342F84" w:rsidRDefault="00342F84" w:rsidP="00342F84">
      <w:pPr>
        <w:autoSpaceDE w:val="0"/>
        <w:autoSpaceDN w:val="0"/>
        <w:adjustRightInd w:val="0"/>
        <w:spacing w:after="0" w:line="240" w:lineRule="auto"/>
        <w:rPr>
          <w:rFonts w:ascii="Times New Roman" w:hAnsi="Times New Roman" w:cs="Times New Roman"/>
          <w:sz w:val="24"/>
          <w:szCs w:val="24"/>
        </w:rPr>
      </w:pPr>
    </w:p>
    <w:p w14:paraId="705A7DEF" w14:textId="04C5C33A" w:rsidR="00617D1F" w:rsidRDefault="00617D1F" w:rsidP="00617D1F">
      <w:pPr>
        <w:autoSpaceDE w:val="0"/>
        <w:autoSpaceDN w:val="0"/>
        <w:adjustRightInd w:val="0"/>
        <w:spacing w:after="0" w:line="240" w:lineRule="auto"/>
        <w:rPr>
          <w:rFonts w:ascii="Times New Roman" w:hAnsi="Times New Roman" w:cs="Times New Roman"/>
          <w:sz w:val="24"/>
          <w:szCs w:val="24"/>
        </w:rPr>
      </w:pPr>
    </w:p>
    <w:p w14:paraId="5A9E3142" w14:textId="2AC26232" w:rsidR="00617D1F" w:rsidRDefault="00617D1F" w:rsidP="00617D1F">
      <w:pPr>
        <w:autoSpaceDE w:val="0"/>
        <w:autoSpaceDN w:val="0"/>
        <w:adjustRightInd w:val="0"/>
        <w:spacing w:after="0" w:line="240" w:lineRule="auto"/>
        <w:rPr>
          <w:rFonts w:ascii="Times New Roman" w:hAnsi="Times New Roman" w:cs="Times New Roman"/>
          <w:sz w:val="24"/>
          <w:szCs w:val="24"/>
        </w:rPr>
      </w:pPr>
    </w:p>
    <w:p w14:paraId="01D49F80" w14:textId="4D018DC5" w:rsidR="00617D1F" w:rsidRDefault="00617D1F" w:rsidP="00617D1F">
      <w:pPr>
        <w:autoSpaceDE w:val="0"/>
        <w:autoSpaceDN w:val="0"/>
        <w:adjustRightInd w:val="0"/>
        <w:spacing w:after="0" w:line="400" w:lineRule="atLeast"/>
        <w:rPr>
          <w:rFonts w:ascii="Times New Roman" w:hAnsi="Times New Roman" w:cs="Times New Roman"/>
          <w:sz w:val="24"/>
          <w:szCs w:val="24"/>
        </w:rPr>
      </w:pPr>
    </w:p>
    <w:p w14:paraId="048757E1" w14:textId="4F2D89CF" w:rsidR="00456879" w:rsidRDefault="00456879" w:rsidP="00456879">
      <w:pPr>
        <w:autoSpaceDE w:val="0"/>
        <w:autoSpaceDN w:val="0"/>
        <w:adjustRightInd w:val="0"/>
        <w:spacing w:after="0" w:line="240" w:lineRule="auto"/>
        <w:rPr>
          <w:rFonts w:ascii="Times New Roman" w:hAnsi="Times New Roman" w:cs="Times New Roman"/>
          <w:sz w:val="24"/>
          <w:szCs w:val="24"/>
        </w:rPr>
      </w:pPr>
    </w:p>
    <w:p w14:paraId="210CBA38" w14:textId="0050BF07" w:rsidR="00B82FF7" w:rsidRDefault="00B82FF7" w:rsidP="00456879">
      <w:pPr>
        <w:autoSpaceDE w:val="0"/>
        <w:autoSpaceDN w:val="0"/>
        <w:adjustRightInd w:val="0"/>
        <w:spacing w:after="0" w:line="240" w:lineRule="auto"/>
        <w:rPr>
          <w:rFonts w:ascii="Times New Roman" w:hAnsi="Times New Roman" w:cs="Times New Roman"/>
          <w:sz w:val="24"/>
          <w:szCs w:val="24"/>
        </w:rPr>
      </w:pPr>
    </w:p>
    <w:p w14:paraId="34BD2A5D" w14:textId="580EFBD1" w:rsidR="00B82FF7" w:rsidRDefault="00B82FF7" w:rsidP="00456879">
      <w:pPr>
        <w:autoSpaceDE w:val="0"/>
        <w:autoSpaceDN w:val="0"/>
        <w:adjustRightInd w:val="0"/>
        <w:spacing w:after="0" w:line="240" w:lineRule="auto"/>
        <w:rPr>
          <w:rFonts w:ascii="Times New Roman" w:hAnsi="Times New Roman" w:cs="Times New Roman"/>
          <w:sz w:val="24"/>
          <w:szCs w:val="24"/>
        </w:rPr>
      </w:pPr>
    </w:p>
    <w:p w14:paraId="51DF5478" w14:textId="7FB86DBC" w:rsidR="00B82FF7" w:rsidRDefault="00B82FF7" w:rsidP="00456879">
      <w:pPr>
        <w:autoSpaceDE w:val="0"/>
        <w:autoSpaceDN w:val="0"/>
        <w:adjustRightInd w:val="0"/>
        <w:spacing w:after="0" w:line="240" w:lineRule="auto"/>
        <w:rPr>
          <w:rFonts w:ascii="Times New Roman" w:hAnsi="Times New Roman" w:cs="Times New Roman"/>
          <w:sz w:val="24"/>
          <w:szCs w:val="24"/>
        </w:rPr>
      </w:pPr>
    </w:p>
    <w:p w14:paraId="6156C5F2" w14:textId="7F619EAC" w:rsidR="00B82FF7" w:rsidRDefault="00B82FF7" w:rsidP="00456879">
      <w:pPr>
        <w:autoSpaceDE w:val="0"/>
        <w:autoSpaceDN w:val="0"/>
        <w:adjustRightInd w:val="0"/>
        <w:spacing w:after="0" w:line="240" w:lineRule="auto"/>
        <w:rPr>
          <w:rFonts w:ascii="Times New Roman" w:hAnsi="Times New Roman" w:cs="Times New Roman"/>
          <w:sz w:val="24"/>
          <w:szCs w:val="24"/>
        </w:rPr>
      </w:pPr>
    </w:p>
    <w:p w14:paraId="5F112112" w14:textId="2F2EA1A8" w:rsidR="002105B8" w:rsidRDefault="002105B8" w:rsidP="00456879">
      <w:pPr>
        <w:autoSpaceDE w:val="0"/>
        <w:autoSpaceDN w:val="0"/>
        <w:adjustRightInd w:val="0"/>
        <w:spacing w:after="0" w:line="240" w:lineRule="auto"/>
        <w:rPr>
          <w:rFonts w:ascii="Times New Roman" w:hAnsi="Times New Roman" w:cs="Times New Roman"/>
          <w:sz w:val="24"/>
          <w:szCs w:val="24"/>
        </w:rPr>
      </w:pPr>
    </w:p>
    <w:p w14:paraId="2AFC7603" w14:textId="32480B9C" w:rsidR="002105B8" w:rsidRDefault="002105B8" w:rsidP="00456879">
      <w:pPr>
        <w:autoSpaceDE w:val="0"/>
        <w:autoSpaceDN w:val="0"/>
        <w:adjustRightInd w:val="0"/>
        <w:spacing w:after="0" w:line="240" w:lineRule="auto"/>
        <w:rPr>
          <w:rFonts w:ascii="Times New Roman" w:hAnsi="Times New Roman" w:cs="Times New Roman"/>
          <w:sz w:val="24"/>
          <w:szCs w:val="24"/>
        </w:rPr>
      </w:pPr>
    </w:p>
    <w:p w14:paraId="10F23432" w14:textId="137D9E1C" w:rsidR="002105B8" w:rsidRDefault="002105B8" w:rsidP="00456879">
      <w:pPr>
        <w:autoSpaceDE w:val="0"/>
        <w:autoSpaceDN w:val="0"/>
        <w:adjustRightInd w:val="0"/>
        <w:spacing w:after="0" w:line="240" w:lineRule="auto"/>
        <w:rPr>
          <w:rFonts w:ascii="Times New Roman" w:hAnsi="Times New Roman" w:cs="Times New Roman"/>
          <w:sz w:val="24"/>
          <w:szCs w:val="24"/>
        </w:rPr>
      </w:pPr>
    </w:p>
    <w:p w14:paraId="5527657F" w14:textId="636DA45B" w:rsidR="006A44BB" w:rsidRDefault="006A44BB" w:rsidP="00456879">
      <w:pPr>
        <w:autoSpaceDE w:val="0"/>
        <w:autoSpaceDN w:val="0"/>
        <w:adjustRightInd w:val="0"/>
        <w:spacing w:after="0" w:line="240" w:lineRule="auto"/>
        <w:rPr>
          <w:rFonts w:ascii="Times New Roman" w:hAnsi="Times New Roman" w:cs="Times New Roman"/>
          <w:sz w:val="24"/>
          <w:szCs w:val="24"/>
        </w:rPr>
      </w:pPr>
    </w:p>
    <w:p w14:paraId="0047347E" w14:textId="46B57BCC" w:rsidR="006A44BB" w:rsidRDefault="006A44BB" w:rsidP="00456879">
      <w:pPr>
        <w:autoSpaceDE w:val="0"/>
        <w:autoSpaceDN w:val="0"/>
        <w:adjustRightInd w:val="0"/>
        <w:spacing w:after="0" w:line="240" w:lineRule="auto"/>
        <w:rPr>
          <w:rFonts w:ascii="Times New Roman" w:hAnsi="Times New Roman" w:cs="Times New Roman"/>
          <w:sz w:val="24"/>
          <w:szCs w:val="24"/>
        </w:rPr>
      </w:pPr>
    </w:p>
    <w:p w14:paraId="3B5B1987" w14:textId="30EF1ECB" w:rsidR="006A44BB" w:rsidRDefault="006A44BB" w:rsidP="00456879">
      <w:pPr>
        <w:autoSpaceDE w:val="0"/>
        <w:autoSpaceDN w:val="0"/>
        <w:adjustRightInd w:val="0"/>
        <w:spacing w:after="0" w:line="240" w:lineRule="auto"/>
        <w:rPr>
          <w:rFonts w:ascii="Times New Roman" w:hAnsi="Times New Roman" w:cs="Times New Roman"/>
          <w:sz w:val="24"/>
          <w:szCs w:val="24"/>
        </w:rPr>
      </w:pPr>
    </w:p>
    <w:p w14:paraId="607D27E9" w14:textId="3C711180" w:rsidR="006A44BB" w:rsidRDefault="006A44BB" w:rsidP="00456879">
      <w:pPr>
        <w:autoSpaceDE w:val="0"/>
        <w:autoSpaceDN w:val="0"/>
        <w:adjustRightInd w:val="0"/>
        <w:spacing w:after="0" w:line="240" w:lineRule="auto"/>
        <w:rPr>
          <w:rFonts w:ascii="Times New Roman" w:hAnsi="Times New Roman" w:cs="Times New Roman"/>
          <w:sz w:val="24"/>
          <w:szCs w:val="24"/>
        </w:rPr>
      </w:pPr>
    </w:p>
    <w:p w14:paraId="58B93F01" w14:textId="55B2EB98" w:rsidR="006A44BB" w:rsidRDefault="006A44BB" w:rsidP="00456879">
      <w:pPr>
        <w:autoSpaceDE w:val="0"/>
        <w:autoSpaceDN w:val="0"/>
        <w:adjustRightInd w:val="0"/>
        <w:spacing w:after="0" w:line="240" w:lineRule="auto"/>
        <w:rPr>
          <w:rFonts w:ascii="Times New Roman" w:hAnsi="Times New Roman" w:cs="Times New Roman"/>
          <w:sz w:val="24"/>
          <w:szCs w:val="24"/>
        </w:rPr>
      </w:pPr>
    </w:p>
    <w:p w14:paraId="4C050514" w14:textId="77A0A874" w:rsidR="006A44BB" w:rsidRDefault="006A44BB" w:rsidP="00456879">
      <w:pPr>
        <w:autoSpaceDE w:val="0"/>
        <w:autoSpaceDN w:val="0"/>
        <w:adjustRightInd w:val="0"/>
        <w:spacing w:after="0" w:line="240" w:lineRule="auto"/>
        <w:rPr>
          <w:rFonts w:ascii="Times New Roman" w:hAnsi="Times New Roman" w:cs="Times New Roman"/>
          <w:sz w:val="24"/>
          <w:szCs w:val="24"/>
        </w:rPr>
      </w:pPr>
    </w:p>
    <w:p w14:paraId="238642A3" w14:textId="0320594B" w:rsidR="006A44BB" w:rsidRPr="005775EF" w:rsidRDefault="00E01A2D" w:rsidP="005775EF">
      <w:pPr>
        <w:pStyle w:val="Caption"/>
      </w:pPr>
      <w:r>
        <w:rPr>
          <w:noProof/>
        </w:rPr>
        <w:lastRenderedPageBreak/>
        <mc:AlternateContent>
          <mc:Choice Requires="wps">
            <w:drawing>
              <wp:anchor distT="45720" distB="45720" distL="114300" distR="114300" simplePos="0" relativeHeight="251741696" behindDoc="0" locked="0" layoutInCell="1" allowOverlap="1" wp14:anchorId="5629EBFF" wp14:editId="042AE895">
                <wp:simplePos x="0" y="0"/>
                <wp:positionH relativeFrom="column">
                  <wp:posOffset>5715</wp:posOffset>
                </wp:positionH>
                <wp:positionV relativeFrom="paragraph">
                  <wp:posOffset>43180</wp:posOffset>
                </wp:positionV>
                <wp:extent cx="6828155" cy="344170"/>
                <wp:effectExtent l="0" t="0" r="0" b="0"/>
                <wp:wrapSquare wrapText="bothSides"/>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344170"/>
                        </a:xfrm>
                        <a:prstGeom prst="rect">
                          <a:avLst/>
                        </a:prstGeom>
                        <a:solidFill>
                          <a:schemeClr val="accent2"/>
                        </a:solidFill>
                        <a:ln w="9525">
                          <a:noFill/>
                          <a:miter lim="800000"/>
                          <a:headEnd/>
                          <a:tailEnd/>
                        </a:ln>
                      </wps:spPr>
                      <wps:txbx>
                        <w:txbxContent>
                          <w:p w14:paraId="43DACB63" w14:textId="4A082ACB" w:rsidR="00A56EB4" w:rsidRDefault="00A56EB4" w:rsidP="00E01A2D">
                            <w:pPr>
                              <w:pStyle w:val="Caption"/>
                            </w:pPr>
                            <w:r w:rsidRPr="00735513">
                              <w:rPr>
                                <w:b/>
                                <w:bCs/>
                              </w:rPr>
                              <w:t xml:space="preserve">Table </w:t>
                            </w:r>
                            <w:r>
                              <w:rPr>
                                <w:b/>
                                <w:bCs/>
                              </w:rPr>
                              <w:t>23</w:t>
                            </w:r>
                            <w:r w:rsidRPr="00735513">
                              <w:t xml:space="preserve">. Number of attendee households in various income categories, stratified by family size and minority status, at </w:t>
                            </w:r>
                            <w:r>
                              <w:t>Calgary’s Traffic Court</w:t>
                            </w:r>
                            <w:r w:rsidRPr="00735513">
                              <w:t xml:space="preserve"> between January 2017 and December 2018</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9EBFF" id="_x0000_s1125" type="#_x0000_t202" style="position:absolute;margin-left:.45pt;margin-top:3.4pt;width:537.65pt;height:27.1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" fillcolor="white [3205]" stroked="f">
                <v:textbox>
                  <w:txbxContent>
                    <w:p w14:paraId="43DACB63" w14:textId="4A082ACB" w:rsidR="00A56EB4" w:rsidRDefault="00A56EB4" w:rsidP="00E01A2D">
                      <w:pPr>
                        <w:pStyle w:val="Caption"/>
                      </w:pPr>
                      <w:r w:rsidRPr="00735513">
                        <w:rPr>
                          <w:b/>
                          <w:bCs/>
                        </w:rPr>
                        <w:t xml:space="preserve">Table </w:t>
                      </w:r>
                      <w:r>
                        <w:rPr>
                          <w:b/>
                          <w:bCs/>
                        </w:rPr>
                        <w:t>23</w:t>
                      </w:r>
                      <w:r w:rsidRPr="00735513">
                        <w:t xml:space="preserve">. Number of attendee households in various income categories, stratified by family size and minority status, at </w:t>
                      </w:r>
                      <w:r>
                        <w:t>Calgary’s Traffic Court</w:t>
                      </w:r>
                      <w:r w:rsidRPr="00735513">
                        <w:t xml:space="preserve"> between January 2017 and December 2018</w:t>
                      </w:r>
                      <w:r>
                        <w:t>.</w:t>
                      </w:r>
                    </w:p>
                  </w:txbxContent>
                </v:textbox>
                <w10:wrap type="square"/>
              </v:shape>
            </w:pict>
          </mc:Fallback>
        </mc:AlternateContent>
      </w:r>
      <w:r w:rsidRPr="00B63B00">
        <w:rPr>
          <w:noProof/>
          <w:lang w:val="en-US"/>
        </w:rPr>
        <mc:AlternateContent>
          <mc:Choice Requires="wps">
            <w:drawing>
              <wp:anchor distT="0" distB="0" distL="114300" distR="114300" simplePos="0" relativeHeight="254622208" behindDoc="1" locked="0" layoutInCell="1" allowOverlap="1" wp14:anchorId="4CE948FB" wp14:editId="7D294C87">
                <wp:simplePos x="0" y="0"/>
                <wp:positionH relativeFrom="margin">
                  <wp:posOffset>0</wp:posOffset>
                </wp:positionH>
                <wp:positionV relativeFrom="paragraph">
                  <wp:posOffset>452441</wp:posOffset>
                </wp:positionV>
                <wp:extent cx="6858000" cy="5664200"/>
                <wp:effectExtent l="0" t="0" r="0" b="0"/>
                <wp:wrapTight wrapText="bothSides">
                  <wp:wrapPolygon edited="0">
                    <wp:start x="0" y="0"/>
                    <wp:lineTo x="0" y="21503"/>
                    <wp:lineTo x="21540" y="21503"/>
                    <wp:lineTo x="21540" y="0"/>
                    <wp:lineTo x="0" y="0"/>
                  </wp:wrapPolygon>
                </wp:wrapTight>
                <wp:docPr id="201" name="Text Box 201"/>
                <wp:cNvGraphicFramePr/>
                <a:graphic xmlns:a="http://schemas.openxmlformats.org/drawingml/2006/main">
                  <a:graphicData uri="http://schemas.microsoft.com/office/word/2010/wordprocessingShape">
                    <wps:wsp>
                      <wps:cNvSpPr txBox="1"/>
                      <wps:spPr>
                        <a:xfrm>
                          <a:off x="0" y="0"/>
                          <a:ext cx="6858000" cy="5664200"/>
                        </a:xfrm>
                        <a:prstGeom prst="rect">
                          <a:avLst/>
                        </a:prstGeom>
                        <a:solidFill>
                          <a:prstClr val="white"/>
                        </a:solidFill>
                        <a:ln>
                          <a:noFill/>
                        </a:ln>
                      </wps:spPr>
                      <wps:txbx>
                        <w:txbxContent>
                          <w:tbl>
                            <w:tblPr>
                              <w:tblW w:w="9276"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751"/>
                              <w:gridCol w:w="1196"/>
                              <w:gridCol w:w="809"/>
                              <w:gridCol w:w="1050"/>
                              <w:gridCol w:w="1050"/>
                              <w:gridCol w:w="1050"/>
                              <w:gridCol w:w="1050"/>
                              <w:gridCol w:w="778"/>
                              <w:gridCol w:w="733"/>
                            </w:tblGrid>
                            <w:tr w:rsidR="00A56EB4" w:rsidRPr="00874297" w14:paraId="6DF21AB6" w14:textId="77777777" w:rsidTr="006A44BB">
                              <w:trPr>
                                <w:cantSplit/>
                                <w:trHeight w:val="621"/>
                              </w:trPr>
                              <w:tc>
                                <w:tcPr>
                                  <w:tcW w:w="9276" w:type="dxa"/>
                                  <w:gridSpan w:val="10"/>
                                  <w:tcBorders>
                                    <w:top w:val="nil"/>
                                    <w:left w:val="nil"/>
                                    <w:bottom w:val="nil"/>
                                    <w:right w:val="nil"/>
                                  </w:tcBorders>
                                  <w:shd w:val="clear" w:color="auto" w:fill="FFFFFF"/>
                                  <w:vAlign w:val="center"/>
                                </w:tcPr>
                                <w:p w14:paraId="404D3B8B" w14:textId="61EF6174" w:rsidR="00A56EB4" w:rsidRPr="00874297" w:rsidRDefault="00A56EB4" w:rsidP="006A44BB">
                                  <w:pPr>
                                    <w:autoSpaceDE w:val="0"/>
                                    <w:autoSpaceDN w:val="0"/>
                                    <w:adjustRightInd w:val="0"/>
                                    <w:spacing w:after="0" w:line="320" w:lineRule="atLeast"/>
                                    <w:ind w:left="60" w:right="60"/>
                                    <w:jc w:val="center"/>
                                    <w:rPr>
                                      <w:rFonts w:ascii="Arial" w:hAnsi="Arial" w:cs="Arial"/>
                                      <w:color w:val="010205"/>
                                    </w:rPr>
                                  </w:pPr>
                                  <w:r w:rsidRPr="00874297">
                                    <w:rPr>
                                      <w:rFonts w:ascii="Arial" w:hAnsi="Arial" w:cs="Arial"/>
                                      <w:b/>
                                      <w:bCs/>
                                      <w:color w:val="010205"/>
                                    </w:rPr>
                                    <w:t xml:space="preserve">Annual Household Income by Family Size </w:t>
                                  </w:r>
                                  <w:r>
                                    <w:rPr>
                                      <w:rFonts w:ascii="Arial" w:hAnsi="Arial" w:cs="Arial"/>
                                      <w:b/>
                                      <w:bCs/>
                                      <w:color w:val="010205"/>
                                    </w:rPr>
                                    <w:t xml:space="preserve">and Minority Status </w:t>
                                  </w:r>
                                  <w:r w:rsidRPr="00874297">
                                    <w:rPr>
                                      <w:rFonts w:ascii="Arial" w:hAnsi="Arial" w:cs="Arial"/>
                                      <w:b/>
                                      <w:bCs/>
                                      <w:color w:val="010205"/>
                                    </w:rPr>
                                    <w:t xml:space="preserve">Crosstabulation for Calgary's </w:t>
                                  </w:r>
                                  <w:r>
                                    <w:rPr>
                                      <w:rFonts w:ascii="Arial" w:hAnsi="Arial" w:cs="Arial"/>
                                      <w:b/>
                                      <w:bCs/>
                                      <w:color w:val="010205"/>
                                    </w:rPr>
                                    <w:t>Traffic Court</w:t>
                                  </w:r>
                                  <w:r w:rsidRPr="00874297">
                                    <w:rPr>
                                      <w:rFonts w:ascii="Arial" w:hAnsi="Arial" w:cs="Arial"/>
                                      <w:b/>
                                      <w:bCs/>
                                      <w:color w:val="010205"/>
                                    </w:rPr>
                                    <w:t>, January 2017-December 2018</w:t>
                                  </w:r>
                                </w:p>
                              </w:tc>
                            </w:tr>
                            <w:tr w:rsidR="00A56EB4" w:rsidRPr="00874297" w14:paraId="661F994C" w14:textId="77777777" w:rsidTr="006A44BB">
                              <w:trPr>
                                <w:cantSplit/>
                                <w:trHeight w:val="303"/>
                              </w:trPr>
                              <w:tc>
                                <w:tcPr>
                                  <w:tcW w:w="9276" w:type="dxa"/>
                                  <w:gridSpan w:val="10"/>
                                  <w:tcBorders>
                                    <w:top w:val="nil"/>
                                    <w:left w:val="nil"/>
                                    <w:bottom w:val="nil"/>
                                    <w:right w:val="nil"/>
                                  </w:tcBorders>
                                  <w:shd w:val="clear" w:color="auto" w:fill="FFFFFF"/>
                                  <w:vAlign w:val="bottom"/>
                                </w:tcPr>
                                <w:p w14:paraId="7BF7A270" w14:textId="77777777" w:rsidR="00A56EB4" w:rsidRPr="00874297" w:rsidRDefault="00A56EB4" w:rsidP="006A44BB">
                                  <w:pPr>
                                    <w:autoSpaceDE w:val="0"/>
                                    <w:autoSpaceDN w:val="0"/>
                                    <w:adjustRightInd w:val="0"/>
                                    <w:spacing w:after="0" w:line="320" w:lineRule="atLeast"/>
                                    <w:rPr>
                                      <w:rFonts w:ascii="Times New Roman" w:hAnsi="Times New Roman" w:cs="Times New Roman"/>
                                      <w:sz w:val="24"/>
                                      <w:szCs w:val="24"/>
                                    </w:rPr>
                                  </w:pPr>
                                  <w:r w:rsidRPr="00874297">
                                    <w:rPr>
                                      <w:rFonts w:ascii="Arial" w:hAnsi="Arial" w:cs="Arial"/>
                                      <w:color w:val="010205"/>
                                      <w:sz w:val="18"/>
                                      <w:szCs w:val="18"/>
                                      <w:shd w:val="clear" w:color="auto" w:fill="FFFFFF"/>
                                    </w:rPr>
                                    <w:t xml:space="preserve">Count  </w:t>
                                  </w:r>
                                </w:p>
                              </w:tc>
                            </w:tr>
                            <w:tr w:rsidR="00A56EB4" w:rsidRPr="00874297" w14:paraId="1C12A7D0" w14:textId="77777777" w:rsidTr="006A44BB">
                              <w:trPr>
                                <w:cantSplit/>
                                <w:trHeight w:val="303"/>
                              </w:trPr>
                              <w:tc>
                                <w:tcPr>
                                  <w:tcW w:w="2756" w:type="dxa"/>
                                  <w:gridSpan w:val="3"/>
                                  <w:vMerge w:val="restart"/>
                                  <w:tcBorders>
                                    <w:top w:val="nil"/>
                                    <w:left w:val="nil"/>
                                    <w:bottom w:val="nil"/>
                                    <w:right w:val="nil"/>
                                  </w:tcBorders>
                                  <w:shd w:val="clear" w:color="auto" w:fill="FFFFFF"/>
                                  <w:vAlign w:val="bottom"/>
                                </w:tcPr>
                                <w:p w14:paraId="6548E720"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Family size</w:t>
                                  </w:r>
                                </w:p>
                              </w:tc>
                              <w:tc>
                                <w:tcPr>
                                  <w:tcW w:w="5787" w:type="dxa"/>
                                  <w:gridSpan w:val="6"/>
                                  <w:tcBorders>
                                    <w:top w:val="nil"/>
                                    <w:left w:val="nil"/>
                                    <w:bottom w:val="nil"/>
                                    <w:right w:val="single" w:sz="8" w:space="0" w:color="E0E0E0"/>
                                  </w:tcBorders>
                                  <w:shd w:val="clear" w:color="auto" w:fill="FFFFFF"/>
                                  <w:vAlign w:val="bottom"/>
                                </w:tcPr>
                                <w:p w14:paraId="38D7B3C2"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Annual household income</w:t>
                                  </w:r>
                                </w:p>
                              </w:tc>
                              <w:tc>
                                <w:tcPr>
                                  <w:tcW w:w="733" w:type="dxa"/>
                                  <w:vMerge w:val="restart"/>
                                  <w:tcBorders>
                                    <w:top w:val="nil"/>
                                    <w:left w:val="single" w:sz="8" w:space="0" w:color="E0E0E0"/>
                                    <w:bottom w:val="nil"/>
                                    <w:right w:val="nil"/>
                                  </w:tcBorders>
                                  <w:shd w:val="clear" w:color="auto" w:fill="FFFFFF"/>
                                  <w:vAlign w:val="bottom"/>
                                </w:tcPr>
                                <w:p w14:paraId="4617D9FD"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Total</w:t>
                                  </w:r>
                                </w:p>
                              </w:tc>
                            </w:tr>
                            <w:tr w:rsidR="00A56EB4" w:rsidRPr="00874297" w14:paraId="524549EA" w14:textId="77777777" w:rsidTr="006A44BB">
                              <w:trPr>
                                <w:cantSplit/>
                                <w:trHeight w:val="318"/>
                              </w:trPr>
                              <w:tc>
                                <w:tcPr>
                                  <w:tcW w:w="2756" w:type="dxa"/>
                                  <w:gridSpan w:val="3"/>
                                  <w:vMerge/>
                                  <w:tcBorders>
                                    <w:top w:val="nil"/>
                                    <w:left w:val="nil"/>
                                    <w:bottom w:val="nil"/>
                                    <w:right w:val="nil"/>
                                  </w:tcBorders>
                                  <w:shd w:val="clear" w:color="auto" w:fill="FFFFFF"/>
                                  <w:vAlign w:val="bottom"/>
                                </w:tcPr>
                                <w:p w14:paraId="12BC956E" w14:textId="77777777" w:rsidR="00A56EB4" w:rsidRPr="00874297" w:rsidRDefault="00A56EB4" w:rsidP="006A44BB">
                                  <w:pPr>
                                    <w:autoSpaceDE w:val="0"/>
                                    <w:autoSpaceDN w:val="0"/>
                                    <w:adjustRightInd w:val="0"/>
                                    <w:spacing w:after="0" w:line="240" w:lineRule="auto"/>
                                    <w:rPr>
                                      <w:rFonts w:ascii="Arial" w:hAnsi="Arial" w:cs="Arial"/>
                                      <w:color w:val="264A60"/>
                                      <w:sz w:val="18"/>
                                      <w:szCs w:val="18"/>
                                    </w:rPr>
                                  </w:pPr>
                                </w:p>
                              </w:tc>
                              <w:tc>
                                <w:tcPr>
                                  <w:tcW w:w="809" w:type="dxa"/>
                                  <w:tcBorders>
                                    <w:top w:val="nil"/>
                                    <w:left w:val="nil"/>
                                    <w:bottom w:val="single" w:sz="8" w:space="0" w:color="152935"/>
                                    <w:right w:val="single" w:sz="8" w:space="0" w:color="E0E0E0"/>
                                  </w:tcBorders>
                                  <w:shd w:val="clear" w:color="auto" w:fill="FFFFFF"/>
                                  <w:vAlign w:val="bottom"/>
                                </w:tcPr>
                                <w:p w14:paraId="67BD5FA5"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&lt; $15,000</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670B301B"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$15,000-$25,000</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33415C9E"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$26,000-$35,000</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6D8AE6F2"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$36,000-$45,000</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04CAD20C"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$46,000-$55,000</w:t>
                                  </w:r>
                                </w:p>
                              </w:tc>
                              <w:tc>
                                <w:tcPr>
                                  <w:tcW w:w="778" w:type="dxa"/>
                                  <w:tcBorders>
                                    <w:top w:val="nil"/>
                                    <w:left w:val="single" w:sz="8" w:space="0" w:color="E0E0E0"/>
                                    <w:bottom w:val="single" w:sz="8" w:space="0" w:color="152935"/>
                                    <w:right w:val="single" w:sz="8" w:space="0" w:color="E0E0E0"/>
                                  </w:tcBorders>
                                  <w:shd w:val="clear" w:color="auto" w:fill="FFFFFF"/>
                                  <w:vAlign w:val="bottom"/>
                                </w:tcPr>
                                <w:p w14:paraId="73E8BAD9"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&gt;$55,000</w:t>
                                  </w:r>
                                </w:p>
                              </w:tc>
                              <w:tc>
                                <w:tcPr>
                                  <w:tcW w:w="733" w:type="dxa"/>
                                  <w:vMerge/>
                                  <w:tcBorders>
                                    <w:top w:val="nil"/>
                                    <w:left w:val="single" w:sz="8" w:space="0" w:color="E0E0E0"/>
                                    <w:bottom w:val="nil"/>
                                    <w:right w:val="nil"/>
                                  </w:tcBorders>
                                  <w:shd w:val="clear" w:color="auto" w:fill="FFFFFF"/>
                                  <w:vAlign w:val="bottom"/>
                                </w:tcPr>
                                <w:p w14:paraId="42550248" w14:textId="77777777" w:rsidR="00A56EB4" w:rsidRPr="00874297" w:rsidRDefault="00A56EB4" w:rsidP="006A44BB">
                                  <w:pPr>
                                    <w:autoSpaceDE w:val="0"/>
                                    <w:autoSpaceDN w:val="0"/>
                                    <w:adjustRightInd w:val="0"/>
                                    <w:spacing w:after="0" w:line="240" w:lineRule="auto"/>
                                    <w:rPr>
                                      <w:rFonts w:ascii="Arial" w:hAnsi="Arial" w:cs="Arial"/>
                                      <w:color w:val="264A60"/>
                                      <w:sz w:val="18"/>
                                      <w:szCs w:val="18"/>
                                    </w:rPr>
                                  </w:pPr>
                                </w:p>
                              </w:tc>
                            </w:tr>
                            <w:tr w:rsidR="00A56EB4" w:rsidRPr="00874297" w14:paraId="01C1CAFF" w14:textId="77777777" w:rsidTr="006A44BB">
                              <w:trPr>
                                <w:cantSplit/>
                                <w:trHeight w:val="303"/>
                              </w:trPr>
                              <w:tc>
                                <w:tcPr>
                                  <w:tcW w:w="809" w:type="dxa"/>
                                  <w:vMerge w:val="restart"/>
                                  <w:tcBorders>
                                    <w:top w:val="single" w:sz="8" w:space="0" w:color="152935"/>
                                    <w:left w:val="nil"/>
                                    <w:bottom w:val="nil"/>
                                    <w:right w:val="nil"/>
                                  </w:tcBorders>
                                  <w:shd w:val="clear" w:color="auto" w:fill="E0E0E0"/>
                                </w:tcPr>
                                <w:p w14:paraId="473173F8"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1 person</w:t>
                                  </w:r>
                                </w:p>
                              </w:tc>
                              <w:tc>
                                <w:tcPr>
                                  <w:tcW w:w="751" w:type="dxa"/>
                                  <w:vMerge w:val="restart"/>
                                  <w:tcBorders>
                                    <w:top w:val="single" w:sz="8" w:space="0" w:color="152935"/>
                                    <w:left w:val="nil"/>
                                    <w:bottom w:val="nil"/>
                                    <w:right w:val="nil"/>
                                  </w:tcBorders>
                                  <w:shd w:val="clear" w:color="auto" w:fill="E0E0E0"/>
                                </w:tcPr>
                                <w:p w14:paraId="4F3AC264"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152935"/>
                                    <w:left w:val="nil"/>
                                    <w:bottom w:val="single" w:sz="8" w:space="0" w:color="AEAEAE"/>
                                    <w:right w:val="nil"/>
                                  </w:tcBorders>
                                  <w:shd w:val="clear" w:color="auto" w:fill="E0E0E0"/>
                                </w:tcPr>
                                <w:p w14:paraId="1C40533E"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152935"/>
                                    <w:left w:val="nil"/>
                                    <w:bottom w:val="single" w:sz="8" w:space="0" w:color="AEAEAE"/>
                                    <w:right w:val="single" w:sz="8" w:space="0" w:color="E0E0E0"/>
                                  </w:tcBorders>
                                  <w:shd w:val="clear" w:color="auto" w:fill="FFFFFF"/>
                                </w:tcPr>
                                <w:p w14:paraId="6AC62DF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23</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4FDF332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20</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40BA3CE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43BF4CA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1CED4BC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w:t>
                                  </w:r>
                                </w:p>
                              </w:tc>
                              <w:tc>
                                <w:tcPr>
                                  <w:tcW w:w="778" w:type="dxa"/>
                                  <w:tcBorders>
                                    <w:top w:val="single" w:sz="8" w:space="0" w:color="152935"/>
                                    <w:left w:val="single" w:sz="8" w:space="0" w:color="E0E0E0"/>
                                    <w:bottom w:val="single" w:sz="8" w:space="0" w:color="AEAEAE"/>
                                    <w:right w:val="single" w:sz="8" w:space="0" w:color="E0E0E0"/>
                                  </w:tcBorders>
                                  <w:shd w:val="clear" w:color="auto" w:fill="FFFFFF"/>
                                </w:tcPr>
                                <w:p w14:paraId="5680332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14</w:t>
                                  </w:r>
                                </w:p>
                              </w:tc>
                              <w:tc>
                                <w:tcPr>
                                  <w:tcW w:w="733" w:type="dxa"/>
                                  <w:tcBorders>
                                    <w:top w:val="single" w:sz="8" w:space="0" w:color="152935"/>
                                    <w:left w:val="single" w:sz="8" w:space="0" w:color="E0E0E0"/>
                                    <w:bottom w:val="single" w:sz="8" w:space="0" w:color="AEAEAE"/>
                                    <w:right w:val="nil"/>
                                  </w:tcBorders>
                                  <w:shd w:val="clear" w:color="auto" w:fill="FFFFFF"/>
                                </w:tcPr>
                                <w:p w14:paraId="0F38668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85</w:t>
                                  </w:r>
                                </w:p>
                              </w:tc>
                            </w:tr>
                            <w:tr w:rsidR="00A56EB4" w:rsidRPr="00874297" w14:paraId="00AA8016" w14:textId="77777777" w:rsidTr="006A44BB">
                              <w:trPr>
                                <w:cantSplit/>
                                <w:trHeight w:val="332"/>
                              </w:trPr>
                              <w:tc>
                                <w:tcPr>
                                  <w:tcW w:w="809" w:type="dxa"/>
                                  <w:vMerge/>
                                  <w:tcBorders>
                                    <w:top w:val="single" w:sz="8" w:space="0" w:color="152935"/>
                                    <w:left w:val="nil"/>
                                    <w:bottom w:val="nil"/>
                                    <w:right w:val="nil"/>
                                  </w:tcBorders>
                                  <w:shd w:val="clear" w:color="auto" w:fill="E0E0E0"/>
                                </w:tcPr>
                                <w:p w14:paraId="0295417A"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152935"/>
                                    <w:left w:val="nil"/>
                                    <w:bottom w:val="nil"/>
                                    <w:right w:val="nil"/>
                                  </w:tcBorders>
                                  <w:shd w:val="clear" w:color="auto" w:fill="E0E0E0"/>
                                </w:tcPr>
                                <w:p w14:paraId="32FD989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45D3132B"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4D932DA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74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24BB2D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4D17D08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5A75AE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058236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70539A3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w:t>
                                  </w:r>
                                </w:p>
                              </w:tc>
                              <w:tc>
                                <w:tcPr>
                                  <w:tcW w:w="733" w:type="dxa"/>
                                  <w:tcBorders>
                                    <w:top w:val="single" w:sz="8" w:space="0" w:color="AEAEAE"/>
                                    <w:left w:val="single" w:sz="8" w:space="0" w:color="E0E0E0"/>
                                    <w:bottom w:val="single" w:sz="8" w:space="0" w:color="AEAEAE"/>
                                    <w:right w:val="nil"/>
                                  </w:tcBorders>
                                  <w:shd w:val="clear" w:color="auto" w:fill="FFFFFF"/>
                                </w:tcPr>
                                <w:p w14:paraId="5250CBE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242</w:t>
                                  </w:r>
                                </w:p>
                              </w:tc>
                            </w:tr>
                            <w:tr w:rsidR="00A56EB4" w:rsidRPr="00874297" w14:paraId="48D80B8B" w14:textId="77777777" w:rsidTr="006A44BB">
                              <w:trPr>
                                <w:cantSplit/>
                                <w:trHeight w:val="332"/>
                              </w:trPr>
                              <w:tc>
                                <w:tcPr>
                                  <w:tcW w:w="809" w:type="dxa"/>
                                  <w:vMerge/>
                                  <w:tcBorders>
                                    <w:top w:val="single" w:sz="8" w:space="0" w:color="152935"/>
                                    <w:left w:val="nil"/>
                                    <w:bottom w:val="nil"/>
                                    <w:right w:val="nil"/>
                                  </w:tcBorders>
                                  <w:shd w:val="clear" w:color="auto" w:fill="E0E0E0"/>
                                </w:tcPr>
                                <w:p w14:paraId="28007D72"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152935"/>
                                    <w:left w:val="nil"/>
                                    <w:bottom w:val="nil"/>
                                    <w:right w:val="nil"/>
                                  </w:tcBorders>
                                  <w:shd w:val="clear" w:color="auto" w:fill="E0E0E0"/>
                                </w:tcPr>
                                <w:p w14:paraId="35D953C2"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6D6F1A8B"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5A5A3F94"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428</w:t>
                                  </w:r>
                                </w:p>
                              </w:tc>
                              <w:tc>
                                <w:tcPr>
                                  <w:tcW w:w="1050" w:type="dxa"/>
                                  <w:tcBorders>
                                    <w:top w:val="single" w:sz="8" w:space="0" w:color="AEAEAE"/>
                                    <w:left w:val="single" w:sz="8" w:space="0" w:color="E0E0E0"/>
                                    <w:bottom w:val="nil"/>
                                    <w:right w:val="single" w:sz="8" w:space="0" w:color="E0E0E0"/>
                                  </w:tcBorders>
                                  <w:shd w:val="clear" w:color="auto" w:fill="FFFFFF"/>
                                </w:tcPr>
                                <w:p w14:paraId="5345FEF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299</w:t>
                                  </w:r>
                                </w:p>
                              </w:tc>
                              <w:tc>
                                <w:tcPr>
                                  <w:tcW w:w="1050" w:type="dxa"/>
                                  <w:tcBorders>
                                    <w:top w:val="single" w:sz="8" w:space="0" w:color="AEAEAE"/>
                                    <w:left w:val="single" w:sz="8" w:space="0" w:color="E0E0E0"/>
                                    <w:bottom w:val="nil"/>
                                    <w:right w:val="single" w:sz="8" w:space="0" w:color="E0E0E0"/>
                                  </w:tcBorders>
                                  <w:shd w:val="clear" w:color="auto" w:fill="FFFFFF"/>
                                </w:tcPr>
                                <w:p w14:paraId="3F53EAC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267</w:t>
                                  </w:r>
                                </w:p>
                              </w:tc>
                              <w:tc>
                                <w:tcPr>
                                  <w:tcW w:w="1050" w:type="dxa"/>
                                  <w:tcBorders>
                                    <w:top w:val="single" w:sz="8" w:space="0" w:color="AEAEAE"/>
                                    <w:left w:val="single" w:sz="8" w:space="0" w:color="E0E0E0"/>
                                    <w:bottom w:val="nil"/>
                                    <w:right w:val="single" w:sz="8" w:space="0" w:color="E0E0E0"/>
                                  </w:tcBorders>
                                  <w:shd w:val="clear" w:color="auto" w:fill="FFFFFF"/>
                                </w:tcPr>
                                <w:p w14:paraId="1163B1D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195</w:t>
                                  </w:r>
                                </w:p>
                              </w:tc>
                              <w:tc>
                                <w:tcPr>
                                  <w:tcW w:w="1050" w:type="dxa"/>
                                  <w:tcBorders>
                                    <w:top w:val="single" w:sz="8" w:space="0" w:color="AEAEAE"/>
                                    <w:left w:val="single" w:sz="8" w:space="0" w:color="E0E0E0"/>
                                    <w:bottom w:val="nil"/>
                                    <w:right w:val="single" w:sz="8" w:space="0" w:color="E0E0E0"/>
                                  </w:tcBorders>
                                  <w:shd w:val="clear" w:color="auto" w:fill="FFFFFF"/>
                                </w:tcPr>
                                <w:p w14:paraId="38AA1FC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225</w:t>
                                  </w:r>
                                </w:p>
                              </w:tc>
                              <w:tc>
                                <w:tcPr>
                                  <w:tcW w:w="778" w:type="dxa"/>
                                  <w:tcBorders>
                                    <w:top w:val="single" w:sz="8" w:space="0" w:color="AEAEAE"/>
                                    <w:left w:val="single" w:sz="8" w:space="0" w:color="E0E0E0"/>
                                    <w:bottom w:val="nil"/>
                                    <w:right w:val="single" w:sz="8" w:space="0" w:color="E0E0E0"/>
                                  </w:tcBorders>
                                  <w:shd w:val="clear" w:color="auto" w:fill="FFFFFF"/>
                                </w:tcPr>
                                <w:p w14:paraId="7192089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509</w:t>
                                  </w:r>
                                </w:p>
                              </w:tc>
                              <w:tc>
                                <w:tcPr>
                                  <w:tcW w:w="733" w:type="dxa"/>
                                  <w:tcBorders>
                                    <w:top w:val="single" w:sz="8" w:space="0" w:color="AEAEAE"/>
                                    <w:left w:val="single" w:sz="8" w:space="0" w:color="E0E0E0"/>
                                    <w:bottom w:val="nil"/>
                                    <w:right w:val="nil"/>
                                  </w:tcBorders>
                                  <w:shd w:val="clear" w:color="auto" w:fill="FFFFFF"/>
                                </w:tcPr>
                                <w:p w14:paraId="0A61110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1923</w:t>
                                  </w:r>
                                </w:p>
                              </w:tc>
                            </w:tr>
                            <w:tr w:rsidR="00A56EB4" w:rsidRPr="00874297" w14:paraId="200C1895" w14:textId="77777777" w:rsidTr="006A44BB">
                              <w:trPr>
                                <w:cantSplit/>
                                <w:trHeight w:val="318"/>
                              </w:trPr>
                              <w:tc>
                                <w:tcPr>
                                  <w:tcW w:w="809" w:type="dxa"/>
                                  <w:vMerge/>
                                  <w:tcBorders>
                                    <w:top w:val="single" w:sz="8" w:space="0" w:color="152935"/>
                                    <w:left w:val="nil"/>
                                    <w:bottom w:val="nil"/>
                                    <w:right w:val="nil"/>
                                  </w:tcBorders>
                                  <w:shd w:val="clear" w:color="auto" w:fill="E0E0E0"/>
                                </w:tcPr>
                                <w:p w14:paraId="233FBBF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5F1A14B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0698CC1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525</w:t>
                                  </w:r>
                                </w:p>
                              </w:tc>
                              <w:tc>
                                <w:tcPr>
                                  <w:tcW w:w="1050" w:type="dxa"/>
                                  <w:tcBorders>
                                    <w:top w:val="single" w:sz="8" w:space="0" w:color="AEAEAE"/>
                                    <w:left w:val="single" w:sz="8" w:space="0" w:color="E0E0E0"/>
                                    <w:bottom w:val="nil"/>
                                    <w:right w:val="single" w:sz="8" w:space="0" w:color="E0E0E0"/>
                                  </w:tcBorders>
                                  <w:shd w:val="clear" w:color="auto" w:fill="FFFFFF"/>
                                </w:tcPr>
                                <w:p w14:paraId="2ED9E5D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373</w:t>
                                  </w:r>
                                </w:p>
                              </w:tc>
                              <w:tc>
                                <w:tcPr>
                                  <w:tcW w:w="1050" w:type="dxa"/>
                                  <w:tcBorders>
                                    <w:top w:val="single" w:sz="8" w:space="0" w:color="AEAEAE"/>
                                    <w:left w:val="single" w:sz="8" w:space="0" w:color="E0E0E0"/>
                                    <w:bottom w:val="nil"/>
                                    <w:right w:val="single" w:sz="8" w:space="0" w:color="E0E0E0"/>
                                  </w:tcBorders>
                                  <w:shd w:val="clear" w:color="auto" w:fill="FFFFFF"/>
                                </w:tcPr>
                                <w:p w14:paraId="785278D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323</w:t>
                                  </w:r>
                                </w:p>
                              </w:tc>
                              <w:tc>
                                <w:tcPr>
                                  <w:tcW w:w="1050" w:type="dxa"/>
                                  <w:tcBorders>
                                    <w:top w:val="single" w:sz="8" w:space="0" w:color="AEAEAE"/>
                                    <w:left w:val="single" w:sz="8" w:space="0" w:color="E0E0E0"/>
                                    <w:bottom w:val="nil"/>
                                    <w:right w:val="single" w:sz="8" w:space="0" w:color="E0E0E0"/>
                                  </w:tcBorders>
                                  <w:shd w:val="clear" w:color="auto" w:fill="FFFFFF"/>
                                </w:tcPr>
                                <w:p w14:paraId="0EF38C6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232</w:t>
                                  </w:r>
                                </w:p>
                              </w:tc>
                              <w:tc>
                                <w:tcPr>
                                  <w:tcW w:w="1050" w:type="dxa"/>
                                  <w:tcBorders>
                                    <w:top w:val="single" w:sz="8" w:space="0" w:color="AEAEAE"/>
                                    <w:left w:val="single" w:sz="8" w:space="0" w:color="E0E0E0"/>
                                    <w:bottom w:val="nil"/>
                                    <w:right w:val="single" w:sz="8" w:space="0" w:color="E0E0E0"/>
                                  </w:tcBorders>
                                  <w:shd w:val="clear" w:color="auto" w:fill="FFFFFF"/>
                                </w:tcPr>
                                <w:p w14:paraId="305D33D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244</w:t>
                                  </w:r>
                                </w:p>
                              </w:tc>
                              <w:tc>
                                <w:tcPr>
                                  <w:tcW w:w="778" w:type="dxa"/>
                                  <w:tcBorders>
                                    <w:top w:val="single" w:sz="8" w:space="0" w:color="AEAEAE"/>
                                    <w:left w:val="single" w:sz="8" w:space="0" w:color="E0E0E0"/>
                                    <w:bottom w:val="nil"/>
                                    <w:right w:val="single" w:sz="8" w:space="0" w:color="E0E0E0"/>
                                  </w:tcBorders>
                                  <w:shd w:val="clear" w:color="auto" w:fill="FFFFFF"/>
                                </w:tcPr>
                                <w:p w14:paraId="029A875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553</w:t>
                                  </w:r>
                                </w:p>
                              </w:tc>
                              <w:tc>
                                <w:tcPr>
                                  <w:tcW w:w="733" w:type="dxa"/>
                                  <w:tcBorders>
                                    <w:top w:val="single" w:sz="8" w:space="0" w:color="AEAEAE"/>
                                    <w:left w:val="single" w:sz="8" w:space="0" w:color="E0E0E0"/>
                                    <w:bottom w:val="nil"/>
                                    <w:right w:val="nil"/>
                                  </w:tcBorders>
                                  <w:shd w:val="clear" w:color="auto" w:fill="FFFFFF"/>
                                </w:tcPr>
                                <w:p w14:paraId="7D46CBF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2250</w:t>
                                  </w:r>
                                </w:p>
                              </w:tc>
                            </w:tr>
                            <w:tr w:rsidR="00A56EB4" w:rsidRPr="00874297" w14:paraId="49D934BB" w14:textId="77777777" w:rsidTr="006A44BB">
                              <w:trPr>
                                <w:cantSplit/>
                                <w:trHeight w:val="318"/>
                              </w:trPr>
                              <w:tc>
                                <w:tcPr>
                                  <w:tcW w:w="809" w:type="dxa"/>
                                  <w:vMerge w:val="restart"/>
                                  <w:tcBorders>
                                    <w:top w:val="single" w:sz="8" w:space="0" w:color="AEAEAE"/>
                                    <w:left w:val="nil"/>
                                    <w:bottom w:val="nil"/>
                                    <w:right w:val="nil"/>
                                  </w:tcBorders>
                                  <w:shd w:val="clear" w:color="auto" w:fill="E0E0E0"/>
                                </w:tcPr>
                                <w:p w14:paraId="0B17BFC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2 people</w:t>
                                  </w:r>
                                </w:p>
                              </w:tc>
                              <w:tc>
                                <w:tcPr>
                                  <w:tcW w:w="751" w:type="dxa"/>
                                  <w:vMerge w:val="restart"/>
                                  <w:tcBorders>
                                    <w:top w:val="single" w:sz="8" w:space="0" w:color="AEAEAE"/>
                                    <w:left w:val="nil"/>
                                    <w:bottom w:val="nil"/>
                                    <w:right w:val="nil"/>
                                  </w:tcBorders>
                                  <w:shd w:val="clear" w:color="auto" w:fill="E0E0E0"/>
                                </w:tcPr>
                                <w:p w14:paraId="29242EB9"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AEAEAE"/>
                                    <w:left w:val="nil"/>
                                    <w:bottom w:val="single" w:sz="8" w:space="0" w:color="AEAEAE"/>
                                    <w:right w:val="nil"/>
                                  </w:tcBorders>
                                  <w:shd w:val="clear" w:color="auto" w:fill="E0E0E0"/>
                                </w:tcPr>
                                <w:p w14:paraId="6C21405A"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AEAEAE"/>
                                    <w:left w:val="nil"/>
                                    <w:bottom w:val="single" w:sz="8" w:space="0" w:color="AEAEAE"/>
                                    <w:right w:val="single" w:sz="8" w:space="0" w:color="E0E0E0"/>
                                  </w:tcBorders>
                                  <w:shd w:val="clear" w:color="auto" w:fill="FFFFFF"/>
                                </w:tcPr>
                                <w:p w14:paraId="52AEB20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2F0C82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3A3A710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F10027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543BB45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7</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1183873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20</w:t>
                                  </w:r>
                                </w:p>
                              </w:tc>
                              <w:tc>
                                <w:tcPr>
                                  <w:tcW w:w="733" w:type="dxa"/>
                                  <w:tcBorders>
                                    <w:top w:val="single" w:sz="8" w:space="0" w:color="AEAEAE"/>
                                    <w:left w:val="single" w:sz="8" w:space="0" w:color="E0E0E0"/>
                                    <w:bottom w:val="single" w:sz="8" w:space="0" w:color="AEAEAE"/>
                                    <w:right w:val="nil"/>
                                  </w:tcBorders>
                                  <w:shd w:val="clear" w:color="auto" w:fill="FFFFFF"/>
                                </w:tcPr>
                                <w:p w14:paraId="7DE80A1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80</w:t>
                                  </w:r>
                                </w:p>
                              </w:tc>
                            </w:tr>
                            <w:tr w:rsidR="00A56EB4" w:rsidRPr="00874297" w14:paraId="3ADF9647" w14:textId="77777777" w:rsidTr="006A44BB">
                              <w:trPr>
                                <w:cantSplit/>
                                <w:trHeight w:val="332"/>
                              </w:trPr>
                              <w:tc>
                                <w:tcPr>
                                  <w:tcW w:w="809" w:type="dxa"/>
                                  <w:vMerge/>
                                  <w:tcBorders>
                                    <w:top w:val="single" w:sz="8" w:space="0" w:color="AEAEAE"/>
                                    <w:left w:val="nil"/>
                                    <w:bottom w:val="nil"/>
                                    <w:right w:val="nil"/>
                                  </w:tcBorders>
                                  <w:shd w:val="clear" w:color="auto" w:fill="E0E0E0"/>
                                </w:tcPr>
                                <w:p w14:paraId="2CC8D24F"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2F38FB8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3815B020"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331285C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8A402E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7114F2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E16A48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37</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5B361C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23</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7DBBF8A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44</w:t>
                                  </w:r>
                                </w:p>
                              </w:tc>
                              <w:tc>
                                <w:tcPr>
                                  <w:tcW w:w="733" w:type="dxa"/>
                                  <w:tcBorders>
                                    <w:top w:val="single" w:sz="8" w:space="0" w:color="AEAEAE"/>
                                    <w:left w:val="single" w:sz="8" w:space="0" w:color="E0E0E0"/>
                                    <w:bottom w:val="single" w:sz="8" w:space="0" w:color="AEAEAE"/>
                                    <w:right w:val="nil"/>
                                  </w:tcBorders>
                                  <w:shd w:val="clear" w:color="auto" w:fill="FFFFFF"/>
                                </w:tcPr>
                                <w:p w14:paraId="2F3FBA6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259</w:t>
                                  </w:r>
                                </w:p>
                              </w:tc>
                            </w:tr>
                            <w:tr w:rsidR="00A56EB4" w:rsidRPr="00874297" w14:paraId="3CB58BD5" w14:textId="77777777" w:rsidTr="006A44BB">
                              <w:trPr>
                                <w:cantSplit/>
                                <w:trHeight w:val="318"/>
                              </w:trPr>
                              <w:tc>
                                <w:tcPr>
                                  <w:tcW w:w="809" w:type="dxa"/>
                                  <w:vMerge/>
                                  <w:tcBorders>
                                    <w:top w:val="single" w:sz="8" w:space="0" w:color="AEAEAE"/>
                                    <w:left w:val="nil"/>
                                    <w:bottom w:val="nil"/>
                                    <w:right w:val="nil"/>
                                  </w:tcBorders>
                                  <w:shd w:val="clear" w:color="auto" w:fill="E0E0E0"/>
                                </w:tcPr>
                                <w:p w14:paraId="2E9501DA"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2574DCCB"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0F470DFF"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33F0B69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327</w:t>
                                  </w:r>
                                </w:p>
                              </w:tc>
                              <w:tc>
                                <w:tcPr>
                                  <w:tcW w:w="1050" w:type="dxa"/>
                                  <w:tcBorders>
                                    <w:top w:val="single" w:sz="8" w:space="0" w:color="AEAEAE"/>
                                    <w:left w:val="single" w:sz="8" w:space="0" w:color="E0E0E0"/>
                                    <w:bottom w:val="nil"/>
                                    <w:right w:val="single" w:sz="8" w:space="0" w:color="E0E0E0"/>
                                  </w:tcBorders>
                                  <w:shd w:val="clear" w:color="auto" w:fill="FFFFFF"/>
                                </w:tcPr>
                                <w:p w14:paraId="3499BF9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338</w:t>
                                  </w:r>
                                </w:p>
                              </w:tc>
                              <w:tc>
                                <w:tcPr>
                                  <w:tcW w:w="1050" w:type="dxa"/>
                                  <w:tcBorders>
                                    <w:top w:val="single" w:sz="8" w:space="0" w:color="AEAEAE"/>
                                    <w:left w:val="single" w:sz="8" w:space="0" w:color="E0E0E0"/>
                                    <w:bottom w:val="nil"/>
                                    <w:right w:val="single" w:sz="8" w:space="0" w:color="E0E0E0"/>
                                  </w:tcBorders>
                                  <w:shd w:val="clear" w:color="auto" w:fill="FFFFFF"/>
                                </w:tcPr>
                                <w:p w14:paraId="0957933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369</w:t>
                                  </w:r>
                                </w:p>
                              </w:tc>
                              <w:tc>
                                <w:tcPr>
                                  <w:tcW w:w="1050" w:type="dxa"/>
                                  <w:tcBorders>
                                    <w:top w:val="single" w:sz="8" w:space="0" w:color="AEAEAE"/>
                                    <w:left w:val="single" w:sz="8" w:space="0" w:color="E0E0E0"/>
                                    <w:bottom w:val="nil"/>
                                    <w:right w:val="single" w:sz="8" w:space="0" w:color="E0E0E0"/>
                                  </w:tcBorders>
                                  <w:shd w:val="clear" w:color="auto" w:fill="FFFFFF"/>
                                </w:tcPr>
                                <w:p w14:paraId="7FB787E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342</w:t>
                                  </w:r>
                                </w:p>
                              </w:tc>
                              <w:tc>
                                <w:tcPr>
                                  <w:tcW w:w="1050" w:type="dxa"/>
                                  <w:tcBorders>
                                    <w:top w:val="single" w:sz="8" w:space="0" w:color="AEAEAE"/>
                                    <w:left w:val="single" w:sz="8" w:space="0" w:color="E0E0E0"/>
                                    <w:bottom w:val="nil"/>
                                    <w:right w:val="single" w:sz="8" w:space="0" w:color="E0E0E0"/>
                                  </w:tcBorders>
                                  <w:shd w:val="clear" w:color="auto" w:fill="FFFFFF"/>
                                </w:tcPr>
                                <w:p w14:paraId="3EE4E05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306</w:t>
                                  </w:r>
                                </w:p>
                              </w:tc>
                              <w:tc>
                                <w:tcPr>
                                  <w:tcW w:w="778" w:type="dxa"/>
                                  <w:tcBorders>
                                    <w:top w:val="single" w:sz="8" w:space="0" w:color="AEAEAE"/>
                                    <w:left w:val="single" w:sz="8" w:space="0" w:color="E0E0E0"/>
                                    <w:bottom w:val="nil"/>
                                    <w:right w:val="single" w:sz="8" w:space="0" w:color="E0E0E0"/>
                                  </w:tcBorders>
                                  <w:shd w:val="clear" w:color="auto" w:fill="FFFFFF"/>
                                </w:tcPr>
                                <w:p w14:paraId="6D7E369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1024</w:t>
                                  </w:r>
                                </w:p>
                              </w:tc>
                              <w:tc>
                                <w:tcPr>
                                  <w:tcW w:w="733" w:type="dxa"/>
                                  <w:tcBorders>
                                    <w:top w:val="single" w:sz="8" w:space="0" w:color="AEAEAE"/>
                                    <w:left w:val="single" w:sz="8" w:space="0" w:color="E0E0E0"/>
                                    <w:bottom w:val="nil"/>
                                    <w:right w:val="nil"/>
                                  </w:tcBorders>
                                  <w:shd w:val="clear" w:color="auto" w:fill="FFFFFF"/>
                                </w:tcPr>
                                <w:p w14:paraId="1E018E1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2706</w:t>
                                  </w:r>
                                </w:p>
                              </w:tc>
                            </w:tr>
                            <w:tr w:rsidR="00A56EB4" w:rsidRPr="00874297" w14:paraId="2F54AD40" w14:textId="77777777" w:rsidTr="006A44BB">
                              <w:trPr>
                                <w:cantSplit/>
                                <w:trHeight w:val="332"/>
                              </w:trPr>
                              <w:tc>
                                <w:tcPr>
                                  <w:tcW w:w="809" w:type="dxa"/>
                                  <w:vMerge/>
                                  <w:tcBorders>
                                    <w:top w:val="single" w:sz="8" w:space="0" w:color="AEAEAE"/>
                                    <w:left w:val="nil"/>
                                    <w:bottom w:val="nil"/>
                                    <w:right w:val="nil"/>
                                  </w:tcBorders>
                                  <w:shd w:val="clear" w:color="auto" w:fill="E0E0E0"/>
                                </w:tcPr>
                                <w:p w14:paraId="1BC2450B"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06DF8899"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488801A4"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404</w:t>
                                  </w:r>
                                </w:p>
                              </w:tc>
                              <w:tc>
                                <w:tcPr>
                                  <w:tcW w:w="1050" w:type="dxa"/>
                                  <w:tcBorders>
                                    <w:top w:val="single" w:sz="8" w:space="0" w:color="AEAEAE"/>
                                    <w:left w:val="single" w:sz="8" w:space="0" w:color="E0E0E0"/>
                                    <w:bottom w:val="nil"/>
                                    <w:right w:val="single" w:sz="8" w:space="0" w:color="E0E0E0"/>
                                  </w:tcBorders>
                                  <w:shd w:val="clear" w:color="auto" w:fill="FFFFFF"/>
                                </w:tcPr>
                                <w:p w14:paraId="24B3C2E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400</w:t>
                                  </w:r>
                                </w:p>
                              </w:tc>
                              <w:tc>
                                <w:tcPr>
                                  <w:tcW w:w="1050" w:type="dxa"/>
                                  <w:tcBorders>
                                    <w:top w:val="single" w:sz="8" w:space="0" w:color="AEAEAE"/>
                                    <w:left w:val="single" w:sz="8" w:space="0" w:color="E0E0E0"/>
                                    <w:bottom w:val="nil"/>
                                    <w:right w:val="single" w:sz="8" w:space="0" w:color="E0E0E0"/>
                                  </w:tcBorders>
                                  <w:shd w:val="clear" w:color="auto" w:fill="FFFFFF"/>
                                </w:tcPr>
                                <w:p w14:paraId="1F49C97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428</w:t>
                                  </w:r>
                                </w:p>
                              </w:tc>
                              <w:tc>
                                <w:tcPr>
                                  <w:tcW w:w="1050" w:type="dxa"/>
                                  <w:tcBorders>
                                    <w:top w:val="single" w:sz="8" w:space="0" w:color="AEAEAE"/>
                                    <w:left w:val="single" w:sz="8" w:space="0" w:color="E0E0E0"/>
                                    <w:bottom w:val="nil"/>
                                    <w:right w:val="single" w:sz="8" w:space="0" w:color="E0E0E0"/>
                                  </w:tcBorders>
                                  <w:shd w:val="clear" w:color="auto" w:fill="FFFFFF"/>
                                </w:tcPr>
                                <w:p w14:paraId="6CC31CD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389</w:t>
                                  </w:r>
                                </w:p>
                              </w:tc>
                              <w:tc>
                                <w:tcPr>
                                  <w:tcW w:w="1050" w:type="dxa"/>
                                  <w:tcBorders>
                                    <w:top w:val="single" w:sz="8" w:space="0" w:color="AEAEAE"/>
                                    <w:left w:val="single" w:sz="8" w:space="0" w:color="E0E0E0"/>
                                    <w:bottom w:val="nil"/>
                                    <w:right w:val="single" w:sz="8" w:space="0" w:color="E0E0E0"/>
                                  </w:tcBorders>
                                  <w:shd w:val="clear" w:color="auto" w:fill="FFFFFF"/>
                                </w:tcPr>
                                <w:p w14:paraId="1435736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336</w:t>
                                  </w:r>
                                </w:p>
                              </w:tc>
                              <w:tc>
                                <w:tcPr>
                                  <w:tcW w:w="778" w:type="dxa"/>
                                  <w:tcBorders>
                                    <w:top w:val="single" w:sz="8" w:space="0" w:color="AEAEAE"/>
                                    <w:left w:val="single" w:sz="8" w:space="0" w:color="E0E0E0"/>
                                    <w:bottom w:val="nil"/>
                                    <w:right w:val="single" w:sz="8" w:space="0" w:color="E0E0E0"/>
                                  </w:tcBorders>
                                  <w:shd w:val="clear" w:color="auto" w:fill="FFFFFF"/>
                                </w:tcPr>
                                <w:p w14:paraId="61997C2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1088</w:t>
                                  </w:r>
                                </w:p>
                              </w:tc>
                              <w:tc>
                                <w:tcPr>
                                  <w:tcW w:w="733" w:type="dxa"/>
                                  <w:tcBorders>
                                    <w:top w:val="single" w:sz="8" w:space="0" w:color="AEAEAE"/>
                                    <w:left w:val="single" w:sz="8" w:space="0" w:color="E0E0E0"/>
                                    <w:bottom w:val="nil"/>
                                    <w:right w:val="nil"/>
                                  </w:tcBorders>
                                  <w:shd w:val="clear" w:color="auto" w:fill="FFFFFF"/>
                                </w:tcPr>
                                <w:p w14:paraId="583CCB6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3045</w:t>
                                  </w:r>
                                </w:p>
                              </w:tc>
                            </w:tr>
                            <w:tr w:rsidR="00A56EB4" w:rsidRPr="00874297" w14:paraId="1E670A0D" w14:textId="77777777" w:rsidTr="006A44BB">
                              <w:trPr>
                                <w:cantSplit/>
                                <w:trHeight w:val="318"/>
                              </w:trPr>
                              <w:tc>
                                <w:tcPr>
                                  <w:tcW w:w="809" w:type="dxa"/>
                                  <w:vMerge w:val="restart"/>
                                  <w:tcBorders>
                                    <w:top w:val="single" w:sz="8" w:space="0" w:color="AEAEAE"/>
                                    <w:left w:val="nil"/>
                                    <w:bottom w:val="nil"/>
                                    <w:right w:val="nil"/>
                                  </w:tcBorders>
                                  <w:shd w:val="clear" w:color="auto" w:fill="E0E0E0"/>
                                </w:tcPr>
                                <w:p w14:paraId="5E8740DF"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3 people</w:t>
                                  </w:r>
                                </w:p>
                              </w:tc>
                              <w:tc>
                                <w:tcPr>
                                  <w:tcW w:w="751" w:type="dxa"/>
                                  <w:vMerge w:val="restart"/>
                                  <w:tcBorders>
                                    <w:top w:val="single" w:sz="8" w:space="0" w:color="AEAEAE"/>
                                    <w:left w:val="nil"/>
                                    <w:bottom w:val="nil"/>
                                    <w:right w:val="nil"/>
                                  </w:tcBorders>
                                  <w:shd w:val="clear" w:color="auto" w:fill="E0E0E0"/>
                                </w:tcPr>
                                <w:p w14:paraId="05D095F0"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AEAEAE"/>
                                    <w:left w:val="nil"/>
                                    <w:bottom w:val="single" w:sz="8" w:space="0" w:color="AEAEAE"/>
                                    <w:right w:val="nil"/>
                                  </w:tcBorders>
                                  <w:shd w:val="clear" w:color="auto" w:fill="E0E0E0"/>
                                </w:tcPr>
                                <w:p w14:paraId="2E14D36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AEAEAE"/>
                                    <w:left w:val="nil"/>
                                    <w:bottom w:val="single" w:sz="8" w:space="0" w:color="AEAEAE"/>
                                    <w:right w:val="single" w:sz="8" w:space="0" w:color="E0E0E0"/>
                                  </w:tcBorders>
                                  <w:shd w:val="clear" w:color="auto" w:fill="FFFFFF"/>
                                </w:tcPr>
                                <w:p w14:paraId="6FFE1D1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2AF921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4844AC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236A18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4DE5BC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6172D40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14</w:t>
                                  </w:r>
                                </w:p>
                              </w:tc>
                              <w:tc>
                                <w:tcPr>
                                  <w:tcW w:w="733" w:type="dxa"/>
                                  <w:tcBorders>
                                    <w:top w:val="single" w:sz="8" w:space="0" w:color="AEAEAE"/>
                                    <w:left w:val="single" w:sz="8" w:space="0" w:color="E0E0E0"/>
                                    <w:bottom w:val="single" w:sz="8" w:space="0" w:color="AEAEAE"/>
                                    <w:right w:val="nil"/>
                                  </w:tcBorders>
                                  <w:shd w:val="clear" w:color="auto" w:fill="FFFFFF"/>
                                </w:tcPr>
                                <w:p w14:paraId="0D3DFED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62</w:t>
                                  </w:r>
                                </w:p>
                              </w:tc>
                            </w:tr>
                            <w:tr w:rsidR="00A56EB4" w:rsidRPr="00874297" w14:paraId="1F957612" w14:textId="77777777" w:rsidTr="006A44BB">
                              <w:trPr>
                                <w:cantSplit/>
                                <w:trHeight w:val="318"/>
                              </w:trPr>
                              <w:tc>
                                <w:tcPr>
                                  <w:tcW w:w="809" w:type="dxa"/>
                                  <w:vMerge/>
                                  <w:tcBorders>
                                    <w:top w:val="single" w:sz="8" w:space="0" w:color="AEAEAE"/>
                                    <w:left w:val="nil"/>
                                    <w:bottom w:val="nil"/>
                                    <w:right w:val="nil"/>
                                  </w:tcBorders>
                                  <w:shd w:val="clear" w:color="auto" w:fill="E0E0E0"/>
                                </w:tcPr>
                                <w:p w14:paraId="71F95D2D"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067879FE"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56ECB574"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51F9F51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D3D286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E450E6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57</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A475F3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F1C7EE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26</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533C0C3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55</w:t>
                                  </w:r>
                                </w:p>
                              </w:tc>
                              <w:tc>
                                <w:tcPr>
                                  <w:tcW w:w="733" w:type="dxa"/>
                                  <w:tcBorders>
                                    <w:top w:val="single" w:sz="8" w:space="0" w:color="AEAEAE"/>
                                    <w:left w:val="single" w:sz="8" w:space="0" w:color="E0E0E0"/>
                                    <w:bottom w:val="single" w:sz="8" w:space="0" w:color="AEAEAE"/>
                                    <w:right w:val="nil"/>
                                  </w:tcBorders>
                                  <w:shd w:val="clear" w:color="auto" w:fill="FFFFFF"/>
                                </w:tcPr>
                                <w:p w14:paraId="41ACDC8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255</w:t>
                                  </w:r>
                                </w:p>
                              </w:tc>
                            </w:tr>
                            <w:tr w:rsidR="00A56EB4" w:rsidRPr="00874297" w14:paraId="51CE6639" w14:textId="77777777" w:rsidTr="006A44BB">
                              <w:trPr>
                                <w:cantSplit/>
                                <w:trHeight w:val="332"/>
                              </w:trPr>
                              <w:tc>
                                <w:tcPr>
                                  <w:tcW w:w="809" w:type="dxa"/>
                                  <w:vMerge/>
                                  <w:tcBorders>
                                    <w:top w:val="single" w:sz="8" w:space="0" w:color="AEAEAE"/>
                                    <w:left w:val="nil"/>
                                    <w:bottom w:val="nil"/>
                                    <w:right w:val="nil"/>
                                  </w:tcBorders>
                                  <w:shd w:val="clear" w:color="auto" w:fill="E0E0E0"/>
                                </w:tcPr>
                                <w:p w14:paraId="43DF6582"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6C460550"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5546CD24"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1838BA5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272</w:t>
                                  </w:r>
                                </w:p>
                              </w:tc>
                              <w:tc>
                                <w:tcPr>
                                  <w:tcW w:w="1050" w:type="dxa"/>
                                  <w:tcBorders>
                                    <w:top w:val="single" w:sz="8" w:space="0" w:color="AEAEAE"/>
                                    <w:left w:val="single" w:sz="8" w:space="0" w:color="E0E0E0"/>
                                    <w:bottom w:val="nil"/>
                                    <w:right w:val="single" w:sz="8" w:space="0" w:color="E0E0E0"/>
                                  </w:tcBorders>
                                  <w:shd w:val="clear" w:color="auto" w:fill="FFFFFF"/>
                                </w:tcPr>
                                <w:p w14:paraId="53507FE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274</w:t>
                                  </w:r>
                                </w:p>
                              </w:tc>
                              <w:tc>
                                <w:tcPr>
                                  <w:tcW w:w="1050" w:type="dxa"/>
                                  <w:tcBorders>
                                    <w:top w:val="single" w:sz="8" w:space="0" w:color="AEAEAE"/>
                                    <w:left w:val="single" w:sz="8" w:space="0" w:color="E0E0E0"/>
                                    <w:bottom w:val="nil"/>
                                    <w:right w:val="single" w:sz="8" w:space="0" w:color="E0E0E0"/>
                                  </w:tcBorders>
                                  <w:shd w:val="clear" w:color="auto" w:fill="FFFFFF"/>
                                </w:tcPr>
                                <w:p w14:paraId="5247AFE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309</w:t>
                                  </w:r>
                                </w:p>
                              </w:tc>
                              <w:tc>
                                <w:tcPr>
                                  <w:tcW w:w="1050" w:type="dxa"/>
                                  <w:tcBorders>
                                    <w:top w:val="single" w:sz="8" w:space="0" w:color="AEAEAE"/>
                                    <w:left w:val="single" w:sz="8" w:space="0" w:color="E0E0E0"/>
                                    <w:bottom w:val="nil"/>
                                    <w:right w:val="single" w:sz="8" w:space="0" w:color="E0E0E0"/>
                                  </w:tcBorders>
                                  <w:shd w:val="clear" w:color="auto" w:fill="FFFFFF"/>
                                </w:tcPr>
                                <w:p w14:paraId="233371A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340</w:t>
                                  </w:r>
                                </w:p>
                              </w:tc>
                              <w:tc>
                                <w:tcPr>
                                  <w:tcW w:w="1050" w:type="dxa"/>
                                  <w:tcBorders>
                                    <w:top w:val="single" w:sz="8" w:space="0" w:color="AEAEAE"/>
                                    <w:left w:val="single" w:sz="8" w:space="0" w:color="E0E0E0"/>
                                    <w:bottom w:val="nil"/>
                                    <w:right w:val="single" w:sz="8" w:space="0" w:color="E0E0E0"/>
                                  </w:tcBorders>
                                  <w:shd w:val="clear" w:color="auto" w:fill="FFFFFF"/>
                                </w:tcPr>
                                <w:p w14:paraId="079CEE5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274</w:t>
                                  </w:r>
                                </w:p>
                              </w:tc>
                              <w:tc>
                                <w:tcPr>
                                  <w:tcW w:w="778" w:type="dxa"/>
                                  <w:tcBorders>
                                    <w:top w:val="single" w:sz="8" w:space="0" w:color="AEAEAE"/>
                                    <w:left w:val="single" w:sz="8" w:space="0" w:color="E0E0E0"/>
                                    <w:bottom w:val="nil"/>
                                    <w:right w:val="single" w:sz="8" w:space="0" w:color="E0E0E0"/>
                                  </w:tcBorders>
                                  <w:shd w:val="clear" w:color="auto" w:fill="FFFFFF"/>
                                </w:tcPr>
                                <w:p w14:paraId="2A712A9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813</w:t>
                                  </w:r>
                                </w:p>
                              </w:tc>
                              <w:tc>
                                <w:tcPr>
                                  <w:tcW w:w="733" w:type="dxa"/>
                                  <w:tcBorders>
                                    <w:top w:val="single" w:sz="8" w:space="0" w:color="AEAEAE"/>
                                    <w:left w:val="single" w:sz="8" w:space="0" w:color="E0E0E0"/>
                                    <w:bottom w:val="nil"/>
                                    <w:right w:val="nil"/>
                                  </w:tcBorders>
                                  <w:shd w:val="clear" w:color="auto" w:fill="FFFFFF"/>
                                </w:tcPr>
                                <w:p w14:paraId="527AF32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2282</w:t>
                                  </w:r>
                                </w:p>
                              </w:tc>
                            </w:tr>
                            <w:tr w:rsidR="00A56EB4" w:rsidRPr="00874297" w14:paraId="328BFB83" w14:textId="77777777" w:rsidTr="006A44BB">
                              <w:trPr>
                                <w:cantSplit/>
                                <w:trHeight w:val="332"/>
                              </w:trPr>
                              <w:tc>
                                <w:tcPr>
                                  <w:tcW w:w="809" w:type="dxa"/>
                                  <w:vMerge/>
                                  <w:tcBorders>
                                    <w:top w:val="single" w:sz="8" w:space="0" w:color="AEAEAE"/>
                                    <w:left w:val="nil"/>
                                    <w:bottom w:val="nil"/>
                                    <w:right w:val="nil"/>
                                  </w:tcBorders>
                                  <w:shd w:val="clear" w:color="auto" w:fill="E0E0E0"/>
                                </w:tcPr>
                                <w:p w14:paraId="763470BF"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54D639A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396DEB9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342</w:t>
                                  </w:r>
                                </w:p>
                              </w:tc>
                              <w:tc>
                                <w:tcPr>
                                  <w:tcW w:w="1050" w:type="dxa"/>
                                  <w:tcBorders>
                                    <w:top w:val="single" w:sz="8" w:space="0" w:color="AEAEAE"/>
                                    <w:left w:val="single" w:sz="8" w:space="0" w:color="E0E0E0"/>
                                    <w:bottom w:val="nil"/>
                                    <w:right w:val="single" w:sz="8" w:space="0" w:color="E0E0E0"/>
                                  </w:tcBorders>
                                  <w:shd w:val="clear" w:color="auto" w:fill="FFFFFF"/>
                                </w:tcPr>
                                <w:p w14:paraId="48F3133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313</w:t>
                                  </w:r>
                                </w:p>
                              </w:tc>
                              <w:tc>
                                <w:tcPr>
                                  <w:tcW w:w="1050" w:type="dxa"/>
                                  <w:tcBorders>
                                    <w:top w:val="single" w:sz="8" w:space="0" w:color="AEAEAE"/>
                                    <w:left w:val="single" w:sz="8" w:space="0" w:color="E0E0E0"/>
                                    <w:bottom w:val="nil"/>
                                    <w:right w:val="single" w:sz="8" w:space="0" w:color="E0E0E0"/>
                                  </w:tcBorders>
                                  <w:shd w:val="clear" w:color="auto" w:fill="FFFFFF"/>
                                </w:tcPr>
                                <w:p w14:paraId="3034C9E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375</w:t>
                                  </w:r>
                                </w:p>
                              </w:tc>
                              <w:tc>
                                <w:tcPr>
                                  <w:tcW w:w="1050" w:type="dxa"/>
                                  <w:tcBorders>
                                    <w:top w:val="single" w:sz="8" w:space="0" w:color="AEAEAE"/>
                                    <w:left w:val="single" w:sz="8" w:space="0" w:color="E0E0E0"/>
                                    <w:bottom w:val="nil"/>
                                    <w:right w:val="single" w:sz="8" w:space="0" w:color="E0E0E0"/>
                                  </w:tcBorders>
                                  <w:shd w:val="clear" w:color="auto" w:fill="FFFFFF"/>
                                </w:tcPr>
                                <w:p w14:paraId="74332B4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382</w:t>
                                  </w:r>
                                </w:p>
                              </w:tc>
                              <w:tc>
                                <w:tcPr>
                                  <w:tcW w:w="1050" w:type="dxa"/>
                                  <w:tcBorders>
                                    <w:top w:val="single" w:sz="8" w:space="0" w:color="AEAEAE"/>
                                    <w:left w:val="single" w:sz="8" w:space="0" w:color="E0E0E0"/>
                                    <w:bottom w:val="nil"/>
                                    <w:right w:val="single" w:sz="8" w:space="0" w:color="E0E0E0"/>
                                  </w:tcBorders>
                                  <w:shd w:val="clear" w:color="auto" w:fill="FFFFFF"/>
                                </w:tcPr>
                                <w:p w14:paraId="6A0FA2F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305</w:t>
                                  </w:r>
                                </w:p>
                              </w:tc>
                              <w:tc>
                                <w:tcPr>
                                  <w:tcW w:w="778" w:type="dxa"/>
                                  <w:tcBorders>
                                    <w:top w:val="single" w:sz="8" w:space="0" w:color="AEAEAE"/>
                                    <w:left w:val="single" w:sz="8" w:space="0" w:color="E0E0E0"/>
                                    <w:bottom w:val="nil"/>
                                    <w:right w:val="single" w:sz="8" w:space="0" w:color="E0E0E0"/>
                                  </w:tcBorders>
                                  <w:shd w:val="clear" w:color="auto" w:fill="FFFFFF"/>
                                </w:tcPr>
                                <w:p w14:paraId="74EB169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882</w:t>
                                  </w:r>
                                </w:p>
                              </w:tc>
                              <w:tc>
                                <w:tcPr>
                                  <w:tcW w:w="733" w:type="dxa"/>
                                  <w:tcBorders>
                                    <w:top w:val="single" w:sz="8" w:space="0" w:color="AEAEAE"/>
                                    <w:left w:val="single" w:sz="8" w:space="0" w:color="E0E0E0"/>
                                    <w:bottom w:val="nil"/>
                                    <w:right w:val="nil"/>
                                  </w:tcBorders>
                                  <w:shd w:val="clear" w:color="auto" w:fill="FFFFFF"/>
                                </w:tcPr>
                                <w:p w14:paraId="79CFC38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2599</w:t>
                                  </w:r>
                                </w:p>
                              </w:tc>
                            </w:tr>
                            <w:tr w:rsidR="00A56EB4" w:rsidRPr="00874297" w14:paraId="7271C818" w14:textId="77777777" w:rsidTr="006A44BB">
                              <w:trPr>
                                <w:cantSplit/>
                                <w:trHeight w:val="303"/>
                              </w:trPr>
                              <w:tc>
                                <w:tcPr>
                                  <w:tcW w:w="809" w:type="dxa"/>
                                  <w:vMerge w:val="restart"/>
                                  <w:tcBorders>
                                    <w:top w:val="single" w:sz="8" w:space="0" w:color="AEAEAE"/>
                                    <w:left w:val="nil"/>
                                    <w:bottom w:val="nil"/>
                                    <w:right w:val="nil"/>
                                  </w:tcBorders>
                                  <w:shd w:val="clear" w:color="auto" w:fill="E0E0E0"/>
                                </w:tcPr>
                                <w:p w14:paraId="3F3CADBA"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4 people</w:t>
                                  </w:r>
                                </w:p>
                              </w:tc>
                              <w:tc>
                                <w:tcPr>
                                  <w:tcW w:w="751" w:type="dxa"/>
                                  <w:vMerge w:val="restart"/>
                                  <w:tcBorders>
                                    <w:top w:val="single" w:sz="8" w:space="0" w:color="AEAEAE"/>
                                    <w:left w:val="nil"/>
                                    <w:bottom w:val="nil"/>
                                    <w:right w:val="nil"/>
                                  </w:tcBorders>
                                  <w:shd w:val="clear" w:color="auto" w:fill="E0E0E0"/>
                                </w:tcPr>
                                <w:p w14:paraId="15E189F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AEAEAE"/>
                                    <w:left w:val="nil"/>
                                    <w:bottom w:val="single" w:sz="8" w:space="0" w:color="AEAEAE"/>
                                    <w:right w:val="nil"/>
                                  </w:tcBorders>
                                  <w:shd w:val="clear" w:color="auto" w:fill="E0E0E0"/>
                                </w:tcPr>
                                <w:p w14:paraId="0875C66F"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AEAEAE"/>
                                    <w:left w:val="nil"/>
                                    <w:bottom w:val="single" w:sz="8" w:space="0" w:color="AEAEAE"/>
                                    <w:right w:val="single" w:sz="8" w:space="0" w:color="E0E0E0"/>
                                  </w:tcBorders>
                                  <w:shd w:val="clear" w:color="auto" w:fill="FFFFFF"/>
                                </w:tcPr>
                                <w:p w14:paraId="294A48A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1D2B8B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C0604B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DF013C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E33D30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6</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253442B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22</w:t>
                                  </w:r>
                                </w:p>
                              </w:tc>
                              <w:tc>
                                <w:tcPr>
                                  <w:tcW w:w="733" w:type="dxa"/>
                                  <w:tcBorders>
                                    <w:top w:val="single" w:sz="8" w:space="0" w:color="AEAEAE"/>
                                    <w:left w:val="single" w:sz="8" w:space="0" w:color="E0E0E0"/>
                                    <w:bottom w:val="single" w:sz="8" w:space="0" w:color="AEAEAE"/>
                                    <w:right w:val="nil"/>
                                  </w:tcBorders>
                                  <w:shd w:val="clear" w:color="auto" w:fill="FFFFFF"/>
                                </w:tcPr>
                                <w:p w14:paraId="60F0016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56</w:t>
                                  </w:r>
                                </w:p>
                              </w:tc>
                            </w:tr>
                            <w:tr w:rsidR="00A56EB4" w:rsidRPr="00874297" w14:paraId="70F081E1" w14:textId="77777777" w:rsidTr="006A44BB">
                              <w:trPr>
                                <w:cantSplit/>
                                <w:trHeight w:val="332"/>
                              </w:trPr>
                              <w:tc>
                                <w:tcPr>
                                  <w:tcW w:w="809" w:type="dxa"/>
                                  <w:vMerge/>
                                  <w:tcBorders>
                                    <w:top w:val="single" w:sz="8" w:space="0" w:color="AEAEAE"/>
                                    <w:left w:val="nil"/>
                                    <w:bottom w:val="nil"/>
                                    <w:right w:val="nil"/>
                                  </w:tcBorders>
                                  <w:shd w:val="clear" w:color="auto" w:fill="E0E0E0"/>
                                </w:tcPr>
                                <w:p w14:paraId="1216231A"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764D62F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11DA0190"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737A996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415BBEB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7B0323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3D84647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B0F117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36</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2C1D826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93</w:t>
                                  </w:r>
                                </w:p>
                              </w:tc>
                              <w:tc>
                                <w:tcPr>
                                  <w:tcW w:w="733" w:type="dxa"/>
                                  <w:tcBorders>
                                    <w:top w:val="single" w:sz="8" w:space="0" w:color="AEAEAE"/>
                                    <w:left w:val="single" w:sz="8" w:space="0" w:color="E0E0E0"/>
                                    <w:bottom w:val="single" w:sz="8" w:space="0" w:color="AEAEAE"/>
                                    <w:right w:val="nil"/>
                                  </w:tcBorders>
                                  <w:shd w:val="clear" w:color="auto" w:fill="FFFFFF"/>
                                </w:tcPr>
                                <w:p w14:paraId="031FAB0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306</w:t>
                                  </w:r>
                                </w:p>
                              </w:tc>
                            </w:tr>
                            <w:tr w:rsidR="00A56EB4" w:rsidRPr="00874297" w14:paraId="4D27BEA9" w14:textId="77777777" w:rsidTr="006A44BB">
                              <w:trPr>
                                <w:cantSplit/>
                                <w:trHeight w:val="332"/>
                              </w:trPr>
                              <w:tc>
                                <w:tcPr>
                                  <w:tcW w:w="809" w:type="dxa"/>
                                  <w:vMerge/>
                                  <w:tcBorders>
                                    <w:top w:val="single" w:sz="8" w:space="0" w:color="AEAEAE"/>
                                    <w:left w:val="nil"/>
                                    <w:bottom w:val="nil"/>
                                    <w:right w:val="nil"/>
                                  </w:tcBorders>
                                  <w:shd w:val="clear" w:color="auto" w:fill="E0E0E0"/>
                                </w:tcPr>
                                <w:p w14:paraId="55B3953E"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657149B5"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46258AF5"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2950A98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294</w:t>
                                  </w:r>
                                </w:p>
                              </w:tc>
                              <w:tc>
                                <w:tcPr>
                                  <w:tcW w:w="1050" w:type="dxa"/>
                                  <w:tcBorders>
                                    <w:top w:val="single" w:sz="8" w:space="0" w:color="AEAEAE"/>
                                    <w:left w:val="single" w:sz="8" w:space="0" w:color="E0E0E0"/>
                                    <w:bottom w:val="nil"/>
                                    <w:right w:val="single" w:sz="8" w:space="0" w:color="E0E0E0"/>
                                  </w:tcBorders>
                                  <w:shd w:val="clear" w:color="auto" w:fill="FFFFFF"/>
                                </w:tcPr>
                                <w:p w14:paraId="16856A2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240</w:t>
                                  </w:r>
                                </w:p>
                              </w:tc>
                              <w:tc>
                                <w:tcPr>
                                  <w:tcW w:w="1050" w:type="dxa"/>
                                  <w:tcBorders>
                                    <w:top w:val="single" w:sz="8" w:space="0" w:color="AEAEAE"/>
                                    <w:left w:val="single" w:sz="8" w:space="0" w:color="E0E0E0"/>
                                    <w:bottom w:val="nil"/>
                                    <w:right w:val="single" w:sz="8" w:space="0" w:color="E0E0E0"/>
                                  </w:tcBorders>
                                  <w:shd w:val="clear" w:color="auto" w:fill="FFFFFF"/>
                                </w:tcPr>
                                <w:p w14:paraId="1747260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278</w:t>
                                  </w:r>
                                </w:p>
                              </w:tc>
                              <w:tc>
                                <w:tcPr>
                                  <w:tcW w:w="1050" w:type="dxa"/>
                                  <w:tcBorders>
                                    <w:top w:val="single" w:sz="8" w:space="0" w:color="AEAEAE"/>
                                    <w:left w:val="single" w:sz="8" w:space="0" w:color="E0E0E0"/>
                                    <w:bottom w:val="nil"/>
                                    <w:right w:val="single" w:sz="8" w:space="0" w:color="E0E0E0"/>
                                  </w:tcBorders>
                                  <w:shd w:val="clear" w:color="auto" w:fill="FFFFFF"/>
                                </w:tcPr>
                                <w:p w14:paraId="1F8AA0A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296</w:t>
                                  </w:r>
                                </w:p>
                              </w:tc>
                              <w:tc>
                                <w:tcPr>
                                  <w:tcW w:w="1050" w:type="dxa"/>
                                  <w:tcBorders>
                                    <w:top w:val="single" w:sz="8" w:space="0" w:color="AEAEAE"/>
                                    <w:left w:val="single" w:sz="8" w:space="0" w:color="E0E0E0"/>
                                    <w:bottom w:val="nil"/>
                                    <w:right w:val="single" w:sz="8" w:space="0" w:color="E0E0E0"/>
                                  </w:tcBorders>
                                  <w:shd w:val="clear" w:color="auto" w:fill="FFFFFF"/>
                                </w:tcPr>
                                <w:p w14:paraId="2442E74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272</w:t>
                                  </w:r>
                                </w:p>
                              </w:tc>
                              <w:tc>
                                <w:tcPr>
                                  <w:tcW w:w="778" w:type="dxa"/>
                                  <w:tcBorders>
                                    <w:top w:val="single" w:sz="8" w:space="0" w:color="AEAEAE"/>
                                    <w:left w:val="single" w:sz="8" w:space="0" w:color="E0E0E0"/>
                                    <w:bottom w:val="nil"/>
                                    <w:right w:val="single" w:sz="8" w:space="0" w:color="E0E0E0"/>
                                  </w:tcBorders>
                                  <w:shd w:val="clear" w:color="auto" w:fill="FFFFFF"/>
                                </w:tcPr>
                                <w:p w14:paraId="35AFBE9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1073</w:t>
                                  </w:r>
                                </w:p>
                              </w:tc>
                              <w:tc>
                                <w:tcPr>
                                  <w:tcW w:w="733" w:type="dxa"/>
                                  <w:tcBorders>
                                    <w:top w:val="single" w:sz="8" w:space="0" w:color="AEAEAE"/>
                                    <w:left w:val="single" w:sz="8" w:space="0" w:color="E0E0E0"/>
                                    <w:bottom w:val="nil"/>
                                    <w:right w:val="nil"/>
                                  </w:tcBorders>
                                  <w:shd w:val="clear" w:color="auto" w:fill="FFFFFF"/>
                                </w:tcPr>
                                <w:p w14:paraId="322EEC3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2453</w:t>
                                  </w:r>
                                </w:p>
                              </w:tc>
                            </w:tr>
                            <w:tr w:rsidR="00A56EB4" w:rsidRPr="00874297" w14:paraId="41CC10BB" w14:textId="77777777" w:rsidTr="006A44BB">
                              <w:trPr>
                                <w:cantSplit/>
                                <w:trHeight w:val="303"/>
                              </w:trPr>
                              <w:tc>
                                <w:tcPr>
                                  <w:tcW w:w="809" w:type="dxa"/>
                                  <w:vMerge/>
                                  <w:tcBorders>
                                    <w:top w:val="single" w:sz="8" w:space="0" w:color="AEAEAE"/>
                                    <w:left w:val="nil"/>
                                    <w:bottom w:val="nil"/>
                                    <w:right w:val="nil"/>
                                  </w:tcBorders>
                                  <w:shd w:val="clear" w:color="auto" w:fill="E0E0E0"/>
                                </w:tcPr>
                                <w:p w14:paraId="08CA2F57"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4F86DD31"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03E090A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351</w:t>
                                  </w:r>
                                </w:p>
                              </w:tc>
                              <w:tc>
                                <w:tcPr>
                                  <w:tcW w:w="1050" w:type="dxa"/>
                                  <w:tcBorders>
                                    <w:top w:val="single" w:sz="8" w:space="0" w:color="AEAEAE"/>
                                    <w:left w:val="single" w:sz="8" w:space="0" w:color="E0E0E0"/>
                                    <w:bottom w:val="nil"/>
                                    <w:right w:val="single" w:sz="8" w:space="0" w:color="E0E0E0"/>
                                  </w:tcBorders>
                                  <w:shd w:val="clear" w:color="auto" w:fill="FFFFFF"/>
                                </w:tcPr>
                                <w:p w14:paraId="591AD13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290</w:t>
                                  </w:r>
                                </w:p>
                              </w:tc>
                              <w:tc>
                                <w:tcPr>
                                  <w:tcW w:w="1050" w:type="dxa"/>
                                  <w:tcBorders>
                                    <w:top w:val="single" w:sz="8" w:space="0" w:color="AEAEAE"/>
                                    <w:left w:val="single" w:sz="8" w:space="0" w:color="E0E0E0"/>
                                    <w:bottom w:val="nil"/>
                                    <w:right w:val="single" w:sz="8" w:space="0" w:color="E0E0E0"/>
                                  </w:tcBorders>
                                  <w:shd w:val="clear" w:color="auto" w:fill="FFFFFF"/>
                                </w:tcPr>
                                <w:p w14:paraId="74D9877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326</w:t>
                                  </w:r>
                                </w:p>
                              </w:tc>
                              <w:tc>
                                <w:tcPr>
                                  <w:tcW w:w="1050" w:type="dxa"/>
                                  <w:tcBorders>
                                    <w:top w:val="single" w:sz="8" w:space="0" w:color="AEAEAE"/>
                                    <w:left w:val="single" w:sz="8" w:space="0" w:color="E0E0E0"/>
                                    <w:bottom w:val="nil"/>
                                    <w:right w:val="single" w:sz="8" w:space="0" w:color="E0E0E0"/>
                                  </w:tcBorders>
                                  <w:shd w:val="clear" w:color="auto" w:fill="FFFFFF"/>
                                </w:tcPr>
                                <w:p w14:paraId="582FDC6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346</w:t>
                                  </w:r>
                                </w:p>
                              </w:tc>
                              <w:tc>
                                <w:tcPr>
                                  <w:tcW w:w="1050" w:type="dxa"/>
                                  <w:tcBorders>
                                    <w:top w:val="single" w:sz="8" w:space="0" w:color="AEAEAE"/>
                                    <w:left w:val="single" w:sz="8" w:space="0" w:color="E0E0E0"/>
                                    <w:bottom w:val="nil"/>
                                    <w:right w:val="single" w:sz="8" w:space="0" w:color="E0E0E0"/>
                                  </w:tcBorders>
                                  <w:shd w:val="clear" w:color="auto" w:fill="FFFFFF"/>
                                </w:tcPr>
                                <w:p w14:paraId="3F27C13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314</w:t>
                                  </w:r>
                                </w:p>
                              </w:tc>
                              <w:tc>
                                <w:tcPr>
                                  <w:tcW w:w="778" w:type="dxa"/>
                                  <w:tcBorders>
                                    <w:top w:val="single" w:sz="8" w:space="0" w:color="AEAEAE"/>
                                    <w:left w:val="single" w:sz="8" w:space="0" w:color="E0E0E0"/>
                                    <w:bottom w:val="nil"/>
                                    <w:right w:val="single" w:sz="8" w:space="0" w:color="E0E0E0"/>
                                  </w:tcBorders>
                                  <w:shd w:val="clear" w:color="auto" w:fill="FFFFFF"/>
                                </w:tcPr>
                                <w:p w14:paraId="732C851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1188</w:t>
                                  </w:r>
                                </w:p>
                              </w:tc>
                              <w:tc>
                                <w:tcPr>
                                  <w:tcW w:w="733" w:type="dxa"/>
                                  <w:tcBorders>
                                    <w:top w:val="single" w:sz="8" w:space="0" w:color="AEAEAE"/>
                                    <w:left w:val="single" w:sz="8" w:space="0" w:color="E0E0E0"/>
                                    <w:bottom w:val="nil"/>
                                    <w:right w:val="nil"/>
                                  </w:tcBorders>
                                  <w:shd w:val="clear" w:color="auto" w:fill="FFFFFF"/>
                                </w:tcPr>
                                <w:p w14:paraId="0DF9C37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2815</w:t>
                                  </w:r>
                                </w:p>
                              </w:tc>
                            </w:tr>
                            <w:tr w:rsidR="00A56EB4" w:rsidRPr="00874297" w14:paraId="38C17B1C" w14:textId="77777777" w:rsidTr="006A44BB">
                              <w:trPr>
                                <w:cantSplit/>
                                <w:trHeight w:val="303"/>
                              </w:trPr>
                              <w:tc>
                                <w:tcPr>
                                  <w:tcW w:w="809" w:type="dxa"/>
                                  <w:vMerge w:val="restart"/>
                                  <w:tcBorders>
                                    <w:top w:val="single" w:sz="8" w:space="0" w:color="AEAEAE"/>
                                    <w:left w:val="nil"/>
                                    <w:bottom w:val="nil"/>
                                    <w:right w:val="nil"/>
                                  </w:tcBorders>
                                  <w:shd w:val="clear" w:color="auto" w:fill="E0E0E0"/>
                                </w:tcPr>
                                <w:p w14:paraId="4CAABCBC"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5 people</w:t>
                                  </w:r>
                                </w:p>
                              </w:tc>
                              <w:tc>
                                <w:tcPr>
                                  <w:tcW w:w="751" w:type="dxa"/>
                                  <w:vMerge w:val="restart"/>
                                  <w:tcBorders>
                                    <w:top w:val="single" w:sz="8" w:space="0" w:color="AEAEAE"/>
                                    <w:left w:val="nil"/>
                                    <w:bottom w:val="nil"/>
                                    <w:right w:val="nil"/>
                                  </w:tcBorders>
                                  <w:shd w:val="clear" w:color="auto" w:fill="E0E0E0"/>
                                </w:tcPr>
                                <w:p w14:paraId="4D175A3A"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AEAEAE"/>
                                    <w:left w:val="nil"/>
                                    <w:bottom w:val="single" w:sz="8" w:space="0" w:color="AEAEAE"/>
                                    <w:right w:val="nil"/>
                                  </w:tcBorders>
                                  <w:shd w:val="clear" w:color="auto" w:fill="E0E0E0"/>
                                </w:tcPr>
                                <w:p w14:paraId="13ED4C6C"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AEAEAE"/>
                                    <w:left w:val="nil"/>
                                    <w:bottom w:val="single" w:sz="8" w:space="0" w:color="AEAEAE"/>
                                    <w:right w:val="single" w:sz="8" w:space="0" w:color="E0E0E0"/>
                                  </w:tcBorders>
                                  <w:shd w:val="clear" w:color="auto" w:fill="FFFFFF"/>
                                </w:tcPr>
                                <w:p w14:paraId="11998D8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4AD8042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5C254E1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E32ED4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2C68E5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364FAAF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w:t>
                                  </w:r>
                                </w:p>
                              </w:tc>
                              <w:tc>
                                <w:tcPr>
                                  <w:tcW w:w="733" w:type="dxa"/>
                                  <w:tcBorders>
                                    <w:top w:val="single" w:sz="8" w:space="0" w:color="AEAEAE"/>
                                    <w:left w:val="single" w:sz="8" w:space="0" w:color="E0E0E0"/>
                                    <w:bottom w:val="single" w:sz="8" w:space="0" w:color="AEAEAE"/>
                                    <w:right w:val="nil"/>
                                  </w:tcBorders>
                                  <w:shd w:val="clear" w:color="auto" w:fill="FFFFFF"/>
                                </w:tcPr>
                                <w:p w14:paraId="295EE69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31</w:t>
                                  </w:r>
                                </w:p>
                              </w:tc>
                            </w:tr>
                            <w:tr w:rsidR="00A56EB4" w:rsidRPr="00874297" w14:paraId="520956CD" w14:textId="77777777" w:rsidTr="006A44BB">
                              <w:trPr>
                                <w:cantSplit/>
                                <w:trHeight w:val="332"/>
                              </w:trPr>
                              <w:tc>
                                <w:tcPr>
                                  <w:tcW w:w="809" w:type="dxa"/>
                                  <w:vMerge/>
                                  <w:tcBorders>
                                    <w:top w:val="single" w:sz="8" w:space="0" w:color="AEAEAE"/>
                                    <w:left w:val="nil"/>
                                    <w:bottom w:val="nil"/>
                                    <w:right w:val="nil"/>
                                  </w:tcBorders>
                                  <w:shd w:val="clear" w:color="auto" w:fill="E0E0E0"/>
                                </w:tcPr>
                                <w:p w14:paraId="719CC0DA"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259F69AD"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6FA5DCB3"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4910AA7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F68D01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3036D3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5821B5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17</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B60C20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7A019C4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w:t>
                                  </w:r>
                                </w:p>
                              </w:tc>
                              <w:tc>
                                <w:tcPr>
                                  <w:tcW w:w="733" w:type="dxa"/>
                                  <w:tcBorders>
                                    <w:top w:val="single" w:sz="8" w:space="0" w:color="AEAEAE"/>
                                    <w:left w:val="single" w:sz="8" w:space="0" w:color="E0E0E0"/>
                                    <w:bottom w:val="single" w:sz="8" w:space="0" w:color="AEAEAE"/>
                                    <w:right w:val="nil"/>
                                  </w:tcBorders>
                                  <w:shd w:val="clear" w:color="auto" w:fill="FFFFFF"/>
                                </w:tcPr>
                                <w:p w14:paraId="2AD5401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136</w:t>
                                  </w:r>
                                </w:p>
                              </w:tc>
                            </w:tr>
                            <w:tr w:rsidR="00A56EB4" w:rsidRPr="00874297" w14:paraId="3F6E9679" w14:textId="77777777" w:rsidTr="006A44BB">
                              <w:trPr>
                                <w:cantSplit/>
                                <w:trHeight w:val="332"/>
                              </w:trPr>
                              <w:tc>
                                <w:tcPr>
                                  <w:tcW w:w="809" w:type="dxa"/>
                                  <w:vMerge/>
                                  <w:tcBorders>
                                    <w:top w:val="single" w:sz="8" w:space="0" w:color="AEAEAE"/>
                                    <w:left w:val="nil"/>
                                    <w:bottom w:val="nil"/>
                                    <w:right w:val="nil"/>
                                  </w:tcBorders>
                                  <w:shd w:val="clear" w:color="auto" w:fill="E0E0E0"/>
                                </w:tcPr>
                                <w:p w14:paraId="4B53CE2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6918027C"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59242CDB"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5BD9B74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127</w:t>
                                  </w:r>
                                </w:p>
                              </w:tc>
                              <w:tc>
                                <w:tcPr>
                                  <w:tcW w:w="1050" w:type="dxa"/>
                                  <w:tcBorders>
                                    <w:top w:val="single" w:sz="8" w:space="0" w:color="AEAEAE"/>
                                    <w:left w:val="single" w:sz="8" w:space="0" w:color="E0E0E0"/>
                                    <w:bottom w:val="nil"/>
                                    <w:right w:val="single" w:sz="8" w:space="0" w:color="E0E0E0"/>
                                  </w:tcBorders>
                                  <w:shd w:val="clear" w:color="auto" w:fill="FFFFFF"/>
                                </w:tcPr>
                                <w:p w14:paraId="4A592A4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109</w:t>
                                  </w:r>
                                </w:p>
                              </w:tc>
                              <w:tc>
                                <w:tcPr>
                                  <w:tcW w:w="1050" w:type="dxa"/>
                                  <w:tcBorders>
                                    <w:top w:val="single" w:sz="8" w:space="0" w:color="AEAEAE"/>
                                    <w:left w:val="single" w:sz="8" w:space="0" w:color="E0E0E0"/>
                                    <w:bottom w:val="nil"/>
                                    <w:right w:val="single" w:sz="8" w:space="0" w:color="E0E0E0"/>
                                  </w:tcBorders>
                                  <w:shd w:val="clear" w:color="auto" w:fill="FFFFFF"/>
                                </w:tcPr>
                                <w:p w14:paraId="59B8FAC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123</w:t>
                                  </w:r>
                                </w:p>
                              </w:tc>
                              <w:tc>
                                <w:tcPr>
                                  <w:tcW w:w="1050" w:type="dxa"/>
                                  <w:tcBorders>
                                    <w:top w:val="single" w:sz="8" w:space="0" w:color="AEAEAE"/>
                                    <w:left w:val="single" w:sz="8" w:space="0" w:color="E0E0E0"/>
                                    <w:bottom w:val="nil"/>
                                    <w:right w:val="single" w:sz="8" w:space="0" w:color="E0E0E0"/>
                                  </w:tcBorders>
                                  <w:shd w:val="clear" w:color="auto" w:fill="FFFFFF"/>
                                </w:tcPr>
                                <w:p w14:paraId="28799B9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134</w:t>
                                  </w:r>
                                </w:p>
                              </w:tc>
                              <w:tc>
                                <w:tcPr>
                                  <w:tcW w:w="1050" w:type="dxa"/>
                                  <w:tcBorders>
                                    <w:top w:val="single" w:sz="8" w:space="0" w:color="AEAEAE"/>
                                    <w:left w:val="single" w:sz="8" w:space="0" w:color="E0E0E0"/>
                                    <w:bottom w:val="nil"/>
                                    <w:right w:val="single" w:sz="8" w:space="0" w:color="E0E0E0"/>
                                  </w:tcBorders>
                                  <w:shd w:val="clear" w:color="auto" w:fill="FFFFFF"/>
                                </w:tcPr>
                                <w:p w14:paraId="5C525D3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118</w:t>
                                  </w:r>
                                </w:p>
                              </w:tc>
                              <w:tc>
                                <w:tcPr>
                                  <w:tcW w:w="778" w:type="dxa"/>
                                  <w:tcBorders>
                                    <w:top w:val="single" w:sz="8" w:space="0" w:color="AEAEAE"/>
                                    <w:left w:val="single" w:sz="8" w:space="0" w:color="E0E0E0"/>
                                    <w:bottom w:val="nil"/>
                                    <w:right w:val="single" w:sz="8" w:space="0" w:color="E0E0E0"/>
                                  </w:tcBorders>
                                  <w:shd w:val="clear" w:color="auto" w:fill="FFFFFF"/>
                                </w:tcPr>
                                <w:p w14:paraId="5ECE3E9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460</w:t>
                                  </w:r>
                                </w:p>
                              </w:tc>
                              <w:tc>
                                <w:tcPr>
                                  <w:tcW w:w="733" w:type="dxa"/>
                                  <w:tcBorders>
                                    <w:top w:val="single" w:sz="8" w:space="0" w:color="AEAEAE"/>
                                    <w:left w:val="single" w:sz="8" w:space="0" w:color="E0E0E0"/>
                                    <w:bottom w:val="nil"/>
                                    <w:right w:val="nil"/>
                                  </w:tcBorders>
                                  <w:shd w:val="clear" w:color="auto" w:fill="FFFFFF"/>
                                </w:tcPr>
                                <w:p w14:paraId="294461F4"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1071</w:t>
                                  </w:r>
                                </w:p>
                              </w:tc>
                            </w:tr>
                            <w:tr w:rsidR="00A56EB4" w:rsidRPr="00874297" w14:paraId="057FD0E5" w14:textId="77777777" w:rsidTr="006A44BB">
                              <w:trPr>
                                <w:cantSplit/>
                                <w:trHeight w:val="318"/>
                              </w:trPr>
                              <w:tc>
                                <w:tcPr>
                                  <w:tcW w:w="809" w:type="dxa"/>
                                  <w:vMerge/>
                                  <w:tcBorders>
                                    <w:top w:val="single" w:sz="8" w:space="0" w:color="AEAEAE"/>
                                    <w:left w:val="nil"/>
                                    <w:bottom w:val="nil"/>
                                    <w:right w:val="nil"/>
                                  </w:tcBorders>
                                  <w:shd w:val="clear" w:color="auto" w:fill="E0E0E0"/>
                                </w:tcPr>
                                <w:p w14:paraId="108F68B7"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68B0F644"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67E47AF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165</w:t>
                                  </w:r>
                                </w:p>
                              </w:tc>
                              <w:tc>
                                <w:tcPr>
                                  <w:tcW w:w="1050" w:type="dxa"/>
                                  <w:tcBorders>
                                    <w:top w:val="single" w:sz="8" w:space="0" w:color="AEAEAE"/>
                                    <w:left w:val="single" w:sz="8" w:space="0" w:color="E0E0E0"/>
                                    <w:bottom w:val="nil"/>
                                    <w:right w:val="single" w:sz="8" w:space="0" w:color="E0E0E0"/>
                                  </w:tcBorders>
                                  <w:shd w:val="clear" w:color="auto" w:fill="FFFFFF"/>
                                </w:tcPr>
                                <w:p w14:paraId="434E8E5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133</w:t>
                                  </w:r>
                                </w:p>
                              </w:tc>
                              <w:tc>
                                <w:tcPr>
                                  <w:tcW w:w="1050" w:type="dxa"/>
                                  <w:tcBorders>
                                    <w:top w:val="single" w:sz="8" w:space="0" w:color="AEAEAE"/>
                                    <w:left w:val="single" w:sz="8" w:space="0" w:color="E0E0E0"/>
                                    <w:bottom w:val="nil"/>
                                    <w:right w:val="single" w:sz="8" w:space="0" w:color="E0E0E0"/>
                                  </w:tcBorders>
                                  <w:shd w:val="clear" w:color="auto" w:fill="FFFFFF"/>
                                </w:tcPr>
                                <w:p w14:paraId="37B8021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154</w:t>
                                  </w:r>
                                </w:p>
                              </w:tc>
                              <w:tc>
                                <w:tcPr>
                                  <w:tcW w:w="1050" w:type="dxa"/>
                                  <w:tcBorders>
                                    <w:top w:val="single" w:sz="8" w:space="0" w:color="AEAEAE"/>
                                    <w:left w:val="single" w:sz="8" w:space="0" w:color="E0E0E0"/>
                                    <w:bottom w:val="nil"/>
                                    <w:right w:val="single" w:sz="8" w:space="0" w:color="E0E0E0"/>
                                  </w:tcBorders>
                                  <w:shd w:val="clear" w:color="auto" w:fill="FFFFFF"/>
                                </w:tcPr>
                                <w:p w14:paraId="2935F03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152</w:t>
                                  </w:r>
                                </w:p>
                              </w:tc>
                              <w:tc>
                                <w:tcPr>
                                  <w:tcW w:w="1050" w:type="dxa"/>
                                  <w:tcBorders>
                                    <w:top w:val="single" w:sz="8" w:space="0" w:color="AEAEAE"/>
                                    <w:left w:val="single" w:sz="8" w:space="0" w:color="E0E0E0"/>
                                    <w:bottom w:val="nil"/>
                                    <w:right w:val="single" w:sz="8" w:space="0" w:color="E0E0E0"/>
                                  </w:tcBorders>
                                  <w:shd w:val="clear" w:color="auto" w:fill="FFFFFF"/>
                                </w:tcPr>
                                <w:p w14:paraId="154C89F4"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134</w:t>
                                  </w:r>
                                </w:p>
                              </w:tc>
                              <w:tc>
                                <w:tcPr>
                                  <w:tcW w:w="778" w:type="dxa"/>
                                  <w:tcBorders>
                                    <w:top w:val="single" w:sz="8" w:space="0" w:color="AEAEAE"/>
                                    <w:left w:val="single" w:sz="8" w:space="0" w:color="E0E0E0"/>
                                    <w:bottom w:val="nil"/>
                                    <w:right w:val="single" w:sz="8" w:space="0" w:color="E0E0E0"/>
                                  </w:tcBorders>
                                  <w:shd w:val="clear" w:color="auto" w:fill="FFFFFF"/>
                                </w:tcPr>
                                <w:p w14:paraId="34551CA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500</w:t>
                                  </w:r>
                                </w:p>
                              </w:tc>
                              <w:tc>
                                <w:tcPr>
                                  <w:tcW w:w="733" w:type="dxa"/>
                                  <w:tcBorders>
                                    <w:top w:val="single" w:sz="8" w:space="0" w:color="AEAEAE"/>
                                    <w:left w:val="single" w:sz="8" w:space="0" w:color="E0E0E0"/>
                                    <w:bottom w:val="nil"/>
                                    <w:right w:val="nil"/>
                                  </w:tcBorders>
                                  <w:shd w:val="clear" w:color="auto" w:fill="FFFFFF"/>
                                </w:tcPr>
                                <w:p w14:paraId="4039D3D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1238</w:t>
                                  </w:r>
                                </w:p>
                              </w:tc>
                            </w:tr>
                          </w:tbl>
                          <w:p w14:paraId="6840907D" w14:textId="35FD89A0" w:rsidR="00A56EB4" w:rsidRPr="00735513" w:rsidRDefault="00A56EB4" w:rsidP="006A44B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48FB" id="Text Box 201" o:spid="_x0000_s1126" type="#_x0000_t202" style="position:absolute;margin-left:0;margin-top:35.65pt;width:540pt;height:446pt;z-index:-2486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" stroked="f">
                <v:textbox inset="0,0,0,0">
                  <w:txbxContent>
                    <w:tbl>
                      <w:tblPr>
                        <w:tblW w:w="9276"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751"/>
                        <w:gridCol w:w="1196"/>
                        <w:gridCol w:w="809"/>
                        <w:gridCol w:w="1050"/>
                        <w:gridCol w:w="1050"/>
                        <w:gridCol w:w="1050"/>
                        <w:gridCol w:w="1050"/>
                        <w:gridCol w:w="778"/>
                        <w:gridCol w:w="733"/>
                      </w:tblGrid>
                      <w:tr w:rsidR="00A56EB4" w:rsidRPr="00874297" w14:paraId="6DF21AB6" w14:textId="77777777" w:rsidTr="006A44BB">
                        <w:trPr>
                          <w:cantSplit/>
                          <w:trHeight w:val="621"/>
                        </w:trPr>
                        <w:tc>
                          <w:tcPr>
                            <w:tcW w:w="9276" w:type="dxa"/>
                            <w:gridSpan w:val="10"/>
                            <w:tcBorders>
                              <w:top w:val="nil"/>
                              <w:left w:val="nil"/>
                              <w:bottom w:val="nil"/>
                              <w:right w:val="nil"/>
                            </w:tcBorders>
                            <w:shd w:val="clear" w:color="auto" w:fill="FFFFFF"/>
                            <w:vAlign w:val="center"/>
                          </w:tcPr>
                          <w:p w14:paraId="404D3B8B" w14:textId="61EF6174" w:rsidR="00A56EB4" w:rsidRPr="00874297" w:rsidRDefault="00A56EB4" w:rsidP="006A44BB">
                            <w:pPr>
                              <w:autoSpaceDE w:val="0"/>
                              <w:autoSpaceDN w:val="0"/>
                              <w:adjustRightInd w:val="0"/>
                              <w:spacing w:after="0" w:line="320" w:lineRule="atLeast"/>
                              <w:ind w:left="60" w:right="60"/>
                              <w:jc w:val="center"/>
                              <w:rPr>
                                <w:rFonts w:ascii="Arial" w:hAnsi="Arial" w:cs="Arial"/>
                                <w:color w:val="010205"/>
                              </w:rPr>
                            </w:pPr>
                            <w:r w:rsidRPr="00874297">
                              <w:rPr>
                                <w:rFonts w:ascii="Arial" w:hAnsi="Arial" w:cs="Arial"/>
                                <w:b/>
                                <w:bCs/>
                                <w:color w:val="010205"/>
                              </w:rPr>
                              <w:t xml:space="preserve">Annual Household Income by Family Size </w:t>
                            </w:r>
                            <w:r>
                              <w:rPr>
                                <w:rFonts w:ascii="Arial" w:hAnsi="Arial" w:cs="Arial"/>
                                <w:b/>
                                <w:bCs/>
                                <w:color w:val="010205"/>
                              </w:rPr>
                              <w:t xml:space="preserve">and Minority Status </w:t>
                            </w:r>
                            <w:r w:rsidRPr="00874297">
                              <w:rPr>
                                <w:rFonts w:ascii="Arial" w:hAnsi="Arial" w:cs="Arial"/>
                                <w:b/>
                                <w:bCs/>
                                <w:color w:val="010205"/>
                              </w:rPr>
                              <w:t xml:space="preserve">Crosstabulation for Calgary's </w:t>
                            </w:r>
                            <w:r>
                              <w:rPr>
                                <w:rFonts w:ascii="Arial" w:hAnsi="Arial" w:cs="Arial"/>
                                <w:b/>
                                <w:bCs/>
                                <w:color w:val="010205"/>
                              </w:rPr>
                              <w:t>Traffic Court</w:t>
                            </w:r>
                            <w:r w:rsidRPr="00874297">
                              <w:rPr>
                                <w:rFonts w:ascii="Arial" w:hAnsi="Arial" w:cs="Arial"/>
                                <w:b/>
                                <w:bCs/>
                                <w:color w:val="010205"/>
                              </w:rPr>
                              <w:t>, January 2017-December 2018</w:t>
                            </w:r>
                          </w:p>
                        </w:tc>
                      </w:tr>
                      <w:tr w:rsidR="00A56EB4" w:rsidRPr="00874297" w14:paraId="661F994C" w14:textId="77777777" w:rsidTr="006A44BB">
                        <w:trPr>
                          <w:cantSplit/>
                          <w:trHeight w:val="303"/>
                        </w:trPr>
                        <w:tc>
                          <w:tcPr>
                            <w:tcW w:w="9276" w:type="dxa"/>
                            <w:gridSpan w:val="10"/>
                            <w:tcBorders>
                              <w:top w:val="nil"/>
                              <w:left w:val="nil"/>
                              <w:bottom w:val="nil"/>
                              <w:right w:val="nil"/>
                            </w:tcBorders>
                            <w:shd w:val="clear" w:color="auto" w:fill="FFFFFF"/>
                            <w:vAlign w:val="bottom"/>
                          </w:tcPr>
                          <w:p w14:paraId="7BF7A270" w14:textId="77777777" w:rsidR="00A56EB4" w:rsidRPr="00874297" w:rsidRDefault="00A56EB4" w:rsidP="006A44BB">
                            <w:pPr>
                              <w:autoSpaceDE w:val="0"/>
                              <w:autoSpaceDN w:val="0"/>
                              <w:adjustRightInd w:val="0"/>
                              <w:spacing w:after="0" w:line="320" w:lineRule="atLeast"/>
                              <w:rPr>
                                <w:rFonts w:ascii="Times New Roman" w:hAnsi="Times New Roman" w:cs="Times New Roman"/>
                                <w:sz w:val="24"/>
                                <w:szCs w:val="24"/>
                              </w:rPr>
                            </w:pPr>
                            <w:r w:rsidRPr="00874297">
                              <w:rPr>
                                <w:rFonts w:ascii="Arial" w:hAnsi="Arial" w:cs="Arial"/>
                                <w:color w:val="010205"/>
                                <w:sz w:val="18"/>
                                <w:szCs w:val="18"/>
                                <w:shd w:val="clear" w:color="auto" w:fill="FFFFFF"/>
                              </w:rPr>
                              <w:t xml:space="preserve">Count  </w:t>
                            </w:r>
                          </w:p>
                        </w:tc>
                      </w:tr>
                      <w:tr w:rsidR="00A56EB4" w:rsidRPr="00874297" w14:paraId="1C12A7D0" w14:textId="77777777" w:rsidTr="006A44BB">
                        <w:trPr>
                          <w:cantSplit/>
                          <w:trHeight w:val="303"/>
                        </w:trPr>
                        <w:tc>
                          <w:tcPr>
                            <w:tcW w:w="2756" w:type="dxa"/>
                            <w:gridSpan w:val="3"/>
                            <w:vMerge w:val="restart"/>
                            <w:tcBorders>
                              <w:top w:val="nil"/>
                              <w:left w:val="nil"/>
                              <w:bottom w:val="nil"/>
                              <w:right w:val="nil"/>
                            </w:tcBorders>
                            <w:shd w:val="clear" w:color="auto" w:fill="FFFFFF"/>
                            <w:vAlign w:val="bottom"/>
                          </w:tcPr>
                          <w:p w14:paraId="6548E720"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Family size</w:t>
                            </w:r>
                          </w:p>
                        </w:tc>
                        <w:tc>
                          <w:tcPr>
                            <w:tcW w:w="5787" w:type="dxa"/>
                            <w:gridSpan w:val="6"/>
                            <w:tcBorders>
                              <w:top w:val="nil"/>
                              <w:left w:val="nil"/>
                              <w:bottom w:val="nil"/>
                              <w:right w:val="single" w:sz="8" w:space="0" w:color="E0E0E0"/>
                            </w:tcBorders>
                            <w:shd w:val="clear" w:color="auto" w:fill="FFFFFF"/>
                            <w:vAlign w:val="bottom"/>
                          </w:tcPr>
                          <w:p w14:paraId="38D7B3C2"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Annual household income</w:t>
                            </w:r>
                          </w:p>
                        </w:tc>
                        <w:tc>
                          <w:tcPr>
                            <w:tcW w:w="733" w:type="dxa"/>
                            <w:vMerge w:val="restart"/>
                            <w:tcBorders>
                              <w:top w:val="nil"/>
                              <w:left w:val="single" w:sz="8" w:space="0" w:color="E0E0E0"/>
                              <w:bottom w:val="nil"/>
                              <w:right w:val="nil"/>
                            </w:tcBorders>
                            <w:shd w:val="clear" w:color="auto" w:fill="FFFFFF"/>
                            <w:vAlign w:val="bottom"/>
                          </w:tcPr>
                          <w:p w14:paraId="4617D9FD"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Total</w:t>
                            </w:r>
                          </w:p>
                        </w:tc>
                      </w:tr>
                      <w:tr w:rsidR="00A56EB4" w:rsidRPr="00874297" w14:paraId="524549EA" w14:textId="77777777" w:rsidTr="006A44BB">
                        <w:trPr>
                          <w:cantSplit/>
                          <w:trHeight w:val="318"/>
                        </w:trPr>
                        <w:tc>
                          <w:tcPr>
                            <w:tcW w:w="2756" w:type="dxa"/>
                            <w:gridSpan w:val="3"/>
                            <w:vMerge/>
                            <w:tcBorders>
                              <w:top w:val="nil"/>
                              <w:left w:val="nil"/>
                              <w:bottom w:val="nil"/>
                              <w:right w:val="nil"/>
                            </w:tcBorders>
                            <w:shd w:val="clear" w:color="auto" w:fill="FFFFFF"/>
                            <w:vAlign w:val="bottom"/>
                          </w:tcPr>
                          <w:p w14:paraId="12BC956E" w14:textId="77777777" w:rsidR="00A56EB4" w:rsidRPr="00874297" w:rsidRDefault="00A56EB4" w:rsidP="006A44BB">
                            <w:pPr>
                              <w:autoSpaceDE w:val="0"/>
                              <w:autoSpaceDN w:val="0"/>
                              <w:adjustRightInd w:val="0"/>
                              <w:spacing w:after="0" w:line="240" w:lineRule="auto"/>
                              <w:rPr>
                                <w:rFonts w:ascii="Arial" w:hAnsi="Arial" w:cs="Arial"/>
                                <w:color w:val="264A60"/>
                                <w:sz w:val="18"/>
                                <w:szCs w:val="18"/>
                              </w:rPr>
                            </w:pPr>
                          </w:p>
                        </w:tc>
                        <w:tc>
                          <w:tcPr>
                            <w:tcW w:w="809" w:type="dxa"/>
                            <w:tcBorders>
                              <w:top w:val="nil"/>
                              <w:left w:val="nil"/>
                              <w:bottom w:val="single" w:sz="8" w:space="0" w:color="152935"/>
                              <w:right w:val="single" w:sz="8" w:space="0" w:color="E0E0E0"/>
                            </w:tcBorders>
                            <w:shd w:val="clear" w:color="auto" w:fill="FFFFFF"/>
                            <w:vAlign w:val="bottom"/>
                          </w:tcPr>
                          <w:p w14:paraId="67BD5FA5"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&lt; $15,000</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670B301B"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$15,000-$25,000</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33415C9E"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$26,000-$35,000</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6D8AE6F2"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$36,000-$45,000</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04CAD20C"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$46,000-$55,000</w:t>
                            </w:r>
                          </w:p>
                        </w:tc>
                        <w:tc>
                          <w:tcPr>
                            <w:tcW w:w="778" w:type="dxa"/>
                            <w:tcBorders>
                              <w:top w:val="nil"/>
                              <w:left w:val="single" w:sz="8" w:space="0" w:color="E0E0E0"/>
                              <w:bottom w:val="single" w:sz="8" w:space="0" w:color="152935"/>
                              <w:right w:val="single" w:sz="8" w:space="0" w:color="E0E0E0"/>
                            </w:tcBorders>
                            <w:shd w:val="clear" w:color="auto" w:fill="FFFFFF"/>
                            <w:vAlign w:val="bottom"/>
                          </w:tcPr>
                          <w:p w14:paraId="73E8BAD9" w14:textId="77777777" w:rsidR="00A56EB4" w:rsidRPr="00874297" w:rsidRDefault="00A56EB4" w:rsidP="006A44BB">
                            <w:pPr>
                              <w:autoSpaceDE w:val="0"/>
                              <w:autoSpaceDN w:val="0"/>
                              <w:adjustRightInd w:val="0"/>
                              <w:spacing w:after="0" w:line="320" w:lineRule="atLeast"/>
                              <w:ind w:left="60" w:right="60"/>
                              <w:jc w:val="center"/>
                              <w:rPr>
                                <w:rFonts w:ascii="Arial" w:hAnsi="Arial" w:cs="Arial"/>
                                <w:color w:val="264A60"/>
                                <w:sz w:val="18"/>
                                <w:szCs w:val="18"/>
                              </w:rPr>
                            </w:pPr>
                            <w:r w:rsidRPr="00874297">
                              <w:rPr>
                                <w:rFonts w:ascii="Arial" w:hAnsi="Arial" w:cs="Arial"/>
                                <w:color w:val="264A60"/>
                                <w:sz w:val="18"/>
                                <w:szCs w:val="18"/>
                              </w:rPr>
                              <w:t>&gt;$55,000</w:t>
                            </w:r>
                          </w:p>
                        </w:tc>
                        <w:tc>
                          <w:tcPr>
                            <w:tcW w:w="733" w:type="dxa"/>
                            <w:vMerge/>
                            <w:tcBorders>
                              <w:top w:val="nil"/>
                              <w:left w:val="single" w:sz="8" w:space="0" w:color="E0E0E0"/>
                              <w:bottom w:val="nil"/>
                              <w:right w:val="nil"/>
                            </w:tcBorders>
                            <w:shd w:val="clear" w:color="auto" w:fill="FFFFFF"/>
                            <w:vAlign w:val="bottom"/>
                          </w:tcPr>
                          <w:p w14:paraId="42550248" w14:textId="77777777" w:rsidR="00A56EB4" w:rsidRPr="00874297" w:rsidRDefault="00A56EB4" w:rsidP="006A44BB">
                            <w:pPr>
                              <w:autoSpaceDE w:val="0"/>
                              <w:autoSpaceDN w:val="0"/>
                              <w:adjustRightInd w:val="0"/>
                              <w:spacing w:after="0" w:line="240" w:lineRule="auto"/>
                              <w:rPr>
                                <w:rFonts w:ascii="Arial" w:hAnsi="Arial" w:cs="Arial"/>
                                <w:color w:val="264A60"/>
                                <w:sz w:val="18"/>
                                <w:szCs w:val="18"/>
                              </w:rPr>
                            </w:pPr>
                          </w:p>
                        </w:tc>
                      </w:tr>
                      <w:tr w:rsidR="00A56EB4" w:rsidRPr="00874297" w14:paraId="01C1CAFF" w14:textId="77777777" w:rsidTr="006A44BB">
                        <w:trPr>
                          <w:cantSplit/>
                          <w:trHeight w:val="303"/>
                        </w:trPr>
                        <w:tc>
                          <w:tcPr>
                            <w:tcW w:w="809" w:type="dxa"/>
                            <w:vMerge w:val="restart"/>
                            <w:tcBorders>
                              <w:top w:val="single" w:sz="8" w:space="0" w:color="152935"/>
                              <w:left w:val="nil"/>
                              <w:bottom w:val="nil"/>
                              <w:right w:val="nil"/>
                            </w:tcBorders>
                            <w:shd w:val="clear" w:color="auto" w:fill="E0E0E0"/>
                          </w:tcPr>
                          <w:p w14:paraId="473173F8"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1 person</w:t>
                            </w:r>
                          </w:p>
                        </w:tc>
                        <w:tc>
                          <w:tcPr>
                            <w:tcW w:w="751" w:type="dxa"/>
                            <w:vMerge w:val="restart"/>
                            <w:tcBorders>
                              <w:top w:val="single" w:sz="8" w:space="0" w:color="152935"/>
                              <w:left w:val="nil"/>
                              <w:bottom w:val="nil"/>
                              <w:right w:val="nil"/>
                            </w:tcBorders>
                            <w:shd w:val="clear" w:color="auto" w:fill="E0E0E0"/>
                          </w:tcPr>
                          <w:p w14:paraId="4F3AC264"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152935"/>
                              <w:left w:val="nil"/>
                              <w:bottom w:val="single" w:sz="8" w:space="0" w:color="AEAEAE"/>
                              <w:right w:val="nil"/>
                            </w:tcBorders>
                            <w:shd w:val="clear" w:color="auto" w:fill="E0E0E0"/>
                          </w:tcPr>
                          <w:p w14:paraId="1C40533E"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152935"/>
                              <w:left w:val="nil"/>
                              <w:bottom w:val="single" w:sz="8" w:space="0" w:color="AEAEAE"/>
                              <w:right w:val="single" w:sz="8" w:space="0" w:color="E0E0E0"/>
                            </w:tcBorders>
                            <w:shd w:val="clear" w:color="auto" w:fill="FFFFFF"/>
                          </w:tcPr>
                          <w:p w14:paraId="6AC62DF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23</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4FDF332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20</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40BA3CE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43BF4CA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1CED4BC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w:t>
                            </w:r>
                          </w:p>
                        </w:tc>
                        <w:tc>
                          <w:tcPr>
                            <w:tcW w:w="778" w:type="dxa"/>
                            <w:tcBorders>
                              <w:top w:val="single" w:sz="8" w:space="0" w:color="152935"/>
                              <w:left w:val="single" w:sz="8" w:space="0" w:color="E0E0E0"/>
                              <w:bottom w:val="single" w:sz="8" w:space="0" w:color="AEAEAE"/>
                              <w:right w:val="single" w:sz="8" w:space="0" w:color="E0E0E0"/>
                            </w:tcBorders>
                            <w:shd w:val="clear" w:color="auto" w:fill="FFFFFF"/>
                          </w:tcPr>
                          <w:p w14:paraId="5680332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14</w:t>
                            </w:r>
                          </w:p>
                        </w:tc>
                        <w:tc>
                          <w:tcPr>
                            <w:tcW w:w="733" w:type="dxa"/>
                            <w:tcBorders>
                              <w:top w:val="single" w:sz="8" w:space="0" w:color="152935"/>
                              <w:left w:val="single" w:sz="8" w:space="0" w:color="E0E0E0"/>
                              <w:bottom w:val="single" w:sz="8" w:space="0" w:color="AEAEAE"/>
                              <w:right w:val="nil"/>
                            </w:tcBorders>
                            <w:shd w:val="clear" w:color="auto" w:fill="FFFFFF"/>
                          </w:tcPr>
                          <w:p w14:paraId="0F38668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85</w:t>
                            </w:r>
                          </w:p>
                        </w:tc>
                      </w:tr>
                      <w:tr w:rsidR="00A56EB4" w:rsidRPr="00874297" w14:paraId="00AA8016" w14:textId="77777777" w:rsidTr="006A44BB">
                        <w:trPr>
                          <w:cantSplit/>
                          <w:trHeight w:val="332"/>
                        </w:trPr>
                        <w:tc>
                          <w:tcPr>
                            <w:tcW w:w="809" w:type="dxa"/>
                            <w:vMerge/>
                            <w:tcBorders>
                              <w:top w:val="single" w:sz="8" w:space="0" w:color="152935"/>
                              <w:left w:val="nil"/>
                              <w:bottom w:val="nil"/>
                              <w:right w:val="nil"/>
                            </w:tcBorders>
                            <w:shd w:val="clear" w:color="auto" w:fill="E0E0E0"/>
                          </w:tcPr>
                          <w:p w14:paraId="0295417A"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152935"/>
                              <w:left w:val="nil"/>
                              <w:bottom w:val="nil"/>
                              <w:right w:val="nil"/>
                            </w:tcBorders>
                            <w:shd w:val="clear" w:color="auto" w:fill="E0E0E0"/>
                          </w:tcPr>
                          <w:p w14:paraId="32FD989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45D3132B"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4D932DA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74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24BB2D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4D17D08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5A75AE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058236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70539A3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w:t>
                            </w:r>
                          </w:p>
                        </w:tc>
                        <w:tc>
                          <w:tcPr>
                            <w:tcW w:w="733" w:type="dxa"/>
                            <w:tcBorders>
                              <w:top w:val="single" w:sz="8" w:space="0" w:color="AEAEAE"/>
                              <w:left w:val="single" w:sz="8" w:space="0" w:color="E0E0E0"/>
                              <w:bottom w:val="single" w:sz="8" w:space="0" w:color="AEAEAE"/>
                              <w:right w:val="nil"/>
                            </w:tcBorders>
                            <w:shd w:val="clear" w:color="auto" w:fill="FFFFFF"/>
                          </w:tcPr>
                          <w:p w14:paraId="5250CBE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242</w:t>
                            </w:r>
                          </w:p>
                        </w:tc>
                      </w:tr>
                      <w:tr w:rsidR="00A56EB4" w:rsidRPr="00874297" w14:paraId="48D80B8B" w14:textId="77777777" w:rsidTr="006A44BB">
                        <w:trPr>
                          <w:cantSplit/>
                          <w:trHeight w:val="332"/>
                        </w:trPr>
                        <w:tc>
                          <w:tcPr>
                            <w:tcW w:w="809" w:type="dxa"/>
                            <w:vMerge/>
                            <w:tcBorders>
                              <w:top w:val="single" w:sz="8" w:space="0" w:color="152935"/>
                              <w:left w:val="nil"/>
                              <w:bottom w:val="nil"/>
                              <w:right w:val="nil"/>
                            </w:tcBorders>
                            <w:shd w:val="clear" w:color="auto" w:fill="E0E0E0"/>
                          </w:tcPr>
                          <w:p w14:paraId="28007D72"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152935"/>
                              <w:left w:val="nil"/>
                              <w:bottom w:val="nil"/>
                              <w:right w:val="nil"/>
                            </w:tcBorders>
                            <w:shd w:val="clear" w:color="auto" w:fill="E0E0E0"/>
                          </w:tcPr>
                          <w:p w14:paraId="35D953C2"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6D6F1A8B"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5A5A3F94"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428</w:t>
                            </w:r>
                          </w:p>
                        </w:tc>
                        <w:tc>
                          <w:tcPr>
                            <w:tcW w:w="1050" w:type="dxa"/>
                            <w:tcBorders>
                              <w:top w:val="single" w:sz="8" w:space="0" w:color="AEAEAE"/>
                              <w:left w:val="single" w:sz="8" w:space="0" w:color="E0E0E0"/>
                              <w:bottom w:val="nil"/>
                              <w:right w:val="single" w:sz="8" w:space="0" w:color="E0E0E0"/>
                            </w:tcBorders>
                            <w:shd w:val="clear" w:color="auto" w:fill="FFFFFF"/>
                          </w:tcPr>
                          <w:p w14:paraId="5345FEF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299</w:t>
                            </w:r>
                          </w:p>
                        </w:tc>
                        <w:tc>
                          <w:tcPr>
                            <w:tcW w:w="1050" w:type="dxa"/>
                            <w:tcBorders>
                              <w:top w:val="single" w:sz="8" w:space="0" w:color="AEAEAE"/>
                              <w:left w:val="single" w:sz="8" w:space="0" w:color="E0E0E0"/>
                              <w:bottom w:val="nil"/>
                              <w:right w:val="single" w:sz="8" w:space="0" w:color="E0E0E0"/>
                            </w:tcBorders>
                            <w:shd w:val="clear" w:color="auto" w:fill="FFFFFF"/>
                          </w:tcPr>
                          <w:p w14:paraId="3F53EAC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267</w:t>
                            </w:r>
                          </w:p>
                        </w:tc>
                        <w:tc>
                          <w:tcPr>
                            <w:tcW w:w="1050" w:type="dxa"/>
                            <w:tcBorders>
                              <w:top w:val="single" w:sz="8" w:space="0" w:color="AEAEAE"/>
                              <w:left w:val="single" w:sz="8" w:space="0" w:color="E0E0E0"/>
                              <w:bottom w:val="nil"/>
                              <w:right w:val="single" w:sz="8" w:space="0" w:color="E0E0E0"/>
                            </w:tcBorders>
                            <w:shd w:val="clear" w:color="auto" w:fill="FFFFFF"/>
                          </w:tcPr>
                          <w:p w14:paraId="1163B1D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195</w:t>
                            </w:r>
                          </w:p>
                        </w:tc>
                        <w:tc>
                          <w:tcPr>
                            <w:tcW w:w="1050" w:type="dxa"/>
                            <w:tcBorders>
                              <w:top w:val="single" w:sz="8" w:space="0" w:color="AEAEAE"/>
                              <w:left w:val="single" w:sz="8" w:space="0" w:color="E0E0E0"/>
                              <w:bottom w:val="nil"/>
                              <w:right w:val="single" w:sz="8" w:space="0" w:color="E0E0E0"/>
                            </w:tcBorders>
                            <w:shd w:val="clear" w:color="auto" w:fill="FFFFFF"/>
                          </w:tcPr>
                          <w:p w14:paraId="38AA1FC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225</w:t>
                            </w:r>
                          </w:p>
                        </w:tc>
                        <w:tc>
                          <w:tcPr>
                            <w:tcW w:w="778" w:type="dxa"/>
                            <w:tcBorders>
                              <w:top w:val="single" w:sz="8" w:space="0" w:color="AEAEAE"/>
                              <w:left w:val="single" w:sz="8" w:space="0" w:color="E0E0E0"/>
                              <w:bottom w:val="nil"/>
                              <w:right w:val="single" w:sz="8" w:space="0" w:color="E0E0E0"/>
                            </w:tcBorders>
                            <w:shd w:val="clear" w:color="auto" w:fill="FFFFFF"/>
                          </w:tcPr>
                          <w:p w14:paraId="7192089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509</w:t>
                            </w:r>
                          </w:p>
                        </w:tc>
                        <w:tc>
                          <w:tcPr>
                            <w:tcW w:w="733" w:type="dxa"/>
                            <w:tcBorders>
                              <w:top w:val="single" w:sz="8" w:space="0" w:color="AEAEAE"/>
                              <w:left w:val="single" w:sz="8" w:space="0" w:color="E0E0E0"/>
                              <w:bottom w:val="nil"/>
                              <w:right w:val="nil"/>
                            </w:tcBorders>
                            <w:shd w:val="clear" w:color="auto" w:fill="FFFFFF"/>
                          </w:tcPr>
                          <w:p w14:paraId="0A61110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1923</w:t>
                            </w:r>
                          </w:p>
                        </w:tc>
                      </w:tr>
                      <w:tr w:rsidR="00A56EB4" w:rsidRPr="00874297" w14:paraId="200C1895" w14:textId="77777777" w:rsidTr="006A44BB">
                        <w:trPr>
                          <w:cantSplit/>
                          <w:trHeight w:val="318"/>
                        </w:trPr>
                        <w:tc>
                          <w:tcPr>
                            <w:tcW w:w="809" w:type="dxa"/>
                            <w:vMerge/>
                            <w:tcBorders>
                              <w:top w:val="single" w:sz="8" w:space="0" w:color="152935"/>
                              <w:left w:val="nil"/>
                              <w:bottom w:val="nil"/>
                              <w:right w:val="nil"/>
                            </w:tcBorders>
                            <w:shd w:val="clear" w:color="auto" w:fill="E0E0E0"/>
                          </w:tcPr>
                          <w:p w14:paraId="233FBBF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5F1A14B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0698CC1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525</w:t>
                            </w:r>
                          </w:p>
                        </w:tc>
                        <w:tc>
                          <w:tcPr>
                            <w:tcW w:w="1050" w:type="dxa"/>
                            <w:tcBorders>
                              <w:top w:val="single" w:sz="8" w:space="0" w:color="AEAEAE"/>
                              <w:left w:val="single" w:sz="8" w:space="0" w:color="E0E0E0"/>
                              <w:bottom w:val="nil"/>
                              <w:right w:val="single" w:sz="8" w:space="0" w:color="E0E0E0"/>
                            </w:tcBorders>
                            <w:shd w:val="clear" w:color="auto" w:fill="FFFFFF"/>
                          </w:tcPr>
                          <w:p w14:paraId="2ED9E5D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373</w:t>
                            </w:r>
                          </w:p>
                        </w:tc>
                        <w:tc>
                          <w:tcPr>
                            <w:tcW w:w="1050" w:type="dxa"/>
                            <w:tcBorders>
                              <w:top w:val="single" w:sz="8" w:space="0" w:color="AEAEAE"/>
                              <w:left w:val="single" w:sz="8" w:space="0" w:color="E0E0E0"/>
                              <w:bottom w:val="nil"/>
                              <w:right w:val="single" w:sz="8" w:space="0" w:color="E0E0E0"/>
                            </w:tcBorders>
                            <w:shd w:val="clear" w:color="auto" w:fill="FFFFFF"/>
                          </w:tcPr>
                          <w:p w14:paraId="785278D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323</w:t>
                            </w:r>
                          </w:p>
                        </w:tc>
                        <w:tc>
                          <w:tcPr>
                            <w:tcW w:w="1050" w:type="dxa"/>
                            <w:tcBorders>
                              <w:top w:val="single" w:sz="8" w:space="0" w:color="AEAEAE"/>
                              <w:left w:val="single" w:sz="8" w:space="0" w:color="E0E0E0"/>
                              <w:bottom w:val="nil"/>
                              <w:right w:val="single" w:sz="8" w:space="0" w:color="E0E0E0"/>
                            </w:tcBorders>
                            <w:shd w:val="clear" w:color="auto" w:fill="FFFFFF"/>
                          </w:tcPr>
                          <w:p w14:paraId="0EF38C6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232</w:t>
                            </w:r>
                          </w:p>
                        </w:tc>
                        <w:tc>
                          <w:tcPr>
                            <w:tcW w:w="1050" w:type="dxa"/>
                            <w:tcBorders>
                              <w:top w:val="single" w:sz="8" w:space="0" w:color="AEAEAE"/>
                              <w:left w:val="single" w:sz="8" w:space="0" w:color="E0E0E0"/>
                              <w:bottom w:val="nil"/>
                              <w:right w:val="single" w:sz="8" w:space="0" w:color="E0E0E0"/>
                            </w:tcBorders>
                            <w:shd w:val="clear" w:color="auto" w:fill="FFFFFF"/>
                          </w:tcPr>
                          <w:p w14:paraId="305D33D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244</w:t>
                            </w:r>
                          </w:p>
                        </w:tc>
                        <w:tc>
                          <w:tcPr>
                            <w:tcW w:w="778" w:type="dxa"/>
                            <w:tcBorders>
                              <w:top w:val="single" w:sz="8" w:space="0" w:color="AEAEAE"/>
                              <w:left w:val="single" w:sz="8" w:space="0" w:color="E0E0E0"/>
                              <w:bottom w:val="nil"/>
                              <w:right w:val="single" w:sz="8" w:space="0" w:color="E0E0E0"/>
                            </w:tcBorders>
                            <w:shd w:val="clear" w:color="auto" w:fill="FFFFFF"/>
                          </w:tcPr>
                          <w:p w14:paraId="029A875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553</w:t>
                            </w:r>
                          </w:p>
                        </w:tc>
                        <w:tc>
                          <w:tcPr>
                            <w:tcW w:w="733" w:type="dxa"/>
                            <w:tcBorders>
                              <w:top w:val="single" w:sz="8" w:space="0" w:color="AEAEAE"/>
                              <w:left w:val="single" w:sz="8" w:space="0" w:color="E0E0E0"/>
                              <w:bottom w:val="nil"/>
                              <w:right w:val="nil"/>
                            </w:tcBorders>
                            <w:shd w:val="clear" w:color="auto" w:fill="FFFFFF"/>
                          </w:tcPr>
                          <w:p w14:paraId="7D46CBF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2250</w:t>
                            </w:r>
                          </w:p>
                        </w:tc>
                      </w:tr>
                      <w:tr w:rsidR="00A56EB4" w:rsidRPr="00874297" w14:paraId="49D934BB" w14:textId="77777777" w:rsidTr="006A44BB">
                        <w:trPr>
                          <w:cantSplit/>
                          <w:trHeight w:val="318"/>
                        </w:trPr>
                        <w:tc>
                          <w:tcPr>
                            <w:tcW w:w="809" w:type="dxa"/>
                            <w:vMerge w:val="restart"/>
                            <w:tcBorders>
                              <w:top w:val="single" w:sz="8" w:space="0" w:color="AEAEAE"/>
                              <w:left w:val="nil"/>
                              <w:bottom w:val="nil"/>
                              <w:right w:val="nil"/>
                            </w:tcBorders>
                            <w:shd w:val="clear" w:color="auto" w:fill="E0E0E0"/>
                          </w:tcPr>
                          <w:p w14:paraId="0B17BFC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2 people</w:t>
                            </w:r>
                          </w:p>
                        </w:tc>
                        <w:tc>
                          <w:tcPr>
                            <w:tcW w:w="751" w:type="dxa"/>
                            <w:vMerge w:val="restart"/>
                            <w:tcBorders>
                              <w:top w:val="single" w:sz="8" w:space="0" w:color="AEAEAE"/>
                              <w:left w:val="nil"/>
                              <w:bottom w:val="nil"/>
                              <w:right w:val="nil"/>
                            </w:tcBorders>
                            <w:shd w:val="clear" w:color="auto" w:fill="E0E0E0"/>
                          </w:tcPr>
                          <w:p w14:paraId="29242EB9"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AEAEAE"/>
                              <w:left w:val="nil"/>
                              <w:bottom w:val="single" w:sz="8" w:space="0" w:color="AEAEAE"/>
                              <w:right w:val="nil"/>
                            </w:tcBorders>
                            <w:shd w:val="clear" w:color="auto" w:fill="E0E0E0"/>
                          </w:tcPr>
                          <w:p w14:paraId="6C21405A"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AEAEAE"/>
                              <w:left w:val="nil"/>
                              <w:bottom w:val="single" w:sz="8" w:space="0" w:color="AEAEAE"/>
                              <w:right w:val="single" w:sz="8" w:space="0" w:color="E0E0E0"/>
                            </w:tcBorders>
                            <w:shd w:val="clear" w:color="auto" w:fill="FFFFFF"/>
                          </w:tcPr>
                          <w:p w14:paraId="52AEB20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2F0C82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3A3A710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F10027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543BB45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7</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1183873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20</w:t>
                            </w:r>
                          </w:p>
                        </w:tc>
                        <w:tc>
                          <w:tcPr>
                            <w:tcW w:w="733" w:type="dxa"/>
                            <w:tcBorders>
                              <w:top w:val="single" w:sz="8" w:space="0" w:color="AEAEAE"/>
                              <w:left w:val="single" w:sz="8" w:space="0" w:color="E0E0E0"/>
                              <w:bottom w:val="single" w:sz="8" w:space="0" w:color="AEAEAE"/>
                              <w:right w:val="nil"/>
                            </w:tcBorders>
                            <w:shd w:val="clear" w:color="auto" w:fill="FFFFFF"/>
                          </w:tcPr>
                          <w:p w14:paraId="7DE80A1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80</w:t>
                            </w:r>
                          </w:p>
                        </w:tc>
                      </w:tr>
                      <w:tr w:rsidR="00A56EB4" w:rsidRPr="00874297" w14:paraId="3ADF9647" w14:textId="77777777" w:rsidTr="006A44BB">
                        <w:trPr>
                          <w:cantSplit/>
                          <w:trHeight w:val="332"/>
                        </w:trPr>
                        <w:tc>
                          <w:tcPr>
                            <w:tcW w:w="809" w:type="dxa"/>
                            <w:vMerge/>
                            <w:tcBorders>
                              <w:top w:val="single" w:sz="8" w:space="0" w:color="AEAEAE"/>
                              <w:left w:val="nil"/>
                              <w:bottom w:val="nil"/>
                              <w:right w:val="nil"/>
                            </w:tcBorders>
                            <w:shd w:val="clear" w:color="auto" w:fill="E0E0E0"/>
                          </w:tcPr>
                          <w:p w14:paraId="2CC8D24F"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2F38FB8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3815B020"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331285C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8A402E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7114F2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E16A48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37</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5B361C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23</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7DBBF8A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44</w:t>
                            </w:r>
                          </w:p>
                        </w:tc>
                        <w:tc>
                          <w:tcPr>
                            <w:tcW w:w="733" w:type="dxa"/>
                            <w:tcBorders>
                              <w:top w:val="single" w:sz="8" w:space="0" w:color="AEAEAE"/>
                              <w:left w:val="single" w:sz="8" w:space="0" w:color="E0E0E0"/>
                              <w:bottom w:val="single" w:sz="8" w:space="0" w:color="AEAEAE"/>
                              <w:right w:val="nil"/>
                            </w:tcBorders>
                            <w:shd w:val="clear" w:color="auto" w:fill="FFFFFF"/>
                          </w:tcPr>
                          <w:p w14:paraId="2F3FBA6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259</w:t>
                            </w:r>
                          </w:p>
                        </w:tc>
                      </w:tr>
                      <w:tr w:rsidR="00A56EB4" w:rsidRPr="00874297" w14:paraId="3CB58BD5" w14:textId="77777777" w:rsidTr="006A44BB">
                        <w:trPr>
                          <w:cantSplit/>
                          <w:trHeight w:val="318"/>
                        </w:trPr>
                        <w:tc>
                          <w:tcPr>
                            <w:tcW w:w="809" w:type="dxa"/>
                            <w:vMerge/>
                            <w:tcBorders>
                              <w:top w:val="single" w:sz="8" w:space="0" w:color="AEAEAE"/>
                              <w:left w:val="nil"/>
                              <w:bottom w:val="nil"/>
                              <w:right w:val="nil"/>
                            </w:tcBorders>
                            <w:shd w:val="clear" w:color="auto" w:fill="E0E0E0"/>
                          </w:tcPr>
                          <w:p w14:paraId="2E9501DA"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2574DCCB"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0F470DFF"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33F0B69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327</w:t>
                            </w:r>
                          </w:p>
                        </w:tc>
                        <w:tc>
                          <w:tcPr>
                            <w:tcW w:w="1050" w:type="dxa"/>
                            <w:tcBorders>
                              <w:top w:val="single" w:sz="8" w:space="0" w:color="AEAEAE"/>
                              <w:left w:val="single" w:sz="8" w:space="0" w:color="E0E0E0"/>
                              <w:bottom w:val="nil"/>
                              <w:right w:val="single" w:sz="8" w:space="0" w:color="E0E0E0"/>
                            </w:tcBorders>
                            <w:shd w:val="clear" w:color="auto" w:fill="FFFFFF"/>
                          </w:tcPr>
                          <w:p w14:paraId="3499BF9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338</w:t>
                            </w:r>
                          </w:p>
                        </w:tc>
                        <w:tc>
                          <w:tcPr>
                            <w:tcW w:w="1050" w:type="dxa"/>
                            <w:tcBorders>
                              <w:top w:val="single" w:sz="8" w:space="0" w:color="AEAEAE"/>
                              <w:left w:val="single" w:sz="8" w:space="0" w:color="E0E0E0"/>
                              <w:bottom w:val="nil"/>
                              <w:right w:val="single" w:sz="8" w:space="0" w:color="E0E0E0"/>
                            </w:tcBorders>
                            <w:shd w:val="clear" w:color="auto" w:fill="FFFFFF"/>
                          </w:tcPr>
                          <w:p w14:paraId="0957933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369</w:t>
                            </w:r>
                          </w:p>
                        </w:tc>
                        <w:tc>
                          <w:tcPr>
                            <w:tcW w:w="1050" w:type="dxa"/>
                            <w:tcBorders>
                              <w:top w:val="single" w:sz="8" w:space="0" w:color="AEAEAE"/>
                              <w:left w:val="single" w:sz="8" w:space="0" w:color="E0E0E0"/>
                              <w:bottom w:val="nil"/>
                              <w:right w:val="single" w:sz="8" w:space="0" w:color="E0E0E0"/>
                            </w:tcBorders>
                            <w:shd w:val="clear" w:color="auto" w:fill="FFFFFF"/>
                          </w:tcPr>
                          <w:p w14:paraId="7FB787E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342</w:t>
                            </w:r>
                          </w:p>
                        </w:tc>
                        <w:tc>
                          <w:tcPr>
                            <w:tcW w:w="1050" w:type="dxa"/>
                            <w:tcBorders>
                              <w:top w:val="single" w:sz="8" w:space="0" w:color="AEAEAE"/>
                              <w:left w:val="single" w:sz="8" w:space="0" w:color="E0E0E0"/>
                              <w:bottom w:val="nil"/>
                              <w:right w:val="single" w:sz="8" w:space="0" w:color="E0E0E0"/>
                            </w:tcBorders>
                            <w:shd w:val="clear" w:color="auto" w:fill="FFFFFF"/>
                          </w:tcPr>
                          <w:p w14:paraId="3EE4E05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306</w:t>
                            </w:r>
                          </w:p>
                        </w:tc>
                        <w:tc>
                          <w:tcPr>
                            <w:tcW w:w="778" w:type="dxa"/>
                            <w:tcBorders>
                              <w:top w:val="single" w:sz="8" w:space="0" w:color="AEAEAE"/>
                              <w:left w:val="single" w:sz="8" w:space="0" w:color="E0E0E0"/>
                              <w:bottom w:val="nil"/>
                              <w:right w:val="single" w:sz="8" w:space="0" w:color="E0E0E0"/>
                            </w:tcBorders>
                            <w:shd w:val="clear" w:color="auto" w:fill="FFFFFF"/>
                          </w:tcPr>
                          <w:p w14:paraId="6D7E369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1024</w:t>
                            </w:r>
                          </w:p>
                        </w:tc>
                        <w:tc>
                          <w:tcPr>
                            <w:tcW w:w="733" w:type="dxa"/>
                            <w:tcBorders>
                              <w:top w:val="single" w:sz="8" w:space="0" w:color="AEAEAE"/>
                              <w:left w:val="single" w:sz="8" w:space="0" w:color="E0E0E0"/>
                              <w:bottom w:val="nil"/>
                              <w:right w:val="nil"/>
                            </w:tcBorders>
                            <w:shd w:val="clear" w:color="auto" w:fill="FFFFFF"/>
                          </w:tcPr>
                          <w:p w14:paraId="1E018E1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2706</w:t>
                            </w:r>
                          </w:p>
                        </w:tc>
                      </w:tr>
                      <w:tr w:rsidR="00A56EB4" w:rsidRPr="00874297" w14:paraId="2F54AD40" w14:textId="77777777" w:rsidTr="006A44BB">
                        <w:trPr>
                          <w:cantSplit/>
                          <w:trHeight w:val="332"/>
                        </w:trPr>
                        <w:tc>
                          <w:tcPr>
                            <w:tcW w:w="809" w:type="dxa"/>
                            <w:vMerge/>
                            <w:tcBorders>
                              <w:top w:val="single" w:sz="8" w:space="0" w:color="AEAEAE"/>
                              <w:left w:val="nil"/>
                              <w:bottom w:val="nil"/>
                              <w:right w:val="nil"/>
                            </w:tcBorders>
                            <w:shd w:val="clear" w:color="auto" w:fill="E0E0E0"/>
                          </w:tcPr>
                          <w:p w14:paraId="1BC2450B"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06DF8899"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488801A4"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404</w:t>
                            </w:r>
                          </w:p>
                        </w:tc>
                        <w:tc>
                          <w:tcPr>
                            <w:tcW w:w="1050" w:type="dxa"/>
                            <w:tcBorders>
                              <w:top w:val="single" w:sz="8" w:space="0" w:color="AEAEAE"/>
                              <w:left w:val="single" w:sz="8" w:space="0" w:color="E0E0E0"/>
                              <w:bottom w:val="nil"/>
                              <w:right w:val="single" w:sz="8" w:space="0" w:color="E0E0E0"/>
                            </w:tcBorders>
                            <w:shd w:val="clear" w:color="auto" w:fill="FFFFFF"/>
                          </w:tcPr>
                          <w:p w14:paraId="24B3C2E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400</w:t>
                            </w:r>
                          </w:p>
                        </w:tc>
                        <w:tc>
                          <w:tcPr>
                            <w:tcW w:w="1050" w:type="dxa"/>
                            <w:tcBorders>
                              <w:top w:val="single" w:sz="8" w:space="0" w:color="AEAEAE"/>
                              <w:left w:val="single" w:sz="8" w:space="0" w:color="E0E0E0"/>
                              <w:bottom w:val="nil"/>
                              <w:right w:val="single" w:sz="8" w:space="0" w:color="E0E0E0"/>
                            </w:tcBorders>
                            <w:shd w:val="clear" w:color="auto" w:fill="FFFFFF"/>
                          </w:tcPr>
                          <w:p w14:paraId="1F49C97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428</w:t>
                            </w:r>
                          </w:p>
                        </w:tc>
                        <w:tc>
                          <w:tcPr>
                            <w:tcW w:w="1050" w:type="dxa"/>
                            <w:tcBorders>
                              <w:top w:val="single" w:sz="8" w:space="0" w:color="AEAEAE"/>
                              <w:left w:val="single" w:sz="8" w:space="0" w:color="E0E0E0"/>
                              <w:bottom w:val="nil"/>
                              <w:right w:val="single" w:sz="8" w:space="0" w:color="E0E0E0"/>
                            </w:tcBorders>
                            <w:shd w:val="clear" w:color="auto" w:fill="FFFFFF"/>
                          </w:tcPr>
                          <w:p w14:paraId="6CC31CD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389</w:t>
                            </w:r>
                          </w:p>
                        </w:tc>
                        <w:tc>
                          <w:tcPr>
                            <w:tcW w:w="1050" w:type="dxa"/>
                            <w:tcBorders>
                              <w:top w:val="single" w:sz="8" w:space="0" w:color="AEAEAE"/>
                              <w:left w:val="single" w:sz="8" w:space="0" w:color="E0E0E0"/>
                              <w:bottom w:val="nil"/>
                              <w:right w:val="single" w:sz="8" w:space="0" w:color="E0E0E0"/>
                            </w:tcBorders>
                            <w:shd w:val="clear" w:color="auto" w:fill="FFFFFF"/>
                          </w:tcPr>
                          <w:p w14:paraId="1435736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336</w:t>
                            </w:r>
                          </w:p>
                        </w:tc>
                        <w:tc>
                          <w:tcPr>
                            <w:tcW w:w="778" w:type="dxa"/>
                            <w:tcBorders>
                              <w:top w:val="single" w:sz="8" w:space="0" w:color="AEAEAE"/>
                              <w:left w:val="single" w:sz="8" w:space="0" w:color="E0E0E0"/>
                              <w:bottom w:val="nil"/>
                              <w:right w:val="single" w:sz="8" w:space="0" w:color="E0E0E0"/>
                            </w:tcBorders>
                            <w:shd w:val="clear" w:color="auto" w:fill="FFFFFF"/>
                          </w:tcPr>
                          <w:p w14:paraId="61997C2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1088</w:t>
                            </w:r>
                          </w:p>
                        </w:tc>
                        <w:tc>
                          <w:tcPr>
                            <w:tcW w:w="733" w:type="dxa"/>
                            <w:tcBorders>
                              <w:top w:val="single" w:sz="8" w:space="0" w:color="AEAEAE"/>
                              <w:left w:val="single" w:sz="8" w:space="0" w:color="E0E0E0"/>
                              <w:bottom w:val="nil"/>
                              <w:right w:val="nil"/>
                            </w:tcBorders>
                            <w:shd w:val="clear" w:color="auto" w:fill="FFFFFF"/>
                          </w:tcPr>
                          <w:p w14:paraId="583CCB6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3045</w:t>
                            </w:r>
                          </w:p>
                        </w:tc>
                      </w:tr>
                      <w:tr w:rsidR="00A56EB4" w:rsidRPr="00874297" w14:paraId="1E670A0D" w14:textId="77777777" w:rsidTr="006A44BB">
                        <w:trPr>
                          <w:cantSplit/>
                          <w:trHeight w:val="318"/>
                        </w:trPr>
                        <w:tc>
                          <w:tcPr>
                            <w:tcW w:w="809" w:type="dxa"/>
                            <w:vMerge w:val="restart"/>
                            <w:tcBorders>
                              <w:top w:val="single" w:sz="8" w:space="0" w:color="AEAEAE"/>
                              <w:left w:val="nil"/>
                              <w:bottom w:val="nil"/>
                              <w:right w:val="nil"/>
                            </w:tcBorders>
                            <w:shd w:val="clear" w:color="auto" w:fill="E0E0E0"/>
                          </w:tcPr>
                          <w:p w14:paraId="5E8740DF"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3 people</w:t>
                            </w:r>
                          </w:p>
                        </w:tc>
                        <w:tc>
                          <w:tcPr>
                            <w:tcW w:w="751" w:type="dxa"/>
                            <w:vMerge w:val="restart"/>
                            <w:tcBorders>
                              <w:top w:val="single" w:sz="8" w:space="0" w:color="AEAEAE"/>
                              <w:left w:val="nil"/>
                              <w:bottom w:val="nil"/>
                              <w:right w:val="nil"/>
                            </w:tcBorders>
                            <w:shd w:val="clear" w:color="auto" w:fill="E0E0E0"/>
                          </w:tcPr>
                          <w:p w14:paraId="05D095F0"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AEAEAE"/>
                              <w:left w:val="nil"/>
                              <w:bottom w:val="single" w:sz="8" w:space="0" w:color="AEAEAE"/>
                              <w:right w:val="nil"/>
                            </w:tcBorders>
                            <w:shd w:val="clear" w:color="auto" w:fill="E0E0E0"/>
                          </w:tcPr>
                          <w:p w14:paraId="2E14D36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AEAEAE"/>
                              <w:left w:val="nil"/>
                              <w:bottom w:val="single" w:sz="8" w:space="0" w:color="AEAEAE"/>
                              <w:right w:val="single" w:sz="8" w:space="0" w:color="E0E0E0"/>
                            </w:tcBorders>
                            <w:shd w:val="clear" w:color="auto" w:fill="FFFFFF"/>
                          </w:tcPr>
                          <w:p w14:paraId="6FFE1D1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2AF921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4844AC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236A18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4DE5BC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6172D40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14</w:t>
                            </w:r>
                          </w:p>
                        </w:tc>
                        <w:tc>
                          <w:tcPr>
                            <w:tcW w:w="733" w:type="dxa"/>
                            <w:tcBorders>
                              <w:top w:val="single" w:sz="8" w:space="0" w:color="AEAEAE"/>
                              <w:left w:val="single" w:sz="8" w:space="0" w:color="E0E0E0"/>
                              <w:bottom w:val="single" w:sz="8" w:space="0" w:color="AEAEAE"/>
                              <w:right w:val="nil"/>
                            </w:tcBorders>
                            <w:shd w:val="clear" w:color="auto" w:fill="FFFFFF"/>
                          </w:tcPr>
                          <w:p w14:paraId="0D3DFED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62</w:t>
                            </w:r>
                          </w:p>
                        </w:tc>
                      </w:tr>
                      <w:tr w:rsidR="00A56EB4" w:rsidRPr="00874297" w14:paraId="1F957612" w14:textId="77777777" w:rsidTr="006A44BB">
                        <w:trPr>
                          <w:cantSplit/>
                          <w:trHeight w:val="318"/>
                        </w:trPr>
                        <w:tc>
                          <w:tcPr>
                            <w:tcW w:w="809" w:type="dxa"/>
                            <w:vMerge/>
                            <w:tcBorders>
                              <w:top w:val="single" w:sz="8" w:space="0" w:color="AEAEAE"/>
                              <w:left w:val="nil"/>
                              <w:bottom w:val="nil"/>
                              <w:right w:val="nil"/>
                            </w:tcBorders>
                            <w:shd w:val="clear" w:color="auto" w:fill="E0E0E0"/>
                          </w:tcPr>
                          <w:p w14:paraId="71F95D2D"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067879FE"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56ECB574"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51F9F51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D3D286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E450E6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57</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A475F3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F1C7EE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26</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533C0C3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55</w:t>
                            </w:r>
                          </w:p>
                        </w:tc>
                        <w:tc>
                          <w:tcPr>
                            <w:tcW w:w="733" w:type="dxa"/>
                            <w:tcBorders>
                              <w:top w:val="single" w:sz="8" w:space="0" w:color="AEAEAE"/>
                              <w:left w:val="single" w:sz="8" w:space="0" w:color="E0E0E0"/>
                              <w:bottom w:val="single" w:sz="8" w:space="0" w:color="AEAEAE"/>
                              <w:right w:val="nil"/>
                            </w:tcBorders>
                            <w:shd w:val="clear" w:color="auto" w:fill="FFFFFF"/>
                          </w:tcPr>
                          <w:p w14:paraId="41ACDC8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255</w:t>
                            </w:r>
                          </w:p>
                        </w:tc>
                      </w:tr>
                      <w:tr w:rsidR="00A56EB4" w:rsidRPr="00874297" w14:paraId="51CE6639" w14:textId="77777777" w:rsidTr="006A44BB">
                        <w:trPr>
                          <w:cantSplit/>
                          <w:trHeight w:val="332"/>
                        </w:trPr>
                        <w:tc>
                          <w:tcPr>
                            <w:tcW w:w="809" w:type="dxa"/>
                            <w:vMerge/>
                            <w:tcBorders>
                              <w:top w:val="single" w:sz="8" w:space="0" w:color="AEAEAE"/>
                              <w:left w:val="nil"/>
                              <w:bottom w:val="nil"/>
                              <w:right w:val="nil"/>
                            </w:tcBorders>
                            <w:shd w:val="clear" w:color="auto" w:fill="E0E0E0"/>
                          </w:tcPr>
                          <w:p w14:paraId="43DF6582"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6C460550"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5546CD24"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1838BA5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272</w:t>
                            </w:r>
                          </w:p>
                        </w:tc>
                        <w:tc>
                          <w:tcPr>
                            <w:tcW w:w="1050" w:type="dxa"/>
                            <w:tcBorders>
                              <w:top w:val="single" w:sz="8" w:space="0" w:color="AEAEAE"/>
                              <w:left w:val="single" w:sz="8" w:space="0" w:color="E0E0E0"/>
                              <w:bottom w:val="nil"/>
                              <w:right w:val="single" w:sz="8" w:space="0" w:color="E0E0E0"/>
                            </w:tcBorders>
                            <w:shd w:val="clear" w:color="auto" w:fill="FFFFFF"/>
                          </w:tcPr>
                          <w:p w14:paraId="53507FE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274</w:t>
                            </w:r>
                          </w:p>
                        </w:tc>
                        <w:tc>
                          <w:tcPr>
                            <w:tcW w:w="1050" w:type="dxa"/>
                            <w:tcBorders>
                              <w:top w:val="single" w:sz="8" w:space="0" w:color="AEAEAE"/>
                              <w:left w:val="single" w:sz="8" w:space="0" w:color="E0E0E0"/>
                              <w:bottom w:val="nil"/>
                              <w:right w:val="single" w:sz="8" w:space="0" w:color="E0E0E0"/>
                            </w:tcBorders>
                            <w:shd w:val="clear" w:color="auto" w:fill="FFFFFF"/>
                          </w:tcPr>
                          <w:p w14:paraId="5247AFE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309</w:t>
                            </w:r>
                          </w:p>
                        </w:tc>
                        <w:tc>
                          <w:tcPr>
                            <w:tcW w:w="1050" w:type="dxa"/>
                            <w:tcBorders>
                              <w:top w:val="single" w:sz="8" w:space="0" w:color="AEAEAE"/>
                              <w:left w:val="single" w:sz="8" w:space="0" w:color="E0E0E0"/>
                              <w:bottom w:val="nil"/>
                              <w:right w:val="single" w:sz="8" w:space="0" w:color="E0E0E0"/>
                            </w:tcBorders>
                            <w:shd w:val="clear" w:color="auto" w:fill="FFFFFF"/>
                          </w:tcPr>
                          <w:p w14:paraId="233371A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340</w:t>
                            </w:r>
                          </w:p>
                        </w:tc>
                        <w:tc>
                          <w:tcPr>
                            <w:tcW w:w="1050" w:type="dxa"/>
                            <w:tcBorders>
                              <w:top w:val="single" w:sz="8" w:space="0" w:color="AEAEAE"/>
                              <w:left w:val="single" w:sz="8" w:space="0" w:color="E0E0E0"/>
                              <w:bottom w:val="nil"/>
                              <w:right w:val="single" w:sz="8" w:space="0" w:color="E0E0E0"/>
                            </w:tcBorders>
                            <w:shd w:val="clear" w:color="auto" w:fill="FFFFFF"/>
                          </w:tcPr>
                          <w:p w14:paraId="079CEE5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274</w:t>
                            </w:r>
                          </w:p>
                        </w:tc>
                        <w:tc>
                          <w:tcPr>
                            <w:tcW w:w="778" w:type="dxa"/>
                            <w:tcBorders>
                              <w:top w:val="single" w:sz="8" w:space="0" w:color="AEAEAE"/>
                              <w:left w:val="single" w:sz="8" w:space="0" w:color="E0E0E0"/>
                              <w:bottom w:val="nil"/>
                              <w:right w:val="single" w:sz="8" w:space="0" w:color="E0E0E0"/>
                            </w:tcBorders>
                            <w:shd w:val="clear" w:color="auto" w:fill="FFFFFF"/>
                          </w:tcPr>
                          <w:p w14:paraId="2A712A9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813</w:t>
                            </w:r>
                          </w:p>
                        </w:tc>
                        <w:tc>
                          <w:tcPr>
                            <w:tcW w:w="733" w:type="dxa"/>
                            <w:tcBorders>
                              <w:top w:val="single" w:sz="8" w:space="0" w:color="AEAEAE"/>
                              <w:left w:val="single" w:sz="8" w:space="0" w:color="E0E0E0"/>
                              <w:bottom w:val="nil"/>
                              <w:right w:val="nil"/>
                            </w:tcBorders>
                            <w:shd w:val="clear" w:color="auto" w:fill="FFFFFF"/>
                          </w:tcPr>
                          <w:p w14:paraId="527AF32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2282</w:t>
                            </w:r>
                          </w:p>
                        </w:tc>
                      </w:tr>
                      <w:tr w:rsidR="00A56EB4" w:rsidRPr="00874297" w14:paraId="328BFB83" w14:textId="77777777" w:rsidTr="006A44BB">
                        <w:trPr>
                          <w:cantSplit/>
                          <w:trHeight w:val="332"/>
                        </w:trPr>
                        <w:tc>
                          <w:tcPr>
                            <w:tcW w:w="809" w:type="dxa"/>
                            <w:vMerge/>
                            <w:tcBorders>
                              <w:top w:val="single" w:sz="8" w:space="0" w:color="AEAEAE"/>
                              <w:left w:val="nil"/>
                              <w:bottom w:val="nil"/>
                              <w:right w:val="nil"/>
                            </w:tcBorders>
                            <w:shd w:val="clear" w:color="auto" w:fill="E0E0E0"/>
                          </w:tcPr>
                          <w:p w14:paraId="763470BF"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54D639A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396DEB9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342</w:t>
                            </w:r>
                          </w:p>
                        </w:tc>
                        <w:tc>
                          <w:tcPr>
                            <w:tcW w:w="1050" w:type="dxa"/>
                            <w:tcBorders>
                              <w:top w:val="single" w:sz="8" w:space="0" w:color="AEAEAE"/>
                              <w:left w:val="single" w:sz="8" w:space="0" w:color="E0E0E0"/>
                              <w:bottom w:val="nil"/>
                              <w:right w:val="single" w:sz="8" w:space="0" w:color="E0E0E0"/>
                            </w:tcBorders>
                            <w:shd w:val="clear" w:color="auto" w:fill="FFFFFF"/>
                          </w:tcPr>
                          <w:p w14:paraId="48F3133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313</w:t>
                            </w:r>
                          </w:p>
                        </w:tc>
                        <w:tc>
                          <w:tcPr>
                            <w:tcW w:w="1050" w:type="dxa"/>
                            <w:tcBorders>
                              <w:top w:val="single" w:sz="8" w:space="0" w:color="AEAEAE"/>
                              <w:left w:val="single" w:sz="8" w:space="0" w:color="E0E0E0"/>
                              <w:bottom w:val="nil"/>
                              <w:right w:val="single" w:sz="8" w:space="0" w:color="E0E0E0"/>
                            </w:tcBorders>
                            <w:shd w:val="clear" w:color="auto" w:fill="FFFFFF"/>
                          </w:tcPr>
                          <w:p w14:paraId="3034C9E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375</w:t>
                            </w:r>
                          </w:p>
                        </w:tc>
                        <w:tc>
                          <w:tcPr>
                            <w:tcW w:w="1050" w:type="dxa"/>
                            <w:tcBorders>
                              <w:top w:val="single" w:sz="8" w:space="0" w:color="AEAEAE"/>
                              <w:left w:val="single" w:sz="8" w:space="0" w:color="E0E0E0"/>
                              <w:bottom w:val="nil"/>
                              <w:right w:val="single" w:sz="8" w:space="0" w:color="E0E0E0"/>
                            </w:tcBorders>
                            <w:shd w:val="clear" w:color="auto" w:fill="FFFFFF"/>
                          </w:tcPr>
                          <w:p w14:paraId="74332B4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382</w:t>
                            </w:r>
                          </w:p>
                        </w:tc>
                        <w:tc>
                          <w:tcPr>
                            <w:tcW w:w="1050" w:type="dxa"/>
                            <w:tcBorders>
                              <w:top w:val="single" w:sz="8" w:space="0" w:color="AEAEAE"/>
                              <w:left w:val="single" w:sz="8" w:space="0" w:color="E0E0E0"/>
                              <w:bottom w:val="nil"/>
                              <w:right w:val="single" w:sz="8" w:space="0" w:color="E0E0E0"/>
                            </w:tcBorders>
                            <w:shd w:val="clear" w:color="auto" w:fill="FFFFFF"/>
                          </w:tcPr>
                          <w:p w14:paraId="6A0FA2F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305</w:t>
                            </w:r>
                          </w:p>
                        </w:tc>
                        <w:tc>
                          <w:tcPr>
                            <w:tcW w:w="778" w:type="dxa"/>
                            <w:tcBorders>
                              <w:top w:val="single" w:sz="8" w:space="0" w:color="AEAEAE"/>
                              <w:left w:val="single" w:sz="8" w:space="0" w:color="E0E0E0"/>
                              <w:bottom w:val="nil"/>
                              <w:right w:val="single" w:sz="8" w:space="0" w:color="E0E0E0"/>
                            </w:tcBorders>
                            <w:shd w:val="clear" w:color="auto" w:fill="FFFFFF"/>
                          </w:tcPr>
                          <w:p w14:paraId="74EB169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882</w:t>
                            </w:r>
                          </w:p>
                        </w:tc>
                        <w:tc>
                          <w:tcPr>
                            <w:tcW w:w="733" w:type="dxa"/>
                            <w:tcBorders>
                              <w:top w:val="single" w:sz="8" w:space="0" w:color="AEAEAE"/>
                              <w:left w:val="single" w:sz="8" w:space="0" w:color="E0E0E0"/>
                              <w:bottom w:val="nil"/>
                              <w:right w:val="nil"/>
                            </w:tcBorders>
                            <w:shd w:val="clear" w:color="auto" w:fill="FFFFFF"/>
                          </w:tcPr>
                          <w:p w14:paraId="79CFC38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2599</w:t>
                            </w:r>
                          </w:p>
                        </w:tc>
                      </w:tr>
                      <w:tr w:rsidR="00A56EB4" w:rsidRPr="00874297" w14:paraId="7271C818" w14:textId="77777777" w:rsidTr="006A44BB">
                        <w:trPr>
                          <w:cantSplit/>
                          <w:trHeight w:val="303"/>
                        </w:trPr>
                        <w:tc>
                          <w:tcPr>
                            <w:tcW w:w="809" w:type="dxa"/>
                            <w:vMerge w:val="restart"/>
                            <w:tcBorders>
                              <w:top w:val="single" w:sz="8" w:space="0" w:color="AEAEAE"/>
                              <w:left w:val="nil"/>
                              <w:bottom w:val="nil"/>
                              <w:right w:val="nil"/>
                            </w:tcBorders>
                            <w:shd w:val="clear" w:color="auto" w:fill="E0E0E0"/>
                          </w:tcPr>
                          <w:p w14:paraId="3F3CADBA"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4 people</w:t>
                            </w:r>
                          </w:p>
                        </w:tc>
                        <w:tc>
                          <w:tcPr>
                            <w:tcW w:w="751" w:type="dxa"/>
                            <w:vMerge w:val="restart"/>
                            <w:tcBorders>
                              <w:top w:val="single" w:sz="8" w:space="0" w:color="AEAEAE"/>
                              <w:left w:val="nil"/>
                              <w:bottom w:val="nil"/>
                              <w:right w:val="nil"/>
                            </w:tcBorders>
                            <w:shd w:val="clear" w:color="auto" w:fill="E0E0E0"/>
                          </w:tcPr>
                          <w:p w14:paraId="15E189F2"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AEAEAE"/>
                              <w:left w:val="nil"/>
                              <w:bottom w:val="single" w:sz="8" w:space="0" w:color="AEAEAE"/>
                              <w:right w:val="nil"/>
                            </w:tcBorders>
                            <w:shd w:val="clear" w:color="auto" w:fill="E0E0E0"/>
                          </w:tcPr>
                          <w:p w14:paraId="0875C66F"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AEAEAE"/>
                              <w:left w:val="nil"/>
                              <w:bottom w:val="single" w:sz="8" w:space="0" w:color="AEAEAE"/>
                              <w:right w:val="single" w:sz="8" w:space="0" w:color="E0E0E0"/>
                            </w:tcBorders>
                            <w:shd w:val="clear" w:color="auto" w:fill="FFFFFF"/>
                          </w:tcPr>
                          <w:p w14:paraId="294A48A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1D2B8B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C0604B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DF013C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E33D30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6</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253442B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22</w:t>
                            </w:r>
                          </w:p>
                        </w:tc>
                        <w:tc>
                          <w:tcPr>
                            <w:tcW w:w="733" w:type="dxa"/>
                            <w:tcBorders>
                              <w:top w:val="single" w:sz="8" w:space="0" w:color="AEAEAE"/>
                              <w:left w:val="single" w:sz="8" w:space="0" w:color="E0E0E0"/>
                              <w:bottom w:val="single" w:sz="8" w:space="0" w:color="AEAEAE"/>
                              <w:right w:val="nil"/>
                            </w:tcBorders>
                            <w:shd w:val="clear" w:color="auto" w:fill="FFFFFF"/>
                          </w:tcPr>
                          <w:p w14:paraId="60F0016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56</w:t>
                            </w:r>
                          </w:p>
                        </w:tc>
                      </w:tr>
                      <w:tr w:rsidR="00A56EB4" w:rsidRPr="00874297" w14:paraId="70F081E1" w14:textId="77777777" w:rsidTr="006A44BB">
                        <w:trPr>
                          <w:cantSplit/>
                          <w:trHeight w:val="332"/>
                        </w:trPr>
                        <w:tc>
                          <w:tcPr>
                            <w:tcW w:w="809" w:type="dxa"/>
                            <w:vMerge/>
                            <w:tcBorders>
                              <w:top w:val="single" w:sz="8" w:space="0" w:color="AEAEAE"/>
                              <w:left w:val="nil"/>
                              <w:bottom w:val="nil"/>
                              <w:right w:val="nil"/>
                            </w:tcBorders>
                            <w:shd w:val="clear" w:color="auto" w:fill="E0E0E0"/>
                          </w:tcPr>
                          <w:p w14:paraId="1216231A"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764D62F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11DA0190"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737A996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415BBEB6"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7B0323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3D84647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48</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B0F117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36</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2C1D826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93</w:t>
                            </w:r>
                          </w:p>
                        </w:tc>
                        <w:tc>
                          <w:tcPr>
                            <w:tcW w:w="733" w:type="dxa"/>
                            <w:tcBorders>
                              <w:top w:val="single" w:sz="8" w:space="0" w:color="AEAEAE"/>
                              <w:left w:val="single" w:sz="8" w:space="0" w:color="E0E0E0"/>
                              <w:bottom w:val="single" w:sz="8" w:space="0" w:color="AEAEAE"/>
                              <w:right w:val="nil"/>
                            </w:tcBorders>
                            <w:shd w:val="clear" w:color="auto" w:fill="FFFFFF"/>
                          </w:tcPr>
                          <w:p w14:paraId="031FAB0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306</w:t>
                            </w:r>
                          </w:p>
                        </w:tc>
                      </w:tr>
                      <w:tr w:rsidR="00A56EB4" w:rsidRPr="00874297" w14:paraId="4D27BEA9" w14:textId="77777777" w:rsidTr="006A44BB">
                        <w:trPr>
                          <w:cantSplit/>
                          <w:trHeight w:val="332"/>
                        </w:trPr>
                        <w:tc>
                          <w:tcPr>
                            <w:tcW w:w="809" w:type="dxa"/>
                            <w:vMerge/>
                            <w:tcBorders>
                              <w:top w:val="single" w:sz="8" w:space="0" w:color="AEAEAE"/>
                              <w:left w:val="nil"/>
                              <w:bottom w:val="nil"/>
                              <w:right w:val="nil"/>
                            </w:tcBorders>
                            <w:shd w:val="clear" w:color="auto" w:fill="E0E0E0"/>
                          </w:tcPr>
                          <w:p w14:paraId="55B3953E"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657149B5"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46258AF5"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2950A98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294</w:t>
                            </w:r>
                          </w:p>
                        </w:tc>
                        <w:tc>
                          <w:tcPr>
                            <w:tcW w:w="1050" w:type="dxa"/>
                            <w:tcBorders>
                              <w:top w:val="single" w:sz="8" w:space="0" w:color="AEAEAE"/>
                              <w:left w:val="single" w:sz="8" w:space="0" w:color="E0E0E0"/>
                              <w:bottom w:val="nil"/>
                              <w:right w:val="single" w:sz="8" w:space="0" w:color="E0E0E0"/>
                            </w:tcBorders>
                            <w:shd w:val="clear" w:color="auto" w:fill="FFFFFF"/>
                          </w:tcPr>
                          <w:p w14:paraId="16856A2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240</w:t>
                            </w:r>
                          </w:p>
                        </w:tc>
                        <w:tc>
                          <w:tcPr>
                            <w:tcW w:w="1050" w:type="dxa"/>
                            <w:tcBorders>
                              <w:top w:val="single" w:sz="8" w:space="0" w:color="AEAEAE"/>
                              <w:left w:val="single" w:sz="8" w:space="0" w:color="E0E0E0"/>
                              <w:bottom w:val="nil"/>
                              <w:right w:val="single" w:sz="8" w:space="0" w:color="E0E0E0"/>
                            </w:tcBorders>
                            <w:shd w:val="clear" w:color="auto" w:fill="FFFFFF"/>
                          </w:tcPr>
                          <w:p w14:paraId="1747260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278</w:t>
                            </w:r>
                          </w:p>
                        </w:tc>
                        <w:tc>
                          <w:tcPr>
                            <w:tcW w:w="1050" w:type="dxa"/>
                            <w:tcBorders>
                              <w:top w:val="single" w:sz="8" w:space="0" w:color="AEAEAE"/>
                              <w:left w:val="single" w:sz="8" w:space="0" w:color="E0E0E0"/>
                              <w:bottom w:val="nil"/>
                              <w:right w:val="single" w:sz="8" w:space="0" w:color="E0E0E0"/>
                            </w:tcBorders>
                            <w:shd w:val="clear" w:color="auto" w:fill="FFFFFF"/>
                          </w:tcPr>
                          <w:p w14:paraId="1F8AA0A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296</w:t>
                            </w:r>
                          </w:p>
                        </w:tc>
                        <w:tc>
                          <w:tcPr>
                            <w:tcW w:w="1050" w:type="dxa"/>
                            <w:tcBorders>
                              <w:top w:val="single" w:sz="8" w:space="0" w:color="AEAEAE"/>
                              <w:left w:val="single" w:sz="8" w:space="0" w:color="E0E0E0"/>
                              <w:bottom w:val="nil"/>
                              <w:right w:val="single" w:sz="8" w:space="0" w:color="E0E0E0"/>
                            </w:tcBorders>
                            <w:shd w:val="clear" w:color="auto" w:fill="FFFFFF"/>
                          </w:tcPr>
                          <w:p w14:paraId="2442E74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272</w:t>
                            </w:r>
                          </w:p>
                        </w:tc>
                        <w:tc>
                          <w:tcPr>
                            <w:tcW w:w="778" w:type="dxa"/>
                            <w:tcBorders>
                              <w:top w:val="single" w:sz="8" w:space="0" w:color="AEAEAE"/>
                              <w:left w:val="single" w:sz="8" w:space="0" w:color="E0E0E0"/>
                              <w:bottom w:val="nil"/>
                              <w:right w:val="single" w:sz="8" w:space="0" w:color="E0E0E0"/>
                            </w:tcBorders>
                            <w:shd w:val="clear" w:color="auto" w:fill="FFFFFF"/>
                          </w:tcPr>
                          <w:p w14:paraId="35AFBE93"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1073</w:t>
                            </w:r>
                          </w:p>
                        </w:tc>
                        <w:tc>
                          <w:tcPr>
                            <w:tcW w:w="733" w:type="dxa"/>
                            <w:tcBorders>
                              <w:top w:val="single" w:sz="8" w:space="0" w:color="AEAEAE"/>
                              <w:left w:val="single" w:sz="8" w:space="0" w:color="E0E0E0"/>
                              <w:bottom w:val="nil"/>
                              <w:right w:val="nil"/>
                            </w:tcBorders>
                            <w:shd w:val="clear" w:color="auto" w:fill="FFFFFF"/>
                          </w:tcPr>
                          <w:p w14:paraId="322EEC30"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2453</w:t>
                            </w:r>
                          </w:p>
                        </w:tc>
                      </w:tr>
                      <w:tr w:rsidR="00A56EB4" w:rsidRPr="00874297" w14:paraId="41CC10BB" w14:textId="77777777" w:rsidTr="006A44BB">
                        <w:trPr>
                          <w:cantSplit/>
                          <w:trHeight w:val="303"/>
                        </w:trPr>
                        <w:tc>
                          <w:tcPr>
                            <w:tcW w:w="809" w:type="dxa"/>
                            <w:vMerge/>
                            <w:tcBorders>
                              <w:top w:val="single" w:sz="8" w:space="0" w:color="AEAEAE"/>
                              <w:left w:val="nil"/>
                              <w:bottom w:val="nil"/>
                              <w:right w:val="nil"/>
                            </w:tcBorders>
                            <w:shd w:val="clear" w:color="auto" w:fill="E0E0E0"/>
                          </w:tcPr>
                          <w:p w14:paraId="08CA2F57"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4F86DD31"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03E090A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351</w:t>
                            </w:r>
                          </w:p>
                        </w:tc>
                        <w:tc>
                          <w:tcPr>
                            <w:tcW w:w="1050" w:type="dxa"/>
                            <w:tcBorders>
                              <w:top w:val="single" w:sz="8" w:space="0" w:color="AEAEAE"/>
                              <w:left w:val="single" w:sz="8" w:space="0" w:color="E0E0E0"/>
                              <w:bottom w:val="nil"/>
                              <w:right w:val="single" w:sz="8" w:space="0" w:color="E0E0E0"/>
                            </w:tcBorders>
                            <w:shd w:val="clear" w:color="auto" w:fill="FFFFFF"/>
                          </w:tcPr>
                          <w:p w14:paraId="591AD13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290</w:t>
                            </w:r>
                          </w:p>
                        </w:tc>
                        <w:tc>
                          <w:tcPr>
                            <w:tcW w:w="1050" w:type="dxa"/>
                            <w:tcBorders>
                              <w:top w:val="single" w:sz="8" w:space="0" w:color="AEAEAE"/>
                              <w:left w:val="single" w:sz="8" w:space="0" w:color="E0E0E0"/>
                              <w:bottom w:val="nil"/>
                              <w:right w:val="single" w:sz="8" w:space="0" w:color="E0E0E0"/>
                            </w:tcBorders>
                            <w:shd w:val="clear" w:color="auto" w:fill="FFFFFF"/>
                          </w:tcPr>
                          <w:p w14:paraId="74D9877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326</w:t>
                            </w:r>
                          </w:p>
                        </w:tc>
                        <w:tc>
                          <w:tcPr>
                            <w:tcW w:w="1050" w:type="dxa"/>
                            <w:tcBorders>
                              <w:top w:val="single" w:sz="8" w:space="0" w:color="AEAEAE"/>
                              <w:left w:val="single" w:sz="8" w:space="0" w:color="E0E0E0"/>
                              <w:bottom w:val="nil"/>
                              <w:right w:val="single" w:sz="8" w:space="0" w:color="E0E0E0"/>
                            </w:tcBorders>
                            <w:shd w:val="clear" w:color="auto" w:fill="FFFFFF"/>
                          </w:tcPr>
                          <w:p w14:paraId="582FDC6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346</w:t>
                            </w:r>
                          </w:p>
                        </w:tc>
                        <w:tc>
                          <w:tcPr>
                            <w:tcW w:w="1050" w:type="dxa"/>
                            <w:tcBorders>
                              <w:top w:val="single" w:sz="8" w:space="0" w:color="AEAEAE"/>
                              <w:left w:val="single" w:sz="8" w:space="0" w:color="E0E0E0"/>
                              <w:bottom w:val="nil"/>
                              <w:right w:val="single" w:sz="8" w:space="0" w:color="E0E0E0"/>
                            </w:tcBorders>
                            <w:shd w:val="clear" w:color="auto" w:fill="FFFFFF"/>
                          </w:tcPr>
                          <w:p w14:paraId="3F27C13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314</w:t>
                            </w:r>
                          </w:p>
                        </w:tc>
                        <w:tc>
                          <w:tcPr>
                            <w:tcW w:w="778" w:type="dxa"/>
                            <w:tcBorders>
                              <w:top w:val="single" w:sz="8" w:space="0" w:color="AEAEAE"/>
                              <w:left w:val="single" w:sz="8" w:space="0" w:color="E0E0E0"/>
                              <w:bottom w:val="nil"/>
                              <w:right w:val="single" w:sz="8" w:space="0" w:color="E0E0E0"/>
                            </w:tcBorders>
                            <w:shd w:val="clear" w:color="auto" w:fill="FFFFFF"/>
                          </w:tcPr>
                          <w:p w14:paraId="732C851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1188</w:t>
                            </w:r>
                          </w:p>
                        </w:tc>
                        <w:tc>
                          <w:tcPr>
                            <w:tcW w:w="733" w:type="dxa"/>
                            <w:tcBorders>
                              <w:top w:val="single" w:sz="8" w:space="0" w:color="AEAEAE"/>
                              <w:left w:val="single" w:sz="8" w:space="0" w:color="E0E0E0"/>
                              <w:bottom w:val="nil"/>
                              <w:right w:val="nil"/>
                            </w:tcBorders>
                            <w:shd w:val="clear" w:color="auto" w:fill="FFFFFF"/>
                          </w:tcPr>
                          <w:p w14:paraId="0DF9C37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2815</w:t>
                            </w:r>
                          </w:p>
                        </w:tc>
                      </w:tr>
                      <w:tr w:rsidR="00A56EB4" w:rsidRPr="00874297" w14:paraId="38C17B1C" w14:textId="77777777" w:rsidTr="006A44BB">
                        <w:trPr>
                          <w:cantSplit/>
                          <w:trHeight w:val="303"/>
                        </w:trPr>
                        <w:tc>
                          <w:tcPr>
                            <w:tcW w:w="809" w:type="dxa"/>
                            <w:vMerge w:val="restart"/>
                            <w:tcBorders>
                              <w:top w:val="single" w:sz="8" w:space="0" w:color="AEAEAE"/>
                              <w:left w:val="nil"/>
                              <w:bottom w:val="nil"/>
                              <w:right w:val="nil"/>
                            </w:tcBorders>
                            <w:shd w:val="clear" w:color="auto" w:fill="E0E0E0"/>
                          </w:tcPr>
                          <w:p w14:paraId="4CAABCBC"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5 people</w:t>
                            </w:r>
                          </w:p>
                        </w:tc>
                        <w:tc>
                          <w:tcPr>
                            <w:tcW w:w="751" w:type="dxa"/>
                            <w:vMerge w:val="restart"/>
                            <w:tcBorders>
                              <w:top w:val="single" w:sz="8" w:space="0" w:color="AEAEAE"/>
                              <w:left w:val="nil"/>
                              <w:bottom w:val="nil"/>
                              <w:right w:val="nil"/>
                            </w:tcBorders>
                            <w:shd w:val="clear" w:color="auto" w:fill="E0E0E0"/>
                          </w:tcPr>
                          <w:p w14:paraId="4D175A3A"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p>
                        </w:tc>
                        <w:tc>
                          <w:tcPr>
                            <w:tcW w:w="1196" w:type="dxa"/>
                            <w:tcBorders>
                              <w:top w:val="single" w:sz="8" w:space="0" w:color="AEAEAE"/>
                              <w:left w:val="nil"/>
                              <w:bottom w:val="single" w:sz="8" w:space="0" w:color="AEAEAE"/>
                              <w:right w:val="nil"/>
                            </w:tcBorders>
                            <w:shd w:val="clear" w:color="auto" w:fill="E0E0E0"/>
                          </w:tcPr>
                          <w:p w14:paraId="13ED4C6C"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Indigenous</w:t>
                            </w:r>
                          </w:p>
                        </w:tc>
                        <w:tc>
                          <w:tcPr>
                            <w:tcW w:w="809" w:type="dxa"/>
                            <w:tcBorders>
                              <w:top w:val="single" w:sz="8" w:space="0" w:color="AEAEAE"/>
                              <w:left w:val="nil"/>
                              <w:bottom w:val="single" w:sz="8" w:space="0" w:color="AEAEAE"/>
                              <w:right w:val="single" w:sz="8" w:space="0" w:color="E0E0E0"/>
                            </w:tcBorders>
                            <w:shd w:val="clear" w:color="auto" w:fill="FFFFFF"/>
                          </w:tcPr>
                          <w:p w14:paraId="11998D8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4AD8042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5C254E1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E32ED4E"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22C68E5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364FAAF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w:t>
                            </w:r>
                          </w:p>
                        </w:tc>
                        <w:tc>
                          <w:tcPr>
                            <w:tcW w:w="733" w:type="dxa"/>
                            <w:tcBorders>
                              <w:top w:val="single" w:sz="8" w:space="0" w:color="AEAEAE"/>
                              <w:left w:val="single" w:sz="8" w:space="0" w:color="E0E0E0"/>
                              <w:bottom w:val="single" w:sz="8" w:space="0" w:color="AEAEAE"/>
                              <w:right w:val="nil"/>
                            </w:tcBorders>
                            <w:shd w:val="clear" w:color="auto" w:fill="FFFFFF"/>
                          </w:tcPr>
                          <w:p w14:paraId="295EE69A"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31</w:t>
                            </w:r>
                          </w:p>
                        </w:tc>
                      </w:tr>
                      <w:tr w:rsidR="00A56EB4" w:rsidRPr="00874297" w14:paraId="520956CD" w14:textId="77777777" w:rsidTr="006A44BB">
                        <w:trPr>
                          <w:cantSplit/>
                          <w:trHeight w:val="332"/>
                        </w:trPr>
                        <w:tc>
                          <w:tcPr>
                            <w:tcW w:w="809" w:type="dxa"/>
                            <w:vMerge/>
                            <w:tcBorders>
                              <w:top w:val="single" w:sz="8" w:space="0" w:color="AEAEAE"/>
                              <w:left w:val="nil"/>
                              <w:bottom w:val="nil"/>
                              <w:right w:val="nil"/>
                            </w:tcBorders>
                            <w:shd w:val="clear" w:color="auto" w:fill="E0E0E0"/>
                          </w:tcPr>
                          <w:p w14:paraId="719CC0DA"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259F69AD"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single" w:sz="8" w:space="0" w:color="AEAEAE"/>
                              <w:right w:val="nil"/>
                            </w:tcBorders>
                            <w:shd w:val="clear" w:color="auto" w:fill="E0E0E0"/>
                          </w:tcPr>
                          <w:p w14:paraId="6FA5DCB3"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Newcomer</w:t>
                            </w:r>
                          </w:p>
                        </w:tc>
                        <w:tc>
                          <w:tcPr>
                            <w:tcW w:w="809" w:type="dxa"/>
                            <w:tcBorders>
                              <w:top w:val="single" w:sz="8" w:space="0" w:color="AEAEAE"/>
                              <w:left w:val="nil"/>
                              <w:bottom w:val="single" w:sz="8" w:space="0" w:color="AEAEAE"/>
                              <w:right w:val="single" w:sz="8" w:space="0" w:color="E0E0E0"/>
                            </w:tcBorders>
                            <w:shd w:val="clear" w:color="auto" w:fill="FFFFFF"/>
                          </w:tcPr>
                          <w:p w14:paraId="4910AA7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32</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F68D01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19</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13036D3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26</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5821B5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17</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6B60C20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w:t>
                            </w:r>
                          </w:p>
                        </w:tc>
                        <w:tc>
                          <w:tcPr>
                            <w:tcW w:w="778" w:type="dxa"/>
                            <w:tcBorders>
                              <w:top w:val="single" w:sz="8" w:space="0" w:color="AEAEAE"/>
                              <w:left w:val="single" w:sz="8" w:space="0" w:color="E0E0E0"/>
                              <w:bottom w:val="single" w:sz="8" w:space="0" w:color="AEAEAE"/>
                              <w:right w:val="single" w:sz="8" w:space="0" w:color="E0E0E0"/>
                            </w:tcBorders>
                            <w:shd w:val="clear" w:color="auto" w:fill="FFFFFF"/>
                          </w:tcPr>
                          <w:p w14:paraId="7A019C4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29</w:t>
                            </w:r>
                          </w:p>
                        </w:tc>
                        <w:tc>
                          <w:tcPr>
                            <w:tcW w:w="733" w:type="dxa"/>
                            <w:tcBorders>
                              <w:top w:val="single" w:sz="8" w:space="0" w:color="AEAEAE"/>
                              <w:left w:val="single" w:sz="8" w:space="0" w:color="E0E0E0"/>
                              <w:bottom w:val="single" w:sz="8" w:space="0" w:color="AEAEAE"/>
                              <w:right w:val="nil"/>
                            </w:tcBorders>
                            <w:shd w:val="clear" w:color="auto" w:fill="FFFFFF"/>
                          </w:tcPr>
                          <w:p w14:paraId="2AD5401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136</w:t>
                            </w:r>
                          </w:p>
                        </w:tc>
                      </w:tr>
                      <w:tr w:rsidR="00A56EB4" w:rsidRPr="00874297" w14:paraId="3F6E9679" w14:textId="77777777" w:rsidTr="006A44BB">
                        <w:trPr>
                          <w:cantSplit/>
                          <w:trHeight w:val="332"/>
                        </w:trPr>
                        <w:tc>
                          <w:tcPr>
                            <w:tcW w:w="809" w:type="dxa"/>
                            <w:vMerge/>
                            <w:tcBorders>
                              <w:top w:val="single" w:sz="8" w:space="0" w:color="AEAEAE"/>
                              <w:left w:val="nil"/>
                              <w:bottom w:val="nil"/>
                              <w:right w:val="nil"/>
                            </w:tcBorders>
                            <w:shd w:val="clear" w:color="auto" w:fill="E0E0E0"/>
                          </w:tcPr>
                          <w:p w14:paraId="4B53CE23"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751" w:type="dxa"/>
                            <w:vMerge/>
                            <w:tcBorders>
                              <w:top w:val="single" w:sz="8" w:space="0" w:color="AEAEAE"/>
                              <w:left w:val="nil"/>
                              <w:bottom w:val="nil"/>
                              <w:right w:val="nil"/>
                            </w:tcBorders>
                            <w:shd w:val="clear" w:color="auto" w:fill="E0E0E0"/>
                          </w:tcPr>
                          <w:p w14:paraId="6918027C"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196" w:type="dxa"/>
                            <w:tcBorders>
                              <w:top w:val="single" w:sz="8" w:space="0" w:color="AEAEAE"/>
                              <w:left w:val="nil"/>
                              <w:bottom w:val="nil"/>
                              <w:right w:val="nil"/>
                            </w:tcBorders>
                            <w:shd w:val="clear" w:color="auto" w:fill="E0E0E0"/>
                          </w:tcPr>
                          <w:p w14:paraId="59242CDB"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Neither</w:t>
                            </w:r>
                          </w:p>
                        </w:tc>
                        <w:tc>
                          <w:tcPr>
                            <w:tcW w:w="809" w:type="dxa"/>
                            <w:tcBorders>
                              <w:top w:val="single" w:sz="8" w:space="0" w:color="AEAEAE"/>
                              <w:left w:val="nil"/>
                              <w:bottom w:val="nil"/>
                              <w:right w:val="single" w:sz="8" w:space="0" w:color="E0E0E0"/>
                            </w:tcBorders>
                            <w:shd w:val="clear" w:color="auto" w:fill="FFFFFF"/>
                          </w:tcPr>
                          <w:p w14:paraId="5BD9B748"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127</w:t>
                            </w:r>
                          </w:p>
                        </w:tc>
                        <w:tc>
                          <w:tcPr>
                            <w:tcW w:w="1050" w:type="dxa"/>
                            <w:tcBorders>
                              <w:top w:val="single" w:sz="8" w:space="0" w:color="AEAEAE"/>
                              <w:left w:val="single" w:sz="8" w:space="0" w:color="E0E0E0"/>
                              <w:bottom w:val="nil"/>
                              <w:right w:val="single" w:sz="8" w:space="0" w:color="E0E0E0"/>
                            </w:tcBorders>
                            <w:shd w:val="clear" w:color="auto" w:fill="FFFFFF"/>
                          </w:tcPr>
                          <w:p w14:paraId="4A592A4F"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109</w:t>
                            </w:r>
                          </w:p>
                        </w:tc>
                        <w:tc>
                          <w:tcPr>
                            <w:tcW w:w="1050" w:type="dxa"/>
                            <w:tcBorders>
                              <w:top w:val="single" w:sz="8" w:space="0" w:color="AEAEAE"/>
                              <w:left w:val="single" w:sz="8" w:space="0" w:color="E0E0E0"/>
                              <w:bottom w:val="nil"/>
                              <w:right w:val="single" w:sz="8" w:space="0" w:color="E0E0E0"/>
                            </w:tcBorders>
                            <w:shd w:val="clear" w:color="auto" w:fill="FFFFFF"/>
                          </w:tcPr>
                          <w:p w14:paraId="59B8FAC7"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123</w:t>
                            </w:r>
                          </w:p>
                        </w:tc>
                        <w:tc>
                          <w:tcPr>
                            <w:tcW w:w="1050" w:type="dxa"/>
                            <w:tcBorders>
                              <w:top w:val="single" w:sz="8" w:space="0" w:color="AEAEAE"/>
                              <w:left w:val="single" w:sz="8" w:space="0" w:color="E0E0E0"/>
                              <w:bottom w:val="nil"/>
                              <w:right w:val="single" w:sz="8" w:space="0" w:color="E0E0E0"/>
                            </w:tcBorders>
                            <w:shd w:val="clear" w:color="auto" w:fill="FFFFFF"/>
                          </w:tcPr>
                          <w:p w14:paraId="28799B95"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134</w:t>
                            </w:r>
                          </w:p>
                        </w:tc>
                        <w:tc>
                          <w:tcPr>
                            <w:tcW w:w="1050" w:type="dxa"/>
                            <w:tcBorders>
                              <w:top w:val="single" w:sz="8" w:space="0" w:color="AEAEAE"/>
                              <w:left w:val="single" w:sz="8" w:space="0" w:color="E0E0E0"/>
                              <w:bottom w:val="nil"/>
                              <w:right w:val="single" w:sz="8" w:space="0" w:color="E0E0E0"/>
                            </w:tcBorders>
                            <w:shd w:val="clear" w:color="auto" w:fill="FFFFFF"/>
                          </w:tcPr>
                          <w:p w14:paraId="5C525D3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118</w:t>
                            </w:r>
                          </w:p>
                        </w:tc>
                        <w:tc>
                          <w:tcPr>
                            <w:tcW w:w="778" w:type="dxa"/>
                            <w:tcBorders>
                              <w:top w:val="single" w:sz="8" w:space="0" w:color="AEAEAE"/>
                              <w:left w:val="single" w:sz="8" w:space="0" w:color="E0E0E0"/>
                              <w:bottom w:val="nil"/>
                              <w:right w:val="single" w:sz="8" w:space="0" w:color="E0E0E0"/>
                            </w:tcBorders>
                            <w:shd w:val="clear" w:color="auto" w:fill="FFFFFF"/>
                          </w:tcPr>
                          <w:p w14:paraId="5ECE3E9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460</w:t>
                            </w:r>
                          </w:p>
                        </w:tc>
                        <w:tc>
                          <w:tcPr>
                            <w:tcW w:w="733" w:type="dxa"/>
                            <w:tcBorders>
                              <w:top w:val="single" w:sz="8" w:space="0" w:color="AEAEAE"/>
                              <w:left w:val="single" w:sz="8" w:space="0" w:color="E0E0E0"/>
                              <w:bottom w:val="nil"/>
                              <w:right w:val="nil"/>
                            </w:tcBorders>
                            <w:shd w:val="clear" w:color="auto" w:fill="FFFFFF"/>
                          </w:tcPr>
                          <w:p w14:paraId="294461F4"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1071</w:t>
                            </w:r>
                          </w:p>
                        </w:tc>
                      </w:tr>
                      <w:tr w:rsidR="00A56EB4" w:rsidRPr="00874297" w14:paraId="057FD0E5" w14:textId="77777777" w:rsidTr="006A44BB">
                        <w:trPr>
                          <w:cantSplit/>
                          <w:trHeight w:val="318"/>
                        </w:trPr>
                        <w:tc>
                          <w:tcPr>
                            <w:tcW w:w="809" w:type="dxa"/>
                            <w:vMerge/>
                            <w:tcBorders>
                              <w:top w:val="single" w:sz="8" w:space="0" w:color="AEAEAE"/>
                              <w:left w:val="nil"/>
                              <w:bottom w:val="nil"/>
                              <w:right w:val="nil"/>
                            </w:tcBorders>
                            <w:shd w:val="clear" w:color="auto" w:fill="E0E0E0"/>
                          </w:tcPr>
                          <w:p w14:paraId="108F68B7" w14:textId="77777777" w:rsidR="00A56EB4" w:rsidRPr="00874297" w:rsidRDefault="00A56EB4" w:rsidP="006A44BB">
                            <w:pPr>
                              <w:autoSpaceDE w:val="0"/>
                              <w:autoSpaceDN w:val="0"/>
                              <w:adjustRightInd w:val="0"/>
                              <w:spacing w:after="0" w:line="240" w:lineRule="auto"/>
                              <w:rPr>
                                <w:rFonts w:ascii="Arial" w:hAnsi="Arial" w:cs="Arial"/>
                                <w:color w:val="010205"/>
                                <w:sz w:val="18"/>
                                <w:szCs w:val="18"/>
                              </w:rPr>
                            </w:pPr>
                          </w:p>
                        </w:tc>
                        <w:tc>
                          <w:tcPr>
                            <w:tcW w:w="1947" w:type="dxa"/>
                            <w:gridSpan w:val="2"/>
                            <w:tcBorders>
                              <w:top w:val="single" w:sz="8" w:space="0" w:color="AEAEAE"/>
                              <w:left w:val="nil"/>
                              <w:bottom w:val="nil"/>
                              <w:right w:val="nil"/>
                            </w:tcBorders>
                            <w:shd w:val="clear" w:color="auto" w:fill="E0E0E0"/>
                          </w:tcPr>
                          <w:p w14:paraId="68B0F644" w14:textId="77777777" w:rsidR="00A56EB4" w:rsidRPr="00874297" w:rsidRDefault="00A56EB4" w:rsidP="006A44BB">
                            <w:pPr>
                              <w:autoSpaceDE w:val="0"/>
                              <w:autoSpaceDN w:val="0"/>
                              <w:adjustRightInd w:val="0"/>
                              <w:spacing w:after="0" w:line="320" w:lineRule="atLeast"/>
                              <w:ind w:left="60" w:right="60"/>
                              <w:rPr>
                                <w:rFonts w:ascii="Arial" w:hAnsi="Arial" w:cs="Arial"/>
                                <w:color w:val="264A60"/>
                                <w:sz w:val="18"/>
                                <w:szCs w:val="18"/>
                              </w:rPr>
                            </w:pPr>
                            <w:r w:rsidRPr="00874297">
                              <w:rPr>
                                <w:rFonts w:ascii="Arial" w:hAnsi="Arial" w:cs="Arial"/>
                                <w:color w:val="264A60"/>
                                <w:sz w:val="18"/>
                                <w:szCs w:val="18"/>
                              </w:rPr>
                              <w:t>Total</w:t>
                            </w:r>
                          </w:p>
                        </w:tc>
                        <w:tc>
                          <w:tcPr>
                            <w:tcW w:w="809" w:type="dxa"/>
                            <w:tcBorders>
                              <w:top w:val="single" w:sz="8" w:space="0" w:color="AEAEAE"/>
                              <w:left w:val="nil"/>
                              <w:bottom w:val="nil"/>
                              <w:right w:val="single" w:sz="8" w:space="0" w:color="E0E0E0"/>
                            </w:tcBorders>
                            <w:shd w:val="clear" w:color="auto" w:fill="FFFFFF"/>
                          </w:tcPr>
                          <w:p w14:paraId="67E47AF9"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165</w:t>
                            </w:r>
                          </w:p>
                        </w:tc>
                        <w:tc>
                          <w:tcPr>
                            <w:tcW w:w="1050" w:type="dxa"/>
                            <w:tcBorders>
                              <w:top w:val="single" w:sz="8" w:space="0" w:color="AEAEAE"/>
                              <w:left w:val="single" w:sz="8" w:space="0" w:color="E0E0E0"/>
                              <w:bottom w:val="nil"/>
                              <w:right w:val="single" w:sz="8" w:space="0" w:color="E0E0E0"/>
                            </w:tcBorders>
                            <w:shd w:val="clear" w:color="auto" w:fill="FFFFFF"/>
                          </w:tcPr>
                          <w:p w14:paraId="434E8E5B"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133</w:t>
                            </w:r>
                          </w:p>
                        </w:tc>
                        <w:tc>
                          <w:tcPr>
                            <w:tcW w:w="1050" w:type="dxa"/>
                            <w:tcBorders>
                              <w:top w:val="single" w:sz="8" w:space="0" w:color="AEAEAE"/>
                              <w:left w:val="single" w:sz="8" w:space="0" w:color="E0E0E0"/>
                              <w:bottom w:val="nil"/>
                              <w:right w:val="single" w:sz="8" w:space="0" w:color="E0E0E0"/>
                            </w:tcBorders>
                            <w:shd w:val="clear" w:color="auto" w:fill="FFFFFF"/>
                          </w:tcPr>
                          <w:p w14:paraId="37B8021D"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154</w:t>
                            </w:r>
                          </w:p>
                        </w:tc>
                        <w:tc>
                          <w:tcPr>
                            <w:tcW w:w="1050" w:type="dxa"/>
                            <w:tcBorders>
                              <w:top w:val="single" w:sz="8" w:space="0" w:color="AEAEAE"/>
                              <w:left w:val="single" w:sz="8" w:space="0" w:color="E0E0E0"/>
                              <w:bottom w:val="nil"/>
                              <w:right w:val="single" w:sz="8" w:space="0" w:color="E0E0E0"/>
                            </w:tcBorders>
                            <w:shd w:val="clear" w:color="auto" w:fill="FFFFFF"/>
                          </w:tcPr>
                          <w:p w14:paraId="2935F032"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152</w:t>
                            </w:r>
                          </w:p>
                        </w:tc>
                        <w:tc>
                          <w:tcPr>
                            <w:tcW w:w="1050" w:type="dxa"/>
                            <w:tcBorders>
                              <w:top w:val="single" w:sz="8" w:space="0" w:color="AEAEAE"/>
                              <w:left w:val="single" w:sz="8" w:space="0" w:color="E0E0E0"/>
                              <w:bottom w:val="nil"/>
                              <w:right w:val="single" w:sz="8" w:space="0" w:color="E0E0E0"/>
                            </w:tcBorders>
                            <w:shd w:val="clear" w:color="auto" w:fill="FFFFFF"/>
                          </w:tcPr>
                          <w:p w14:paraId="154C89F4"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134</w:t>
                            </w:r>
                          </w:p>
                        </w:tc>
                        <w:tc>
                          <w:tcPr>
                            <w:tcW w:w="778" w:type="dxa"/>
                            <w:tcBorders>
                              <w:top w:val="single" w:sz="8" w:space="0" w:color="AEAEAE"/>
                              <w:left w:val="single" w:sz="8" w:space="0" w:color="E0E0E0"/>
                              <w:bottom w:val="nil"/>
                              <w:right w:val="single" w:sz="8" w:space="0" w:color="E0E0E0"/>
                            </w:tcBorders>
                            <w:shd w:val="clear" w:color="auto" w:fill="FFFFFF"/>
                          </w:tcPr>
                          <w:p w14:paraId="34551CAC"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500</w:t>
                            </w:r>
                          </w:p>
                        </w:tc>
                        <w:tc>
                          <w:tcPr>
                            <w:tcW w:w="733" w:type="dxa"/>
                            <w:tcBorders>
                              <w:top w:val="single" w:sz="8" w:space="0" w:color="AEAEAE"/>
                              <w:left w:val="single" w:sz="8" w:space="0" w:color="E0E0E0"/>
                              <w:bottom w:val="nil"/>
                              <w:right w:val="nil"/>
                            </w:tcBorders>
                            <w:shd w:val="clear" w:color="auto" w:fill="FFFFFF"/>
                          </w:tcPr>
                          <w:p w14:paraId="4039D3D1" w14:textId="77777777" w:rsidR="00A56EB4" w:rsidRPr="00874297" w:rsidRDefault="00A56EB4" w:rsidP="006A44BB">
                            <w:pPr>
                              <w:autoSpaceDE w:val="0"/>
                              <w:autoSpaceDN w:val="0"/>
                              <w:adjustRightInd w:val="0"/>
                              <w:spacing w:after="0" w:line="320" w:lineRule="atLeast"/>
                              <w:ind w:left="60" w:right="60"/>
                              <w:jc w:val="right"/>
                              <w:rPr>
                                <w:rFonts w:ascii="Arial" w:hAnsi="Arial" w:cs="Arial"/>
                                <w:color w:val="010205"/>
                                <w:sz w:val="18"/>
                                <w:szCs w:val="18"/>
                              </w:rPr>
                            </w:pPr>
                            <w:r w:rsidRPr="00874297">
                              <w:rPr>
                                <w:rFonts w:ascii="Arial" w:hAnsi="Arial" w:cs="Arial"/>
                                <w:color w:val="010205"/>
                                <w:sz w:val="18"/>
                                <w:szCs w:val="18"/>
                              </w:rPr>
                              <w:t>1238</w:t>
                            </w:r>
                          </w:p>
                        </w:tc>
                      </w:tr>
                    </w:tbl>
                    <w:p w14:paraId="6840907D" w14:textId="35FD89A0" w:rsidR="00A56EB4" w:rsidRPr="00735513" w:rsidRDefault="00A56EB4" w:rsidP="006A44BB">
                      <w:pPr>
                        <w:pStyle w:val="Caption"/>
                      </w:pPr>
                    </w:p>
                  </w:txbxContent>
                </v:textbox>
                <w10:wrap type="tight" anchorx="margin"/>
              </v:shape>
            </w:pict>
          </mc:Fallback>
        </mc:AlternateContent>
      </w:r>
      <w:r w:rsidR="006A44BB" w:rsidRPr="00735513">
        <w:t xml:space="preserve">. </w:t>
      </w:r>
    </w:p>
    <w:p w14:paraId="3647E208" w14:textId="5C7BD1E4" w:rsidR="005775EF" w:rsidRDefault="005775EF" w:rsidP="009A2DD0">
      <w:pPr>
        <w:pStyle w:val="NoSpacing"/>
      </w:pPr>
      <w:r w:rsidRPr="006A44BB">
        <w:rPr>
          <w:noProof/>
          <w:lang w:val="en-US"/>
        </w:rPr>
        <mc:AlternateContent>
          <mc:Choice Requires="wps">
            <w:drawing>
              <wp:anchor distT="0" distB="0" distL="114300" distR="114300" simplePos="0" relativeHeight="254652928" behindDoc="1" locked="0" layoutInCell="1" allowOverlap="1" wp14:anchorId="002D3DA2" wp14:editId="3469E449">
                <wp:simplePos x="0" y="0"/>
                <wp:positionH relativeFrom="margin">
                  <wp:posOffset>139700</wp:posOffset>
                </wp:positionH>
                <wp:positionV relativeFrom="page">
                  <wp:posOffset>7060375</wp:posOffset>
                </wp:positionV>
                <wp:extent cx="5575300" cy="431800"/>
                <wp:effectExtent l="0" t="0" r="6350" b="6350"/>
                <wp:wrapTight wrapText="bothSides">
                  <wp:wrapPolygon edited="0">
                    <wp:start x="0" y="0"/>
                    <wp:lineTo x="0" y="20965"/>
                    <wp:lineTo x="21551" y="20965"/>
                    <wp:lineTo x="21551"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5575300" cy="431800"/>
                        </a:xfrm>
                        <a:prstGeom prst="rect">
                          <a:avLst/>
                        </a:prstGeom>
                        <a:solidFill>
                          <a:prstClr val="white"/>
                        </a:solidFill>
                        <a:ln>
                          <a:noFill/>
                        </a:ln>
                      </wps:spPr>
                      <wps:txbx>
                        <w:txbxContent>
                          <w:p w14:paraId="2FE76B1C" w14:textId="73E13FED" w:rsidR="00A56EB4" w:rsidRPr="0063408E" w:rsidRDefault="00A56EB4" w:rsidP="006A44BB">
                            <w:pPr>
                              <w:pStyle w:val="Caption"/>
                            </w:pPr>
                            <w:r>
                              <w:rPr>
                                <w:b/>
                                <w:bCs/>
                              </w:rPr>
                              <w:t>Table 24</w:t>
                            </w:r>
                            <w:r w:rsidRPr="00B63B81">
                              <w:rPr>
                                <w:b/>
                                <w:bCs/>
                              </w:rPr>
                              <w:t>.</w:t>
                            </w:r>
                            <w:r>
                              <w:t xml:space="preserve"> Odds of Indigenous and newcomer attendees in Calgary’s Traffic Court, from January 2017-December 2018, living below the Market Basket Measure (MBM) value for Calgary, relative to attendees without minority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3DA2" id="Text Box 210" o:spid="_x0000_s1127" type="#_x0000_t202" style="position:absolute;margin-left:11pt;margin-top:555.95pt;width:439pt;height:34pt;z-index:-248663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" stroked="f">
                <v:textbox inset="0,0,0,0">
                  <w:txbxContent>
                    <w:p w14:paraId="2FE76B1C" w14:textId="73E13FED" w:rsidR="00A56EB4" w:rsidRPr="0063408E" w:rsidRDefault="00A56EB4" w:rsidP="006A44BB">
                      <w:pPr>
                        <w:pStyle w:val="Caption"/>
                      </w:pPr>
                      <w:r>
                        <w:rPr>
                          <w:b/>
                          <w:bCs/>
                        </w:rPr>
                        <w:t>Table 24</w:t>
                      </w:r>
                      <w:r w:rsidRPr="00B63B81">
                        <w:rPr>
                          <w:b/>
                          <w:bCs/>
                        </w:rPr>
                        <w:t>.</w:t>
                      </w:r>
                      <w:r>
                        <w:t xml:space="preserve"> Odds of Indigenous and newcomer attendees in Calgary’s Traffic Court, from January 2017-December 2018, living below the Market Basket Measure (MBM) value for Calgary, relative to attendees without minority status.</w:t>
                      </w:r>
                    </w:p>
                  </w:txbxContent>
                </v:textbox>
                <w10:wrap type="tight" anchorx="margin" anchory="page"/>
              </v:shape>
            </w:pict>
          </mc:Fallback>
        </mc:AlternateContent>
      </w:r>
    </w:p>
    <w:p w14:paraId="513CB73E" w14:textId="7D90D19B" w:rsidR="005775EF" w:rsidRDefault="00E01A2D" w:rsidP="009A2DD0">
      <w:pPr>
        <w:pStyle w:val="NoSpacing"/>
      </w:pPr>
      <w:r w:rsidRPr="005775EF">
        <w:rPr>
          <w:noProof/>
          <w:lang w:val="en-US"/>
        </w:rPr>
        <w:drawing>
          <wp:anchor distT="0" distB="0" distL="114300" distR="114300" simplePos="0" relativeHeight="254685696" behindDoc="1" locked="0" layoutInCell="1" allowOverlap="1" wp14:anchorId="12794D9B" wp14:editId="5D678721">
            <wp:simplePos x="0" y="0"/>
            <wp:positionH relativeFrom="margin">
              <wp:posOffset>11875</wp:posOffset>
            </wp:positionH>
            <wp:positionV relativeFrom="page">
              <wp:posOffset>7352797</wp:posOffset>
            </wp:positionV>
            <wp:extent cx="5816600" cy="1949450"/>
            <wp:effectExtent l="0" t="0" r="0" b="0"/>
            <wp:wrapTight wrapText="bothSides">
              <wp:wrapPolygon edited="0">
                <wp:start x="283" y="2533"/>
                <wp:lineTo x="283" y="11609"/>
                <wp:lineTo x="920" y="13087"/>
                <wp:lineTo x="354" y="13720"/>
                <wp:lineTo x="354" y="15831"/>
                <wp:lineTo x="1839" y="16464"/>
                <wp:lineTo x="354" y="17308"/>
                <wp:lineTo x="354" y="19419"/>
                <wp:lineTo x="1698" y="19841"/>
                <wp:lineTo x="1698" y="20896"/>
                <wp:lineTo x="20940" y="21319"/>
                <wp:lineTo x="21223" y="21319"/>
                <wp:lineTo x="21223" y="2533"/>
                <wp:lineTo x="283" y="2533"/>
              </wp:wrapPolygon>
            </wp:wrapTight>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1660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77F48" w14:textId="5131C649" w:rsidR="005775EF" w:rsidRDefault="005775EF" w:rsidP="009A2DD0">
      <w:pPr>
        <w:pStyle w:val="NoSpacing"/>
      </w:pPr>
    </w:p>
    <w:p w14:paraId="22CA8888" w14:textId="77777777" w:rsidR="005775EF" w:rsidRDefault="005775EF" w:rsidP="009A2DD0">
      <w:pPr>
        <w:pStyle w:val="NoSpacing"/>
      </w:pPr>
    </w:p>
    <w:p w14:paraId="2E5E3E5C" w14:textId="77777777" w:rsidR="005775EF" w:rsidRDefault="005775EF" w:rsidP="009A2DD0">
      <w:pPr>
        <w:pStyle w:val="NoSpacing"/>
      </w:pPr>
    </w:p>
    <w:p w14:paraId="2683F7F6" w14:textId="77777777" w:rsidR="005775EF" w:rsidRDefault="005775EF" w:rsidP="009A2DD0">
      <w:pPr>
        <w:pStyle w:val="NoSpacing"/>
      </w:pPr>
    </w:p>
    <w:p w14:paraId="4E38501A" w14:textId="77777777" w:rsidR="005775EF" w:rsidRDefault="005775EF" w:rsidP="009A2DD0">
      <w:pPr>
        <w:pStyle w:val="NoSpacing"/>
      </w:pPr>
    </w:p>
    <w:p w14:paraId="1AFEA77C" w14:textId="77777777" w:rsidR="005775EF" w:rsidRDefault="005775EF" w:rsidP="009A2DD0">
      <w:pPr>
        <w:pStyle w:val="NoSpacing"/>
      </w:pPr>
    </w:p>
    <w:p w14:paraId="69DF8584" w14:textId="77777777" w:rsidR="005775EF" w:rsidRDefault="005775EF" w:rsidP="009A2DD0">
      <w:pPr>
        <w:pStyle w:val="NoSpacing"/>
      </w:pPr>
    </w:p>
    <w:p w14:paraId="33CC2BAC" w14:textId="1E8F6FBA" w:rsidR="005775EF" w:rsidRDefault="005775EF" w:rsidP="009A2DD0">
      <w:pPr>
        <w:pStyle w:val="NoSpacing"/>
      </w:pPr>
    </w:p>
    <w:p w14:paraId="7FBDEBBD" w14:textId="37C62783" w:rsidR="0053024E" w:rsidRDefault="0053024E" w:rsidP="009A2DD0">
      <w:pPr>
        <w:pStyle w:val="NoSpacing"/>
      </w:pPr>
    </w:p>
    <w:p w14:paraId="47E69E56" w14:textId="77777777" w:rsidR="00E01A2D" w:rsidRDefault="00E01A2D" w:rsidP="009A2DD0">
      <w:pPr>
        <w:pStyle w:val="NoSpacing"/>
      </w:pPr>
    </w:p>
    <w:p w14:paraId="7412F05B" w14:textId="159BC58D" w:rsidR="0053024E" w:rsidRDefault="0053024E" w:rsidP="009A2DD0">
      <w:pPr>
        <w:pStyle w:val="NoSpacing"/>
      </w:pPr>
    </w:p>
    <w:p w14:paraId="13F67AAE" w14:textId="77777777" w:rsidR="0053024E" w:rsidRDefault="0053024E" w:rsidP="009A2DD0">
      <w:pPr>
        <w:pStyle w:val="NoSpacing"/>
      </w:pPr>
    </w:p>
    <w:p w14:paraId="1D8154A1" w14:textId="3F121569" w:rsidR="009A2DD0" w:rsidRDefault="009A2DD0" w:rsidP="009A2DD0">
      <w:pPr>
        <w:pStyle w:val="NoSpacing"/>
      </w:pPr>
      <w:r>
        <w:lastRenderedPageBreak/>
        <w:t xml:space="preserve">It was observed that the majority of attendees (84.23%) indicated that they were part of an immediate family unit of four or fewer (Figure </w:t>
      </w:r>
      <w:r w:rsidR="00E371C0">
        <w:t>59</w:t>
      </w:r>
      <w:r>
        <w:t xml:space="preserve">). Beyond families of four, an inverse relationship is observed between family size and attendee count (Figure </w:t>
      </w:r>
      <w:r w:rsidR="00E371C0">
        <w:t>59)</w:t>
      </w:r>
      <w:r>
        <w:t xml:space="preserve">. </w:t>
      </w:r>
    </w:p>
    <w:p w14:paraId="05985EDC" w14:textId="77777777" w:rsidR="009A2DD0" w:rsidRDefault="009A2DD0" w:rsidP="009A2DD0">
      <w:pPr>
        <w:pStyle w:val="NoSpacing"/>
      </w:pPr>
    </w:p>
    <w:p w14:paraId="417BE481" w14:textId="1E3BAA1B" w:rsidR="009A2DD0" w:rsidRDefault="009A2DD0" w:rsidP="009A2DD0">
      <w:pPr>
        <w:pStyle w:val="NoSpacing"/>
      </w:pPr>
      <w:r>
        <w:t xml:space="preserve">Visually, there is a slight trend towards groups with minority status demonstrating a greater proportion of individuals with an annual household income of less than $15,000, and a lesser proportion with more than $55,0000, in contrast to individuals without minority status (Figure </w:t>
      </w:r>
      <w:r w:rsidR="00B450F1">
        <w:t>60</w:t>
      </w:r>
      <w:r>
        <w:t xml:space="preserve">, Table </w:t>
      </w:r>
      <w:r w:rsidR="00454012">
        <w:t>23</w:t>
      </w:r>
      <w:r>
        <w:t>). This observation is corroborated by the odds ratio values for Indigenous families’ annual household income, relative to families without minority status. The odds of Indigenous families of one to five members falling below the Market Basket Measure (</w:t>
      </w:r>
      <w:r w:rsidR="00917002">
        <w:t>MBM, Appendix 9.1; Statistics Canada, 2015</w:t>
      </w:r>
      <w:r>
        <w:t>) value for a living income in Calgary are 1.53X, 2.98X, 1.83X, 1.54X, and 1.34X that of non-Indigenous families of a comparable size, respectively (</w:t>
      </w:r>
      <w:r w:rsidR="00261BFC">
        <w:t>Table 24</w:t>
      </w:r>
      <w:r>
        <w:t>). Similarly, the odds of newcomer families of one to five members falling below the Market Basket Measure (</w:t>
      </w:r>
      <w:r w:rsidR="00917002">
        <w:t>MBM, Appendix 9.1; Statistics Canada, 2015</w:t>
      </w:r>
      <w:r>
        <w:t>) value for a living income in Calgary are 1.81X, 2.59X, 2.03X, 1.66X, and 2.62X that of non-Indigenous families of a comparable size, respectively (</w:t>
      </w:r>
      <w:r w:rsidR="00F96272">
        <w:t>Table 24</w:t>
      </w:r>
      <w:r>
        <w:t xml:space="preserve">). These values are artificially depressed, owing to limitations associated with data collection. Counts are derived from preestablished income categories (discrete variables), necessitating that categories inclusive of MBM values be excluded. This excludes families whose income falls marginally below the MBM values. Odds ratios have been related to a specific value, such that a group has ‘X odds of being below the appropriate MBM value by at least $Y’. For further information on the calculation and interpretation of these values, please see Appendix </w:t>
      </w:r>
      <w:r w:rsidR="00F96272">
        <w:t>9.2</w:t>
      </w:r>
      <w:r>
        <w:t xml:space="preserve">. </w:t>
      </w:r>
    </w:p>
    <w:p w14:paraId="58BC1889" w14:textId="173FBCEC" w:rsidR="0030034F" w:rsidRDefault="00D553F4" w:rsidP="009A2DD0">
      <w:pPr>
        <w:pStyle w:val="NoSpacing"/>
      </w:pPr>
      <w:r>
        <w:rPr>
          <w:noProof/>
          <w:lang w:val="en-US"/>
        </w:rPr>
        <w:drawing>
          <wp:anchor distT="0" distB="0" distL="114300" distR="114300" simplePos="0" relativeHeight="252026368" behindDoc="1" locked="0" layoutInCell="1" allowOverlap="1" wp14:anchorId="09F04CE6" wp14:editId="67B7E92F">
            <wp:simplePos x="0" y="0"/>
            <wp:positionH relativeFrom="margin">
              <wp:align>left</wp:align>
            </wp:positionH>
            <wp:positionV relativeFrom="page">
              <wp:posOffset>3962400</wp:posOffset>
            </wp:positionV>
            <wp:extent cx="4019550" cy="2874645"/>
            <wp:effectExtent l="0" t="0" r="0" b="1905"/>
            <wp:wrapTight wrapText="bothSides">
              <wp:wrapPolygon edited="0">
                <wp:start x="0" y="0"/>
                <wp:lineTo x="0" y="21471"/>
                <wp:lineTo x="21498" y="21471"/>
                <wp:lineTo x="21498"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7062" t="10346" r="7628" b="15158"/>
                    <a:stretch/>
                  </pic:blipFill>
                  <pic:spPr bwMode="auto">
                    <a:xfrm>
                      <a:off x="0" y="0"/>
                      <a:ext cx="4023100" cy="2877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67A27" w14:textId="063ACCDC" w:rsidR="0030034F" w:rsidRDefault="0030034F" w:rsidP="009A2DD0">
      <w:pPr>
        <w:pStyle w:val="NoSpacing"/>
      </w:pPr>
    </w:p>
    <w:p w14:paraId="34B01BC3" w14:textId="790ADB43" w:rsidR="00DD3002" w:rsidRDefault="00DD3002" w:rsidP="00DD3002">
      <w:pPr>
        <w:autoSpaceDE w:val="0"/>
        <w:autoSpaceDN w:val="0"/>
        <w:adjustRightInd w:val="0"/>
        <w:spacing w:after="0" w:line="240" w:lineRule="auto"/>
        <w:rPr>
          <w:rFonts w:ascii="Times New Roman" w:hAnsi="Times New Roman" w:cs="Times New Roman"/>
          <w:sz w:val="24"/>
          <w:szCs w:val="24"/>
        </w:rPr>
      </w:pPr>
    </w:p>
    <w:p w14:paraId="715EDFE9" w14:textId="308A8131" w:rsidR="00FA25AC" w:rsidRDefault="00D553F4" w:rsidP="00FA25AC">
      <w:pPr>
        <w:autoSpaceDE w:val="0"/>
        <w:autoSpaceDN w:val="0"/>
        <w:adjustRightInd w:val="0"/>
        <w:spacing w:after="0" w:line="240" w:lineRule="auto"/>
        <w:rPr>
          <w:rFonts w:ascii="Times New Roman" w:hAnsi="Times New Roman" w:cs="Times New Roman"/>
          <w:sz w:val="24"/>
          <w:szCs w:val="24"/>
        </w:rPr>
      </w:pPr>
      <w:r w:rsidRPr="00926579">
        <w:rPr>
          <w:noProof/>
          <w:lang w:val="en-US"/>
        </w:rPr>
        <mc:AlternateContent>
          <mc:Choice Requires="wps">
            <w:drawing>
              <wp:anchor distT="0" distB="0" distL="114300" distR="114300" simplePos="0" relativeHeight="252056064" behindDoc="1" locked="0" layoutInCell="1" allowOverlap="1" wp14:anchorId="1A77D525" wp14:editId="15799501">
                <wp:simplePos x="0" y="0"/>
                <wp:positionH relativeFrom="margin">
                  <wp:posOffset>161925</wp:posOffset>
                </wp:positionH>
                <wp:positionV relativeFrom="margin">
                  <wp:posOffset>6023618</wp:posOffset>
                </wp:positionV>
                <wp:extent cx="3759200" cy="673100"/>
                <wp:effectExtent l="0" t="0" r="0" b="0"/>
                <wp:wrapTight wrapText="bothSides">
                  <wp:wrapPolygon edited="0">
                    <wp:start x="0" y="0"/>
                    <wp:lineTo x="0" y="20785"/>
                    <wp:lineTo x="21454" y="20785"/>
                    <wp:lineTo x="21454" y="0"/>
                    <wp:lineTo x="0" y="0"/>
                  </wp:wrapPolygon>
                </wp:wrapTight>
                <wp:docPr id="531" name="Text Box 531"/>
                <wp:cNvGraphicFramePr/>
                <a:graphic xmlns:a="http://schemas.openxmlformats.org/drawingml/2006/main">
                  <a:graphicData uri="http://schemas.microsoft.com/office/word/2010/wordprocessingShape">
                    <wps:wsp>
                      <wps:cNvSpPr txBox="1"/>
                      <wps:spPr>
                        <a:xfrm>
                          <a:off x="0" y="0"/>
                          <a:ext cx="3759200" cy="673100"/>
                        </a:xfrm>
                        <a:prstGeom prst="rect">
                          <a:avLst/>
                        </a:prstGeom>
                        <a:solidFill>
                          <a:prstClr val="white"/>
                        </a:solidFill>
                        <a:ln>
                          <a:noFill/>
                        </a:ln>
                      </wps:spPr>
                      <wps:txbx>
                        <w:txbxContent>
                          <w:p w14:paraId="7AF2AB5D" w14:textId="75B0FDAF" w:rsidR="00A56EB4" w:rsidRPr="00701EC7" w:rsidRDefault="00A56EB4" w:rsidP="00D655EF">
                            <w:pPr>
                              <w:pStyle w:val="Caption"/>
                              <w:rPr>
                                <w:rFonts w:ascii="Times New Roman" w:hAnsi="Times New Roman" w:cs="Times New Roman"/>
                                <w:noProof/>
                                <w:sz w:val="24"/>
                                <w:szCs w:val="24"/>
                              </w:rPr>
                            </w:pPr>
                            <w:r w:rsidRPr="00B63B81">
                              <w:rPr>
                                <w:b/>
                                <w:bCs/>
                              </w:rPr>
                              <w:t xml:space="preserve">Figure </w:t>
                            </w:r>
                            <w:r>
                              <w:rPr>
                                <w:b/>
                                <w:bCs/>
                              </w:rPr>
                              <w:t>61</w:t>
                            </w:r>
                            <w:r w:rsidRPr="00B63B81">
                              <w:rPr>
                                <w:b/>
                                <w:bCs/>
                              </w:rPr>
                              <w:t>.</w:t>
                            </w:r>
                            <w:r>
                              <w:t xml:space="preserve"> A pie chart of the number of types of charges per individual as observed in Calgary’s Traffic Court between January 2017 and December 2018, from a sample size of 13,470. Slice size represents the relative proportion of respondents with a given number of charges. </w:t>
                            </w:r>
                          </w:p>
                          <w:p w14:paraId="4AA51295" w14:textId="77777777" w:rsidR="00A56EB4" w:rsidRPr="00572B34" w:rsidRDefault="00A56EB4" w:rsidP="00D655EF">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D525" id="Text Box 531" o:spid="_x0000_s1128" type="#_x0000_t202" style="position:absolute;margin-left:12.75pt;margin-top:474.3pt;width:296pt;height:53pt;z-index:-251260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" stroked="f">
                <v:textbox inset="0,0,0,0">
                  <w:txbxContent>
                    <w:p w14:paraId="7AF2AB5D" w14:textId="75B0FDAF" w:rsidR="00A56EB4" w:rsidRPr="00701EC7" w:rsidRDefault="00A56EB4" w:rsidP="00D655EF">
                      <w:pPr>
                        <w:pStyle w:val="Caption"/>
                        <w:rPr>
                          <w:rFonts w:ascii="Times New Roman" w:hAnsi="Times New Roman" w:cs="Times New Roman"/>
                          <w:noProof/>
                          <w:sz w:val="24"/>
                          <w:szCs w:val="24"/>
                        </w:rPr>
                      </w:pPr>
                      <w:r w:rsidRPr="00B63B81">
                        <w:rPr>
                          <w:b/>
                          <w:bCs/>
                        </w:rPr>
                        <w:t xml:space="preserve">Figure </w:t>
                      </w:r>
                      <w:r>
                        <w:rPr>
                          <w:b/>
                          <w:bCs/>
                        </w:rPr>
                        <w:t>61</w:t>
                      </w:r>
                      <w:r w:rsidRPr="00B63B81">
                        <w:rPr>
                          <w:b/>
                          <w:bCs/>
                        </w:rPr>
                        <w:t>.</w:t>
                      </w:r>
                      <w:r>
                        <w:t xml:space="preserve"> A pie chart of the number of types of charges per individual as observed in Calgary’s Traffic Court between January 2017 and December 2018, from a sample size of 13,470. Slice size represents the relative proportion of respondents with a given number of charges. </w:t>
                      </w:r>
                    </w:p>
                    <w:p w14:paraId="4AA51295" w14:textId="77777777" w:rsidR="00A56EB4" w:rsidRPr="00572B34" w:rsidRDefault="00A56EB4" w:rsidP="00D655EF">
                      <w:pPr>
                        <w:pStyle w:val="Caption"/>
                        <w:rPr>
                          <w:rFonts w:ascii="Times New Roman" w:hAnsi="Times New Roman" w:cs="Times New Roman"/>
                          <w:noProof/>
                          <w:sz w:val="24"/>
                          <w:szCs w:val="24"/>
                        </w:rPr>
                      </w:pPr>
                    </w:p>
                  </w:txbxContent>
                </v:textbox>
                <w10:wrap type="tight" anchorx="margin" anchory="margin"/>
              </v:shape>
            </w:pict>
          </mc:Fallback>
        </mc:AlternateContent>
      </w:r>
      <w:r w:rsidR="003C2DC6">
        <w:rPr>
          <w:rFonts w:ascii="Times New Roman" w:hAnsi="Times New Roman" w:cs="Times New Roman"/>
          <w:sz w:val="24"/>
          <w:szCs w:val="24"/>
        </w:rPr>
        <w:br w:type="textWrapping" w:clear="all"/>
      </w:r>
    </w:p>
    <w:p w14:paraId="182C4B8E" w14:textId="27BFA02D" w:rsidR="00BC49A2" w:rsidRDefault="00DC7615" w:rsidP="00BC49A2">
      <w:pPr>
        <w:autoSpaceDE w:val="0"/>
        <w:autoSpaceDN w:val="0"/>
        <w:adjustRightInd w:val="0"/>
        <w:spacing w:after="0" w:line="240" w:lineRule="auto"/>
        <w:rPr>
          <w:rFonts w:ascii="Times New Roman" w:hAnsi="Times New Roman" w:cs="Times New Roman"/>
          <w:sz w:val="24"/>
          <w:szCs w:val="24"/>
        </w:rPr>
      </w:pPr>
      <w:r w:rsidRPr="00D6386D">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4715392" behindDoc="1" locked="0" layoutInCell="1" allowOverlap="1" wp14:anchorId="4EAE87DA" wp14:editId="74561489">
                <wp:simplePos x="0" y="0"/>
                <wp:positionH relativeFrom="margin">
                  <wp:align>left</wp:align>
                </wp:positionH>
                <wp:positionV relativeFrom="page">
                  <wp:posOffset>4787900</wp:posOffset>
                </wp:positionV>
                <wp:extent cx="6870700" cy="762000"/>
                <wp:effectExtent l="0" t="0" r="6350" b="0"/>
                <wp:wrapTight wrapText="bothSides">
                  <wp:wrapPolygon edited="0">
                    <wp:start x="0" y="0"/>
                    <wp:lineTo x="0" y="21060"/>
                    <wp:lineTo x="21560" y="21060"/>
                    <wp:lineTo x="21560" y="0"/>
                    <wp:lineTo x="0" y="0"/>
                  </wp:wrapPolygon>
                </wp:wrapTight>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762000"/>
                        </a:xfrm>
                        <a:prstGeom prst="rect">
                          <a:avLst/>
                        </a:prstGeom>
                        <a:solidFill>
                          <a:srgbClr val="FFFFFF"/>
                        </a:solidFill>
                        <a:ln w="9525">
                          <a:noFill/>
                          <a:miter lim="800000"/>
                          <a:headEnd/>
                          <a:tailEnd/>
                        </a:ln>
                      </wps:spPr>
                      <wps:txbx>
                        <w:txbxContent>
                          <w:p w14:paraId="33F2AD5A" w14:textId="1CF9C826" w:rsidR="00A56EB4" w:rsidRPr="00391DDA" w:rsidRDefault="00A56EB4" w:rsidP="00D6386D">
                            <w:pPr>
                              <w:pStyle w:val="Caption"/>
                              <w:rPr>
                                <w:rFonts w:ascii="Times New Roman" w:hAnsi="Times New Roman" w:cs="Times New Roman"/>
                              </w:rPr>
                            </w:pPr>
                            <w:r w:rsidRPr="00391DDA">
                              <w:rPr>
                                <w:b/>
                                <w:bCs/>
                              </w:rPr>
                              <w:t xml:space="preserve">Figure </w:t>
                            </w:r>
                            <w:r>
                              <w:rPr>
                                <w:b/>
                                <w:bCs/>
                              </w:rPr>
                              <w:t>62</w:t>
                            </w:r>
                            <w:r w:rsidRPr="00391DDA">
                              <w:rPr>
                                <w:b/>
                                <w:bCs/>
                              </w:rPr>
                              <w:t>.</w:t>
                            </w:r>
                            <w:r w:rsidRPr="00391DDA">
                              <w:t xml:space="preserve"> A bar graph of</w:t>
                            </w:r>
                            <w:r>
                              <w:t xml:space="preserve"> the</w:t>
                            </w:r>
                            <w:r w:rsidRPr="00391DDA">
                              <w:t xml:space="preserve"> </w:t>
                            </w:r>
                            <w:r>
                              <w:t>frequency of the number of individual attendee charges, by minority status,</w:t>
                            </w:r>
                            <w:r w:rsidRPr="00391DDA">
                              <w:t xml:space="preserve"> as observed in Calgary’s </w:t>
                            </w:r>
                            <w:r>
                              <w:t>Traffic Court</w:t>
                            </w:r>
                            <w:r w:rsidRPr="00391DDA">
                              <w:t xml:space="preserve"> between January 2017 and December 201</w:t>
                            </w:r>
                            <w:r>
                              <w:t>8</w:t>
                            </w:r>
                            <w:r w:rsidRPr="00391DDA">
                              <w:t xml:space="preserve">, from a sample size of </w:t>
                            </w:r>
                            <w:r>
                              <w:t>14,349 (12,569 individuals without minority status, 363 Indigenous, and 1417 individuals who are newcomers).</w:t>
                            </w:r>
                            <w:r w:rsidRPr="00391DDA">
                              <w:t xml:space="preserve"> Bar height corresponds to the </w:t>
                            </w:r>
                            <w:r>
                              <w:t>percentage</w:t>
                            </w:r>
                            <w:r w:rsidRPr="00391DDA">
                              <w:t xml:space="preserve"> of respondents reporting a </w:t>
                            </w:r>
                            <w:r>
                              <w:t>given number of charges</w:t>
                            </w:r>
                            <w:r w:rsidRPr="00391DDA">
                              <w:t xml:space="preserve"> (y-axis), </w:t>
                            </w:r>
                            <w:r>
                              <w:t xml:space="preserve">against charge number (x-axis). Results are grouped by minority status. </w:t>
                            </w:r>
                          </w:p>
                          <w:p w14:paraId="2D0F93FB" w14:textId="4D8061B6" w:rsidR="00A56EB4" w:rsidRDefault="00A56E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E87DA" id="_x0000_s1129" type="#_x0000_t202" style="position:absolute;margin-left:0;margin-top:377pt;width:541pt;height:60pt;z-index:-24860108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" stroked="f">
                <v:textbox>
                  <w:txbxContent>
                    <w:p w14:paraId="33F2AD5A" w14:textId="1CF9C826" w:rsidR="00A56EB4" w:rsidRPr="00391DDA" w:rsidRDefault="00A56EB4" w:rsidP="00D6386D">
                      <w:pPr>
                        <w:pStyle w:val="Caption"/>
                        <w:rPr>
                          <w:rFonts w:ascii="Times New Roman" w:hAnsi="Times New Roman" w:cs="Times New Roman"/>
                        </w:rPr>
                      </w:pPr>
                      <w:r w:rsidRPr="00391DDA">
                        <w:rPr>
                          <w:b/>
                          <w:bCs/>
                        </w:rPr>
                        <w:t xml:space="preserve">Figure </w:t>
                      </w:r>
                      <w:r>
                        <w:rPr>
                          <w:b/>
                          <w:bCs/>
                        </w:rPr>
                        <w:t>62</w:t>
                      </w:r>
                      <w:r w:rsidRPr="00391DDA">
                        <w:rPr>
                          <w:b/>
                          <w:bCs/>
                        </w:rPr>
                        <w:t>.</w:t>
                      </w:r>
                      <w:r w:rsidRPr="00391DDA">
                        <w:t xml:space="preserve"> A bar graph of</w:t>
                      </w:r>
                      <w:r>
                        <w:t xml:space="preserve"> the</w:t>
                      </w:r>
                      <w:r w:rsidRPr="00391DDA">
                        <w:t xml:space="preserve"> </w:t>
                      </w:r>
                      <w:r>
                        <w:t>frequency of the number of individual attendee charges, by minority status,</w:t>
                      </w:r>
                      <w:r w:rsidRPr="00391DDA">
                        <w:t xml:space="preserve"> as observed in Calgary’s </w:t>
                      </w:r>
                      <w:r>
                        <w:t>Traffic Court</w:t>
                      </w:r>
                      <w:r w:rsidRPr="00391DDA">
                        <w:t xml:space="preserve"> between January 2017 and December 201</w:t>
                      </w:r>
                      <w:r>
                        <w:t>8</w:t>
                      </w:r>
                      <w:r w:rsidRPr="00391DDA">
                        <w:t xml:space="preserve">, from a sample size of </w:t>
                      </w:r>
                      <w:r>
                        <w:t>14,349 (12,569 individuals without minority status, 363 Indigenous, and 1417 individuals who are newcomers).</w:t>
                      </w:r>
                      <w:r w:rsidRPr="00391DDA">
                        <w:t xml:space="preserve"> Bar height corresponds to the </w:t>
                      </w:r>
                      <w:r>
                        <w:t>percentage</w:t>
                      </w:r>
                      <w:r w:rsidRPr="00391DDA">
                        <w:t xml:space="preserve"> of respondents reporting a </w:t>
                      </w:r>
                      <w:r>
                        <w:t>given number of charges</w:t>
                      </w:r>
                      <w:r w:rsidRPr="00391DDA">
                        <w:t xml:space="preserve"> (y-axis), </w:t>
                      </w:r>
                      <w:r>
                        <w:t xml:space="preserve">against charge number (x-axis). Results are grouped by minority status. </w:t>
                      </w:r>
                    </w:p>
                    <w:p w14:paraId="2D0F93FB" w14:textId="4D8061B6" w:rsidR="00A56EB4" w:rsidRDefault="00A56EB4"/>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4745088" behindDoc="1" locked="0" layoutInCell="1" allowOverlap="1" wp14:anchorId="3979FEAF" wp14:editId="255ECF6C">
            <wp:simplePos x="0" y="0"/>
            <wp:positionH relativeFrom="column">
              <wp:posOffset>0</wp:posOffset>
            </wp:positionH>
            <wp:positionV relativeFrom="page">
              <wp:posOffset>863600</wp:posOffset>
            </wp:positionV>
            <wp:extent cx="6845300" cy="3911600"/>
            <wp:effectExtent l="0" t="0" r="0" b="0"/>
            <wp:wrapTight wrapText="bothSides">
              <wp:wrapPolygon edited="0">
                <wp:start x="0" y="0"/>
                <wp:lineTo x="0" y="21460"/>
                <wp:lineTo x="21520" y="21460"/>
                <wp:lineTo x="21520"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7">
                      <a:extLst>
                        <a:ext uri="{28A0092B-C50C-407E-A947-70E740481C1C}">
                          <a14:useLocalDpi xmlns:a14="http://schemas.microsoft.com/office/drawing/2010/main" val="0"/>
                        </a:ext>
                      </a:extLst>
                    </a:blip>
                    <a:srcRect b="2839"/>
                    <a:stretch/>
                  </pic:blipFill>
                  <pic:spPr bwMode="auto">
                    <a:xfrm>
                      <a:off x="0" y="0"/>
                      <a:ext cx="6845300" cy="3911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D92C3A" w14:textId="05F672D8" w:rsidR="00B26D8C" w:rsidRDefault="00B26D8C" w:rsidP="00B26D8C">
      <w:pPr>
        <w:autoSpaceDE w:val="0"/>
        <w:autoSpaceDN w:val="0"/>
        <w:adjustRightInd w:val="0"/>
        <w:spacing w:after="0" w:line="240" w:lineRule="auto"/>
        <w:rPr>
          <w:rFonts w:ascii="Times New Roman" w:hAnsi="Times New Roman" w:cs="Times New Roman"/>
          <w:sz w:val="24"/>
          <w:szCs w:val="24"/>
        </w:rPr>
      </w:pPr>
    </w:p>
    <w:p w14:paraId="2E828556" w14:textId="4AF0CF4C" w:rsidR="00B26D8C" w:rsidRDefault="00B26D8C" w:rsidP="00B26D8C">
      <w:pPr>
        <w:autoSpaceDE w:val="0"/>
        <w:autoSpaceDN w:val="0"/>
        <w:adjustRightInd w:val="0"/>
        <w:spacing w:after="0" w:line="240" w:lineRule="auto"/>
        <w:rPr>
          <w:rFonts w:ascii="Times New Roman" w:hAnsi="Times New Roman" w:cs="Times New Roman"/>
          <w:sz w:val="24"/>
          <w:szCs w:val="24"/>
        </w:rPr>
      </w:pPr>
    </w:p>
    <w:p w14:paraId="60420D08" w14:textId="6DF7FC03" w:rsidR="00B26D8C" w:rsidRDefault="00B26D8C" w:rsidP="00B26D8C">
      <w:pPr>
        <w:autoSpaceDE w:val="0"/>
        <w:autoSpaceDN w:val="0"/>
        <w:adjustRightInd w:val="0"/>
        <w:spacing w:after="0" w:line="400" w:lineRule="atLeast"/>
        <w:rPr>
          <w:rFonts w:ascii="Times New Roman" w:hAnsi="Times New Roman" w:cs="Times New Roman"/>
          <w:sz w:val="24"/>
          <w:szCs w:val="24"/>
        </w:rPr>
      </w:pPr>
    </w:p>
    <w:p w14:paraId="765B411A" w14:textId="4AE35080" w:rsidR="00BC49A2" w:rsidRDefault="00BC49A2" w:rsidP="00BC49A2">
      <w:pPr>
        <w:autoSpaceDE w:val="0"/>
        <w:autoSpaceDN w:val="0"/>
        <w:adjustRightInd w:val="0"/>
        <w:spacing w:after="0" w:line="240" w:lineRule="auto"/>
        <w:rPr>
          <w:rFonts w:ascii="Times New Roman" w:hAnsi="Times New Roman" w:cs="Times New Roman"/>
          <w:sz w:val="24"/>
          <w:szCs w:val="24"/>
        </w:rPr>
      </w:pPr>
    </w:p>
    <w:p w14:paraId="25DD7D54" w14:textId="65E4D352" w:rsidR="00BC49A2" w:rsidRDefault="00BC49A2" w:rsidP="00BC49A2">
      <w:pPr>
        <w:autoSpaceDE w:val="0"/>
        <w:autoSpaceDN w:val="0"/>
        <w:adjustRightInd w:val="0"/>
        <w:spacing w:after="0" w:line="400" w:lineRule="atLeast"/>
        <w:rPr>
          <w:rFonts w:ascii="Times New Roman" w:hAnsi="Times New Roman" w:cs="Times New Roman"/>
          <w:sz w:val="24"/>
          <w:szCs w:val="24"/>
        </w:rPr>
      </w:pPr>
    </w:p>
    <w:p w14:paraId="0D1BEAE1" w14:textId="00E519C6" w:rsidR="00BC49A2" w:rsidRDefault="00BC49A2" w:rsidP="00BC49A2">
      <w:pPr>
        <w:autoSpaceDE w:val="0"/>
        <w:autoSpaceDN w:val="0"/>
        <w:adjustRightInd w:val="0"/>
        <w:spacing w:after="0" w:line="240" w:lineRule="auto"/>
        <w:rPr>
          <w:rFonts w:ascii="Times New Roman" w:hAnsi="Times New Roman" w:cs="Times New Roman"/>
          <w:sz w:val="24"/>
          <w:szCs w:val="24"/>
        </w:rPr>
      </w:pPr>
    </w:p>
    <w:p w14:paraId="030E6F3E" w14:textId="0625CB3D" w:rsidR="00BC49A2" w:rsidRDefault="00BC49A2" w:rsidP="00BC49A2">
      <w:pPr>
        <w:autoSpaceDE w:val="0"/>
        <w:autoSpaceDN w:val="0"/>
        <w:adjustRightInd w:val="0"/>
        <w:spacing w:after="0" w:line="240" w:lineRule="auto"/>
        <w:rPr>
          <w:rFonts w:ascii="Times New Roman" w:hAnsi="Times New Roman" w:cs="Times New Roman"/>
          <w:sz w:val="24"/>
          <w:szCs w:val="24"/>
        </w:rPr>
      </w:pPr>
    </w:p>
    <w:p w14:paraId="5BCE4529" w14:textId="01213BF6" w:rsidR="00BC49A2" w:rsidRDefault="00BC49A2" w:rsidP="00BC49A2">
      <w:pPr>
        <w:autoSpaceDE w:val="0"/>
        <w:autoSpaceDN w:val="0"/>
        <w:adjustRightInd w:val="0"/>
        <w:spacing w:after="0" w:line="400" w:lineRule="atLeast"/>
        <w:rPr>
          <w:rFonts w:ascii="Times New Roman" w:hAnsi="Times New Roman" w:cs="Times New Roman"/>
          <w:sz w:val="24"/>
          <w:szCs w:val="24"/>
        </w:rPr>
      </w:pPr>
    </w:p>
    <w:p w14:paraId="5FC0D0C6" w14:textId="2055AD83" w:rsidR="00FA25AC" w:rsidRDefault="00FA25AC" w:rsidP="00FA25AC">
      <w:pPr>
        <w:autoSpaceDE w:val="0"/>
        <w:autoSpaceDN w:val="0"/>
        <w:adjustRightInd w:val="0"/>
        <w:spacing w:after="0" w:line="240" w:lineRule="auto"/>
        <w:rPr>
          <w:rFonts w:ascii="Times New Roman" w:hAnsi="Times New Roman" w:cs="Times New Roman"/>
          <w:sz w:val="24"/>
          <w:szCs w:val="24"/>
        </w:rPr>
      </w:pPr>
    </w:p>
    <w:p w14:paraId="031621C3" w14:textId="6CF480CD" w:rsidR="00FA25AC" w:rsidRDefault="00FA25AC" w:rsidP="00FA25AC">
      <w:pPr>
        <w:autoSpaceDE w:val="0"/>
        <w:autoSpaceDN w:val="0"/>
        <w:adjustRightInd w:val="0"/>
        <w:spacing w:after="0" w:line="400" w:lineRule="atLeast"/>
        <w:rPr>
          <w:rFonts w:ascii="Times New Roman" w:hAnsi="Times New Roman" w:cs="Times New Roman"/>
          <w:sz w:val="24"/>
          <w:szCs w:val="24"/>
        </w:rPr>
      </w:pPr>
    </w:p>
    <w:p w14:paraId="06F5F81F" w14:textId="42011B2B" w:rsidR="00FA25AC" w:rsidRDefault="00FA25AC" w:rsidP="00DD3002">
      <w:pPr>
        <w:autoSpaceDE w:val="0"/>
        <w:autoSpaceDN w:val="0"/>
        <w:adjustRightInd w:val="0"/>
        <w:spacing w:after="0" w:line="240" w:lineRule="auto"/>
        <w:rPr>
          <w:rFonts w:ascii="Times New Roman" w:hAnsi="Times New Roman" w:cs="Times New Roman"/>
          <w:sz w:val="24"/>
          <w:szCs w:val="24"/>
        </w:rPr>
      </w:pPr>
    </w:p>
    <w:p w14:paraId="20C1EDD5" w14:textId="4F8E08DF" w:rsidR="00B935BA" w:rsidRDefault="00B935BA" w:rsidP="00B935BA">
      <w:pPr>
        <w:autoSpaceDE w:val="0"/>
        <w:autoSpaceDN w:val="0"/>
        <w:adjustRightInd w:val="0"/>
        <w:spacing w:after="0" w:line="240" w:lineRule="auto"/>
        <w:rPr>
          <w:rFonts w:ascii="Times New Roman" w:hAnsi="Times New Roman" w:cs="Times New Roman"/>
          <w:sz w:val="24"/>
          <w:szCs w:val="24"/>
        </w:rPr>
      </w:pPr>
    </w:p>
    <w:p w14:paraId="2E592B05" w14:textId="1C6959B1" w:rsidR="00160B0A" w:rsidRDefault="00160B0A" w:rsidP="00B935BA">
      <w:pPr>
        <w:autoSpaceDE w:val="0"/>
        <w:autoSpaceDN w:val="0"/>
        <w:adjustRightInd w:val="0"/>
        <w:spacing w:after="0" w:line="240" w:lineRule="auto"/>
        <w:rPr>
          <w:rFonts w:ascii="Times New Roman" w:hAnsi="Times New Roman" w:cs="Times New Roman"/>
          <w:sz w:val="24"/>
          <w:szCs w:val="24"/>
        </w:rPr>
      </w:pPr>
    </w:p>
    <w:p w14:paraId="13E6766E" w14:textId="35B36460" w:rsidR="00FE7BBB" w:rsidRDefault="00163890" w:rsidP="000E46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4849536" behindDoc="1" locked="0" layoutInCell="1" allowOverlap="1" wp14:anchorId="592FBE1C" wp14:editId="41481B41">
            <wp:simplePos x="0" y="0"/>
            <wp:positionH relativeFrom="margin">
              <wp:posOffset>19050</wp:posOffset>
            </wp:positionH>
            <wp:positionV relativeFrom="page">
              <wp:posOffset>4954534</wp:posOffset>
            </wp:positionV>
            <wp:extent cx="6832600" cy="4014470"/>
            <wp:effectExtent l="0" t="0" r="6350" b="5080"/>
            <wp:wrapTight wrapText="bothSides">
              <wp:wrapPolygon edited="0">
                <wp:start x="0" y="0"/>
                <wp:lineTo x="0" y="21525"/>
                <wp:lineTo x="21560" y="21525"/>
                <wp:lineTo x="21560" y="0"/>
                <wp:lineTo x="0" y="0"/>
              </wp:wrapPolygon>
            </wp:wrapTight>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32600" cy="401447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2089856" behindDoc="1" locked="0" layoutInCell="1" allowOverlap="1" wp14:anchorId="1EC58F91" wp14:editId="064A6F39">
                <wp:simplePos x="0" y="0"/>
                <wp:positionH relativeFrom="margin">
                  <wp:posOffset>0</wp:posOffset>
                </wp:positionH>
                <wp:positionV relativeFrom="page">
                  <wp:posOffset>4572750</wp:posOffset>
                </wp:positionV>
                <wp:extent cx="6851015" cy="419100"/>
                <wp:effectExtent l="0" t="0" r="6985" b="0"/>
                <wp:wrapTight wrapText="bothSides">
                  <wp:wrapPolygon edited="0">
                    <wp:start x="0" y="0"/>
                    <wp:lineTo x="0" y="20618"/>
                    <wp:lineTo x="21562" y="20618"/>
                    <wp:lineTo x="21562" y="0"/>
                    <wp:lineTo x="0" y="0"/>
                  </wp:wrapPolygon>
                </wp:wrapTight>
                <wp:docPr id="532" name="Text Box 532"/>
                <wp:cNvGraphicFramePr/>
                <a:graphic xmlns:a="http://schemas.openxmlformats.org/drawingml/2006/main">
                  <a:graphicData uri="http://schemas.microsoft.com/office/word/2010/wordprocessingShape">
                    <wps:wsp>
                      <wps:cNvSpPr txBox="1"/>
                      <wps:spPr>
                        <a:xfrm>
                          <a:off x="0" y="0"/>
                          <a:ext cx="6851015" cy="419100"/>
                        </a:xfrm>
                        <a:prstGeom prst="rect">
                          <a:avLst/>
                        </a:prstGeom>
                        <a:solidFill>
                          <a:prstClr val="white"/>
                        </a:solidFill>
                        <a:ln>
                          <a:noFill/>
                        </a:ln>
                      </wps:spPr>
                      <wps:txbx>
                        <w:txbxContent>
                          <w:p w14:paraId="2DD4300A" w14:textId="7BA40960" w:rsidR="00A56EB4" w:rsidRPr="00DC7615" w:rsidRDefault="00A56EB4" w:rsidP="00DC7615">
                            <w:pPr>
                              <w:pStyle w:val="Caption"/>
                              <w:rPr>
                                <w:highlight w:val="yellow"/>
                              </w:rPr>
                            </w:pPr>
                            <w:r w:rsidRPr="00DC7615">
                              <w:t xml:space="preserve">Figure </w:t>
                            </w:r>
                            <w:r>
                              <w:t>63</w:t>
                            </w:r>
                            <w:r w:rsidRPr="00DC7615">
                              <w:t xml:space="preserve">. A bar graph of the frequency of various types of </w:t>
                            </w:r>
                            <w:r>
                              <w:t>Traffic</w:t>
                            </w:r>
                            <w:r w:rsidRPr="00DC7615">
                              <w:t xml:space="preserve"> charges, as observed in Calgary’s </w:t>
                            </w:r>
                            <w:r>
                              <w:t>Traffic Court</w:t>
                            </w:r>
                            <w:r w:rsidRPr="00DC7615">
                              <w:t xml:space="preserve"> between January 2017 and December 201</w:t>
                            </w:r>
                            <w:r>
                              <w:t>8</w:t>
                            </w:r>
                            <w:r w:rsidRPr="00DC7615">
                              <w:t>, from a sample size of 14,652. Bar height corresponds to the number of respondents with a given charge (y-axis), with relative proportions of charge type categories indicated within the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58F91" id="Text Box 532" o:spid="_x0000_s1130" type="#_x0000_t202" style="position:absolute;margin-left:0;margin-top:360.05pt;width:539.45pt;height:33pt;z-index:-251226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" stroked="f">
                <v:textbox inset="0,0,0,0">
                  <w:txbxContent>
                    <w:p w14:paraId="2DD4300A" w14:textId="7BA40960" w:rsidR="00A56EB4" w:rsidRPr="00DC7615" w:rsidRDefault="00A56EB4" w:rsidP="00DC7615">
                      <w:pPr>
                        <w:pStyle w:val="Caption"/>
                        <w:rPr>
                          <w:highlight w:val="yellow"/>
                        </w:rPr>
                      </w:pPr>
                      <w:r w:rsidRPr="00DC7615">
                        <w:t xml:space="preserve">Figure </w:t>
                      </w:r>
                      <w:r>
                        <w:t>63</w:t>
                      </w:r>
                      <w:r w:rsidRPr="00DC7615">
                        <w:t xml:space="preserve">. A bar graph of the frequency of various types of </w:t>
                      </w:r>
                      <w:r>
                        <w:t>Traffic</w:t>
                      </w:r>
                      <w:r w:rsidRPr="00DC7615">
                        <w:t xml:space="preserve"> charges, as observed in Calgary’s </w:t>
                      </w:r>
                      <w:r>
                        <w:t>Traffic Court</w:t>
                      </w:r>
                      <w:r w:rsidRPr="00DC7615">
                        <w:t xml:space="preserve"> between January 2017 and December 201</w:t>
                      </w:r>
                      <w:r>
                        <w:t>8</w:t>
                      </w:r>
                      <w:r w:rsidRPr="00DC7615">
                        <w:t>, from a sample size of 14,652. Bar height corresponds to the number of respondents with a given charge (y-axis), with relative proportions of charge type categories indicated within the bar.</w:t>
                      </w:r>
                    </w:p>
                  </w:txbxContent>
                </v:textbox>
                <w10:wrap type="tight" anchorx="margin" anchory="page"/>
              </v:shape>
            </w:pict>
          </mc:Fallback>
        </mc:AlternateContent>
      </w:r>
      <w:r w:rsidR="005978C6">
        <w:rPr>
          <w:noProof/>
          <w:lang w:val="en-US"/>
        </w:rPr>
        <mc:AlternateContent>
          <mc:Choice Requires="wps">
            <w:drawing>
              <wp:anchor distT="0" distB="0" distL="114300" distR="114300" simplePos="0" relativeHeight="252123648" behindDoc="1" locked="0" layoutInCell="1" allowOverlap="1" wp14:anchorId="04C8EEFB" wp14:editId="709992AE">
                <wp:simplePos x="0" y="0"/>
                <wp:positionH relativeFrom="margin">
                  <wp:align>left</wp:align>
                </wp:positionH>
                <wp:positionV relativeFrom="margin">
                  <wp:posOffset>8305165</wp:posOffset>
                </wp:positionV>
                <wp:extent cx="6883400" cy="419100"/>
                <wp:effectExtent l="0" t="0" r="0" b="0"/>
                <wp:wrapTight wrapText="bothSides">
                  <wp:wrapPolygon edited="0">
                    <wp:start x="0" y="0"/>
                    <wp:lineTo x="0" y="20618"/>
                    <wp:lineTo x="21520" y="20618"/>
                    <wp:lineTo x="21520" y="0"/>
                    <wp:lineTo x="0" y="0"/>
                  </wp:wrapPolygon>
                </wp:wrapTight>
                <wp:docPr id="533" name="Text Box 533"/>
                <wp:cNvGraphicFramePr/>
                <a:graphic xmlns:a="http://schemas.openxmlformats.org/drawingml/2006/main">
                  <a:graphicData uri="http://schemas.microsoft.com/office/word/2010/wordprocessingShape">
                    <wps:wsp>
                      <wps:cNvSpPr txBox="1"/>
                      <wps:spPr>
                        <a:xfrm>
                          <a:off x="0" y="0"/>
                          <a:ext cx="6883400" cy="419100"/>
                        </a:xfrm>
                        <a:prstGeom prst="rect">
                          <a:avLst/>
                        </a:prstGeom>
                        <a:solidFill>
                          <a:prstClr val="white"/>
                        </a:solidFill>
                        <a:ln>
                          <a:noFill/>
                        </a:ln>
                      </wps:spPr>
                      <wps:txbx>
                        <w:txbxContent>
                          <w:p w14:paraId="271ABF87" w14:textId="0E0E635F" w:rsidR="00A56EB4" w:rsidRPr="00E04F82" w:rsidRDefault="00A56EB4" w:rsidP="005014A9">
                            <w:pPr>
                              <w:pStyle w:val="Caption"/>
                              <w:rPr>
                                <w:highlight w:val="yellow"/>
                              </w:rPr>
                            </w:pPr>
                            <w:r w:rsidRPr="00B63B81">
                              <w:rPr>
                                <w:b/>
                                <w:bCs/>
                              </w:rPr>
                              <w:t xml:space="preserve">Figure </w:t>
                            </w:r>
                            <w:r>
                              <w:rPr>
                                <w:b/>
                                <w:bCs/>
                              </w:rPr>
                              <w:t>64</w:t>
                            </w:r>
                            <w:r w:rsidRPr="00E04F82">
                              <w:t xml:space="preserve">. A bar graph of </w:t>
                            </w:r>
                            <w:r>
                              <w:t>the frequency of various types of Traffic charges in court attendees without minority status,</w:t>
                            </w:r>
                            <w:r w:rsidRPr="00E04F82">
                              <w:t xml:space="preserve"> as observed in </w:t>
                            </w:r>
                            <w:r>
                              <w:t>Calgary’s Traffic Court</w:t>
                            </w:r>
                            <w:r w:rsidRPr="00E04F82">
                              <w:t xml:space="preserve"> between January 2017 and December 201</w:t>
                            </w:r>
                            <w:r>
                              <w:t>8</w:t>
                            </w:r>
                            <w:r w:rsidRPr="00E04F82">
                              <w:t xml:space="preserve">, from a sample size of </w:t>
                            </w:r>
                            <w:r>
                              <w:t>12,810</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EEFB" id="Text Box 533" o:spid="_x0000_s1131" type="#_x0000_t202" style="position:absolute;margin-left:0;margin-top:653.95pt;width:542pt;height:33pt;z-index:-2511928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" stroked="f">
                <v:textbox inset="0,0,0,0">
                  <w:txbxContent>
                    <w:p w14:paraId="271ABF87" w14:textId="0E0E635F" w:rsidR="00A56EB4" w:rsidRPr="00E04F82" w:rsidRDefault="00A56EB4" w:rsidP="005014A9">
                      <w:pPr>
                        <w:pStyle w:val="Caption"/>
                        <w:rPr>
                          <w:highlight w:val="yellow"/>
                        </w:rPr>
                      </w:pPr>
                      <w:r w:rsidRPr="00B63B81">
                        <w:rPr>
                          <w:b/>
                          <w:bCs/>
                        </w:rPr>
                        <w:t xml:space="preserve">Figure </w:t>
                      </w:r>
                      <w:r>
                        <w:rPr>
                          <w:b/>
                          <w:bCs/>
                        </w:rPr>
                        <w:t>64</w:t>
                      </w:r>
                      <w:r w:rsidRPr="00E04F82">
                        <w:t xml:space="preserve">. A bar graph of </w:t>
                      </w:r>
                      <w:r>
                        <w:t>the frequency of various types of Traffic charges in court attendees without minority status,</w:t>
                      </w:r>
                      <w:r w:rsidRPr="00E04F82">
                        <w:t xml:space="preserve"> as observed in </w:t>
                      </w:r>
                      <w:r>
                        <w:t>Calgary’s Traffic Court</w:t>
                      </w:r>
                      <w:r w:rsidRPr="00E04F82">
                        <w:t xml:space="preserve"> between January 2017 and December 201</w:t>
                      </w:r>
                      <w:r>
                        <w:t>8</w:t>
                      </w:r>
                      <w:r w:rsidRPr="00E04F82">
                        <w:t xml:space="preserve">, from a sample size of </w:t>
                      </w:r>
                      <w:r>
                        <w:t>12,810</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v:textbox>
                <w10:wrap type="tight" anchorx="margin" anchory="margin"/>
              </v:shape>
            </w:pict>
          </mc:Fallback>
        </mc:AlternateContent>
      </w:r>
      <w:r w:rsidR="000E466E">
        <w:rPr>
          <w:rFonts w:ascii="Times New Roman" w:hAnsi="Times New Roman" w:cs="Times New Roman"/>
          <w:noProof/>
          <w:sz w:val="24"/>
          <w:szCs w:val="24"/>
          <w:lang w:val="en-US"/>
        </w:rPr>
        <w:drawing>
          <wp:anchor distT="0" distB="0" distL="114300" distR="114300" simplePos="0" relativeHeight="254774784" behindDoc="1" locked="0" layoutInCell="1" allowOverlap="1" wp14:anchorId="3C82484B" wp14:editId="4E9D0729">
            <wp:simplePos x="0" y="0"/>
            <wp:positionH relativeFrom="margin">
              <wp:align>right</wp:align>
            </wp:positionH>
            <wp:positionV relativeFrom="margin">
              <wp:align>top</wp:align>
            </wp:positionV>
            <wp:extent cx="6858000" cy="3875405"/>
            <wp:effectExtent l="0" t="0" r="0" b="0"/>
            <wp:wrapTight wrapText="bothSides">
              <wp:wrapPolygon edited="0">
                <wp:start x="0" y="0"/>
                <wp:lineTo x="0" y="21448"/>
                <wp:lineTo x="21540" y="21448"/>
                <wp:lineTo x="21540"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58000" cy="387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170FE" w14:textId="51061C70" w:rsidR="000B4FF0" w:rsidRDefault="00163890" w:rsidP="000B4FF0">
      <w:pPr>
        <w:autoSpaceDE w:val="0"/>
        <w:autoSpaceDN w:val="0"/>
        <w:adjustRightInd w:val="0"/>
        <w:spacing w:after="0" w:line="240" w:lineRule="auto"/>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2162560" behindDoc="1" locked="0" layoutInCell="1" allowOverlap="1" wp14:anchorId="16711F8A" wp14:editId="792883BC">
                <wp:simplePos x="0" y="0"/>
                <wp:positionH relativeFrom="margin">
                  <wp:posOffset>0</wp:posOffset>
                </wp:positionH>
                <wp:positionV relativeFrom="page">
                  <wp:posOffset>4685533</wp:posOffset>
                </wp:positionV>
                <wp:extent cx="6851015" cy="525145"/>
                <wp:effectExtent l="0" t="0" r="6985" b="8255"/>
                <wp:wrapTight wrapText="bothSides">
                  <wp:wrapPolygon edited="0">
                    <wp:start x="0" y="0"/>
                    <wp:lineTo x="0" y="21156"/>
                    <wp:lineTo x="21562" y="21156"/>
                    <wp:lineTo x="21562" y="0"/>
                    <wp:lineTo x="0" y="0"/>
                  </wp:wrapPolygon>
                </wp:wrapTight>
                <wp:docPr id="534" name="Text Box 534"/>
                <wp:cNvGraphicFramePr/>
                <a:graphic xmlns:a="http://schemas.openxmlformats.org/drawingml/2006/main">
                  <a:graphicData uri="http://schemas.microsoft.com/office/word/2010/wordprocessingShape">
                    <wps:wsp>
                      <wps:cNvSpPr txBox="1"/>
                      <wps:spPr>
                        <a:xfrm>
                          <a:off x="0" y="0"/>
                          <a:ext cx="6851015" cy="525145"/>
                        </a:xfrm>
                        <a:prstGeom prst="rect">
                          <a:avLst/>
                        </a:prstGeom>
                        <a:solidFill>
                          <a:prstClr val="white"/>
                        </a:solidFill>
                        <a:ln>
                          <a:noFill/>
                        </a:ln>
                      </wps:spPr>
                      <wps:txbx>
                        <w:txbxContent>
                          <w:p w14:paraId="154E453E" w14:textId="6B86692E" w:rsidR="00A56EB4" w:rsidRPr="00E04F82" w:rsidRDefault="00A56EB4" w:rsidP="00A70D63">
                            <w:pPr>
                              <w:pStyle w:val="Caption"/>
                              <w:rPr>
                                <w:highlight w:val="yellow"/>
                              </w:rPr>
                            </w:pPr>
                            <w:r w:rsidRPr="00B63B81">
                              <w:rPr>
                                <w:b/>
                                <w:bCs/>
                              </w:rPr>
                              <w:t xml:space="preserve">Figure </w:t>
                            </w:r>
                            <w:r>
                              <w:rPr>
                                <w:b/>
                                <w:bCs/>
                              </w:rPr>
                              <w:t>65</w:t>
                            </w:r>
                            <w:r w:rsidRPr="00E04F82">
                              <w:t xml:space="preserve">. A bar graph of </w:t>
                            </w:r>
                            <w:r>
                              <w:t>the frequency of various types of Traffic charges in court attendees who are Indigenous,</w:t>
                            </w:r>
                            <w:r w:rsidRPr="00E04F82">
                              <w:t xml:space="preserve"> as observed in </w:t>
                            </w:r>
                            <w:r>
                              <w:t>Calgary’s Traffic Court</w:t>
                            </w:r>
                            <w:r w:rsidRPr="00E04F82">
                              <w:t xml:space="preserve"> between January 2017 and December 201</w:t>
                            </w:r>
                            <w:r>
                              <w:t>8</w:t>
                            </w:r>
                            <w:r w:rsidRPr="00E04F82">
                              <w:t xml:space="preserve">, from a sample size of </w:t>
                            </w:r>
                            <w:r>
                              <w:t>383</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711F8A" id="Text Box 534" o:spid="_x0000_s1132" type="#_x0000_t202" style="position:absolute;margin-left:0;margin-top:368.95pt;width:539.45pt;height:41.35pt;z-index:-25115392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" stroked="f">
                <v:textbox style="mso-fit-shape-to-text:t" inset="0,0,0,0">
                  <w:txbxContent>
                    <w:p w14:paraId="154E453E" w14:textId="6B86692E" w:rsidR="00A56EB4" w:rsidRPr="00E04F82" w:rsidRDefault="00A56EB4" w:rsidP="00A70D63">
                      <w:pPr>
                        <w:pStyle w:val="Caption"/>
                        <w:rPr>
                          <w:highlight w:val="yellow"/>
                        </w:rPr>
                      </w:pPr>
                      <w:r w:rsidRPr="00B63B81">
                        <w:rPr>
                          <w:b/>
                          <w:bCs/>
                        </w:rPr>
                        <w:t xml:space="preserve">Figure </w:t>
                      </w:r>
                      <w:r>
                        <w:rPr>
                          <w:b/>
                          <w:bCs/>
                        </w:rPr>
                        <w:t>65</w:t>
                      </w:r>
                      <w:r w:rsidRPr="00E04F82">
                        <w:t xml:space="preserve">. A bar graph of </w:t>
                      </w:r>
                      <w:r>
                        <w:t>the frequency of various types of Traffic charges in court attendees who are Indigenous,</w:t>
                      </w:r>
                      <w:r w:rsidRPr="00E04F82">
                        <w:t xml:space="preserve"> as observed in </w:t>
                      </w:r>
                      <w:r>
                        <w:t>Calgary’s Traffic Court</w:t>
                      </w:r>
                      <w:r w:rsidRPr="00E04F82">
                        <w:t xml:space="preserve"> between January 2017 and December 201</w:t>
                      </w:r>
                      <w:r>
                        <w:t>8</w:t>
                      </w:r>
                      <w:r w:rsidRPr="00E04F82">
                        <w:t xml:space="preserve">, from a sample size of </w:t>
                      </w:r>
                      <w:r>
                        <w:t>383</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4815744" behindDoc="1" locked="0" layoutInCell="1" allowOverlap="1" wp14:anchorId="3210803C" wp14:editId="2252CD51">
            <wp:simplePos x="0" y="0"/>
            <wp:positionH relativeFrom="margin">
              <wp:posOffset>0</wp:posOffset>
            </wp:positionH>
            <wp:positionV relativeFrom="margin">
              <wp:posOffset>4449593</wp:posOffset>
            </wp:positionV>
            <wp:extent cx="6832600" cy="4014470"/>
            <wp:effectExtent l="0" t="0" r="6350" b="5080"/>
            <wp:wrapTight wrapText="bothSides">
              <wp:wrapPolygon edited="0">
                <wp:start x="0" y="0"/>
                <wp:lineTo x="0" y="21525"/>
                <wp:lineTo x="21560" y="21525"/>
                <wp:lineTo x="21560" y="0"/>
                <wp:lineTo x="0" y="0"/>
              </wp:wrapPolygon>
            </wp:wrapTight>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32600" cy="4014470"/>
                    </a:xfrm>
                    <a:prstGeom prst="rect">
                      <a:avLst/>
                    </a:prstGeom>
                    <a:noFill/>
                    <a:ln>
                      <a:noFill/>
                    </a:ln>
                  </pic:spPr>
                </pic:pic>
              </a:graphicData>
            </a:graphic>
          </wp:anchor>
        </w:drawing>
      </w:r>
      <w:r w:rsidRPr="0058740C">
        <w:rPr>
          <w:noProof/>
          <w:lang w:val="en-US"/>
        </w:rPr>
        <mc:AlternateContent>
          <mc:Choice Requires="wps">
            <w:drawing>
              <wp:anchor distT="0" distB="0" distL="114300" distR="114300" simplePos="0" relativeHeight="252199424" behindDoc="1" locked="0" layoutInCell="1" allowOverlap="1" wp14:anchorId="63ABE05A" wp14:editId="5D9B6661">
                <wp:simplePos x="0" y="0"/>
                <wp:positionH relativeFrom="margin">
                  <wp:posOffset>462</wp:posOffset>
                </wp:positionH>
                <wp:positionV relativeFrom="page">
                  <wp:posOffset>9116654</wp:posOffset>
                </wp:positionV>
                <wp:extent cx="6851015" cy="457200"/>
                <wp:effectExtent l="0" t="0" r="6985" b="0"/>
                <wp:wrapTight wrapText="bothSides">
                  <wp:wrapPolygon edited="0">
                    <wp:start x="0" y="0"/>
                    <wp:lineTo x="0" y="20700"/>
                    <wp:lineTo x="21562" y="20700"/>
                    <wp:lineTo x="21562" y="0"/>
                    <wp:lineTo x="0" y="0"/>
                  </wp:wrapPolygon>
                </wp:wrapTight>
                <wp:docPr id="535" name="Text Box 535"/>
                <wp:cNvGraphicFramePr/>
                <a:graphic xmlns:a="http://schemas.openxmlformats.org/drawingml/2006/main">
                  <a:graphicData uri="http://schemas.microsoft.com/office/word/2010/wordprocessingShape">
                    <wps:wsp>
                      <wps:cNvSpPr txBox="1"/>
                      <wps:spPr>
                        <a:xfrm>
                          <a:off x="0" y="0"/>
                          <a:ext cx="6851015" cy="457200"/>
                        </a:xfrm>
                        <a:prstGeom prst="rect">
                          <a:avLst/>
                        </a:prstGeom>
                        <a:solidFill>
                          <a:prstClr val="white"/>
                        </a:solidFill>
                        <a:ln>
                          <a:noFill/>
                        </a:ln>
                      </wps:spPr>
                      <wps:txbx>
                        <w:txbxContent>
                          <w:p w14:paraId="01AB896E" w14:textId="5F5B80DC" w:rsidR="00A56EB4" w:rsidRPr="00E04F82" w:rsidRDefault="00A56EB4" w:rsidP="00A70D63">
                            <w:pPr>
                              <w:pStyle w:val="Caption"/>
                              <w:rPr>
                                <w:highlight w:val="yellow"/>
                              </w:rPr>
                            </w:pPr>
                            <w:r w:rsidRPr="00B63B81">
                              <w:rPr>
                                <w:b/>
                                <w:bCs/>
                              </w:rPr>
                              <w:t xml:space="preserve">Figure </w:t>
                            </w:r>
                            <w:r>
                              <w:rPr>
                                <w:b/>
                                <w:bCs/>
                              </w:rPr>
                              <w:t>66</w:t>
                            </w:r>
                            <w:r w:rsidRPr="00E04F82">
                              <w:t xml:space="preserve">. A bar graph of </w:t>
                            </w:r>
                            <w:r>
                              <w:t>the frequency of various types of Traffic charges in court attendees who are newcomers,</w:t>
                            </w:r>
                            <w:r w:rsidRPr="00E04F82">
                              <w:t xml:space="preserve"> as observed in </w:t>
                            </w:r>
                            <w:r>
                              <w:t>Calgary’s Traffic Court</w:t>
                            </w:r>
                            <w:r w:rsidRPr="00E04F82">
                              <w:t xml:space="preserve"> between January 2017 and December 201</w:t>
                            </w:r>
                            <w:r>
                              <w:t>8</w:t>
                            </w:r>
                            <w:r w:rsidRPr="00E04F82">
                              <w:t xml:space="preserve">, from a sample size of </w:t>
                            </w:r>
                            <w:r>
                              <w:t>1287</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E05A" id="Text Box 535" o:spid="_x0000_s1133" type="#_x0000_t202" style="position:absolute;margin-left:.05pt;margin-top:717.85pt;width:539.45pt;height:36pt;z-index:-251117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" stroked="f">
                <v:textbox inset="0,0,0,0">
                  <w:txbxContent>
                    <w:p w14:paraId="01AB896E" w14:textId="5F5B80DC" w:rsidR="00A56EB4" w:rsidRPr="00E04F82" w:rsidRDefault="00A56EB4" w:rsidP="00A70D63">
                      <w:pPr>
                        <w:pStyle w:val="Caption"/>
                        <w:rPr>
                          <w:highlight w:val="yellow"/>
                        </w:rPr>
                      </w:pPr>
                      <w:r w:rsidRPr="00B63B81">
                        <w:rPr>
                          <w:b/>
                          <w:bCs/>
                        </w:rPr>
                        <w:t xml:space="preserve">Figure </w:t>
                      </w:r>
                      <w:r>
                        <w:rPr>
                          <w:b/>
                          <w:bCs/>
                        </w:rPr>
                        <w:t>66</w:t>
                      </w:r>
                      <w:r w:rsidRPr="00E04F82">
                        <w:t xml:space="preserve">. A bar graph of </w:t>
                      </w:r>
                      <w:r>
                        <w:t>the frequency of various types of Traffic charges in court attendees who are newcomers,</w:t>
                      </w:r>
                      <w:r w:rsidRPr="00E04F82">
                        <w:t xml:space="preserve"> as observed in </w:t>
                      </w:r>
                      <w:r>
                        <w:t>Calgary’s Traffic Court</w:t>
                      </w:r>
                      <w:r w:rsidRPr="00E04F82">
                        <w:t xml:space="preserve"> between January 2017 and December 201</w:t>
                      </w:r>
                      <w:r>
                        <w:t>8</w:t>
                      </w:r>
                      <w:r w:rsidRPr="00E04F82">
                        <w:t xml:space="preserve">, from a sample size of </w:t>
                      </w:r>
                      <w:r>
                        <w:t>1287</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4886400" behindDoc="1" locked="0" layoutInCell="1" allowOverlap="1" wp14:anchorId="50E928DC" wp14:editId="2DB37BCB">
            <wp:simplePos x="0" y="0"/>
            <wp:positionH relativeFrom="column">
              <wp:posOffset>38100</wp:posOffset>
            </wp:positionH>
            <wp:positionV relativeFrom="page">
              <wp:posOffset>708792</wp:posOffset>
            </wp:positionV>
            <wp:extent cx="6812915" cy="4003040"/>
            <wp:effectExtent l="0" t="0" r="6985" b="0"/>
            <wp:wrapTight wrapText="bothSides">
              <wp:wrapPolygon edited="0">
                <wp:start x="0" y="0"/>
                <wp:lineTo x="0" y="21484"/>
                <wp:lineTo x="21562" y="21484"/>
                <wp:lineTo x="21562" y="0"/>
                <wp:lineTo x="0" y="0"/>
              </wp:wrapPolygon>
            </wp:wrapTight>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12915" cy="4003040"/>
                    </a:xfrm>
                    <a:prstGeom prst="rect">
                      <a:avLst/>
                    </a:prstGeom>
                    <a:noFill/>
                    <a:ln>
                      <a:noFill/>
                    </a:ln>
                  </pic:spPr>
                </pic:pic>
              </a:graphicData>
            </a:graphic>
          </wp:anchor>
        </w:drawing>
      </w:r>
      <w:r w:rsidR="000B4FF0" w:rsidRPr="000B4FF0">
        <w:rPr>
          <w:rFonts w:ascii="Times New Roman" w:hAnsi="Times New Roman" w:cs="Times New Roman"/>
          <w:sz w:val="24"/>
          <w:szCs w:val="24"/>
        </w:rPr>
        <w:t xml:space="preserve"> </w:t>
      </w:r>
    </w:p>
    <w:p w14:paraId="0BB9865A" w14:textId="201AB4FF" w:rsidR="00FE7BBB" w:rsidRDefault="00FE7BBB" w:rsidP="008940F7">
      <w:pPr>
        <w:autoSpaceDE w:val="0"/>
        <w:autoSpaceDN w:val="0"/>
        <w:adjustRightInd w:val="0"/>
        <w:spacing w:after="0" w:line="400" w:lineRule="atLeast"/>
        <w:rPr>
          <w:rFonts w:ascii="Times New Roman" w:hAnsi="Times New Roman" w:cs="Times New Roman"/>
          <w:sz w:val="24"/>
          <w:szCs w:val="24"/>
        </w:rPr>
      </w:pPr>
    </w:p>
    <w:tbl>
      <w:tblPr>
        <w:tblStyle w:val="GridTable4-Accent31"/>
        <w:tblpPr w:leftFromText="180" w:rightFromText="180" w:vertAnchor="page" w:horzAnchor="margin" w:tblpY="7641"/>
        <w:tblW w:w="0" w:type="auto"/>
        <w:tblLook w:val="04A0" w:firstRow="1" w:lastRow="0" w:firstColumn="1" w:lastColumn="0" w:noHBand="0" w:noVBand="1"/>
      </w:tblPr>
      <w:tblGrid>
        <w:gridCol w:w="1870"/>
        <w:gridCol w:w="1870"/>
        <w:gridCol w:w="1870"/>
        <w:gridCol w:w="1558"/>
      </w:tblGrid>
      <w:tr w:rsidR="00652908" w14:paraId="11548340" w14:textId="77777777" w:rsidTr="00605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8" w:type="dxa"/>
            <w:gridSpan w:val="4"/>
          </w:tcPr>
          <w:p w14:paraId="5EAC415D" w14:textId="263C6C83" w:rsidR="00652908" w:rsidRDefault="00652908" w:rsidP="00605F0A">
            <w:pPr>
              <w:jc w:val="center"/>
            </w:pPr>
            <w:r>
              <w:t>Court Attendees of Indigenous Status</w:t>
            </w:r>
          </w:p>
        </w:tc>
      </w:tr>
      <w:tr w:rsidR="00652908" w14:paraId="3B7D9727" w14:textId="77777777" w:rsidTr="0060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hemeFill="background1" w:themeFillShade="D9"/>
          </w:tcPr>
          <w:p w14:paraId="723BE864" w14:textId="3298B79D" w:rsidR="00652908" w:rsidRDefault="00652908" w:rsidP="00605F0A">
            <w:pPr>
              <w:jc w:val="center"/>
            </w:pPr>
          </w:p>
        </w:tc>
        <w:tc>
          <w:tcPr>
            <w:tcW w:w="1870" w:type="dxa"/>
            <w:shd w:val="clear" w:color="auto" w:fill="D9D9D9" w:themeFill="background1" w:themeFillShade="D9"/>
          </w:tcPr>
          <w:p w14:paraId="7F4F42BB" w14:textId="116445B3" w:rsidR="00652908" w:rsidRPr="00203D6F" w:rsidRDefault="00652908" w:rsidP="00605F0A">
            <w:pPr>
              <w:jc w:val="center"/>
              <w:cnfStyle w:val="000000100000" w:firstRow="0" w:lastRow="0" w:firstColumn="0" w:lastColumn="0" w:oddVBand="0" w:evenVBand="0" w:oddHBand="1" w:evenHBand="0" w:firstRowFirstColumn="0" w:firstRowLastColumn="0" w:lastRowFirstColumn="0" w:lastRowLastColumn="0"/>
              <w:rPr>
                <w:b/>
                <w:bCs/>
              </w:rPr>
            </w:pPr>
            <w:r w:rsidRPr="00203D6F">
              <w:rPr>
                <w:b/>
                <w:bCs/>
              </w:rPr>
              <w:t>X</w:t>
            </w:r>
            <w:r w:rsidRPr="00203D6F">
              <w:rPr>
                <w:b/>
                <w:bCs/>
                <w:vertAlign w:val="superscript"/>
              </w:rPr>
              <w:t>2</w:t>
            </w:r>
            <w:r w:rsidRPr="00203D6F">
              <w:rPr>
                <w:b/>
                <w:bCs/>
              </w:rPr>
              <w:t xml:space="preserve"> Value</w:t>
            </w:r>
          </w:p>
        </w:tc>
        <w:tc>
          <w:tcPr>
            <w:tcW w:w="1870" w:type="dxa"/>
            <w:shd w:val="clear" w:color="auto" w:fill="D9D9D9" w:themeFill="background1" w:themeFillShade="D9"/>
          </w:tcPr>
          <w:p w14:paraId="1EBFEA42" w14:textId="5130DAE4" w:rsidR="00652908" w:rsidRPr="00203D6F" w:rsidRDefault="00652908" w:rsidP="00605F0A">
            <w:pPr>
              <w:jc w:val="center"/>
              <w:cnfStyle w:val="000000100000" w:firstRow="0" w:lastRow="0" w:firstColumn="0" w:lastColumn="0" w:oddVBand="0" w:evenVBand="0" w:oddHBand="1" w:evenHBand="0" w:firstRowFirstColumn="0" w:firstRowLastColumn="0" w:lastRowFirstColumn="0" w:lastRowLastColumn="0"/>
              <w:rPr>
                <w:b/>
                <w:bCs/>
              </w:rPr>
            </w:pPr>
            <w:r w:rsidRPr="00203D6F">
              <w:rPr>
                <w:b/>
                <w:bCs/>
              </w:rPr>
              <w:t>p-value</w:t>
            </w:r>
          </w:p>
        </w:tc>
        <w:tc>
          <w:tcPr>
            <w:tcW w:w="1558" w:type="dxa"/>
            <w:shd w:val="clear" w:color="auto" w:fill="D9D9D9" w:themeFill="background1" w:themeFillShade="D9"/>
          </w:tcPr>
          <w:p w14:paraId="438AB63A" w14:textId="77777777" w:rsidR="00652908" w:rsidRPr="00203D6F" w:rsidRDefault="00652908" w:rsidP="00605F0A">
            <w:pPr>
              <w:jc w:val="center"/>
              <w:cnfStyle w:val="000000100000" w:firstRow="0" w:lastRow="0" w:firstColumn="0" w:lastColumn="0" w:oddVBand="0" w:evenVBand="0" w:oddHBand="1" w:evenHBand="0" w:firstRowFirstColumn="0" w:firstRowLastColumn="0" w:lastRowFirstColumn="0" w:lastRowLastColumn="0"/>
              <w:rPr>
                <w:b/>
                <w:bCs/>
              </w:rPr>
            </w:pPr>
            <w:r w:rsidRPr="00203D6F">
              <w:rPr>
                <w:b/>
                <w:bCs/>
              </w:rPr>
              <w:t>Odds Ratio</w:t>
            </w:r>
          </w:p>
        </w:tc>
      </w:tr>
      <w:tr w:rsidR="00B67631" w14:paraId="296E7FE3" w14:textId="77777777" w:rsidTr="00605F0A">
        <w:tc>
          <w:tcPr>
            <w:cnfStyle w:val="001000000000" w:firstRow="0" w:lastRow="0" w:firstColumn="1" w:lastColumn="0" w:oddVBand="0" w:evenVBand="0" w:oddHBand="0" w:evenHBand="0" w:firstRowFirstColumn="0" w:firstRowLastColumn="0" w:lastRowFirstColumn="0" w:lastRowLastColumn="0"/>
            <w:tcW w:w="1870" w:type="dxa"/>
          </w:tcPr>
          <w:p w14:paraId="5C1C82F7" w14:textId="77777777" w:rsidR="00652908" w:rsidRDefault="00652908" w:rsidP="00605F0A">
            <w:r>
              <w:t xml:space="preserve">Driving Through a Stoplight </w:t>
            </w:r>
          </w:p>
        </w:tc>
        <w:tc>
          <w:tcPr>
            <w:tcW w:w="1870" w:type="dxa"/>
          </w:tcPr>
          <w:p w14:paraId="4CD928BA" w14:textId="77777777" w:rsidR="00652908" w:rsidRDefault="00652908" w:rsidP="00605F0A">
            <w:pPr>
              <w:cnfStyle w:val="000000000000" w:firstRow="0" w:lastRow="0" w:firstColumn="0" w:lastColumn="0" w:oddVBand="0" w:evenVBand="0" w:oddHBand="0" w:evenHBand="0" w:firstRowFirstColumn="0" w:firstRowLastColumn="0" w:lastRowFirstColumn="0" w:lastRowLastColumn="0"/>
            </w:pPr>
            <w:r>
              <w:t>8.63</w:t>
            </w:r>
          </w:p>
        </w:tc>
        <w:tc>
          <w:tcPr>
            <w:tcW w:w="1870" w:type="dxa"/>
          </w:tcPr>
          <w:p w14:paraId="41FC5018" w14:textId="77777777" w:rsidR="00652908" w:rsidRDefault="00652908" w:rsidP="00605F0A">
            <w:pPr>
              <w:cnfStyle w:val="000000000000" w:firstRow="0" w:lastRow="0" w:firstColumn="0" w:lastColumn="0" w:oddVBand="0" w:evenVBand="0" w:oddHBand="0" w:evenHBand="0" w:firstRowFirstColumn="0" w:firstRowLastColumn="0" w:lastRowFirstColumn="0" w:lastRowLastColumn="0"/>
            </w:pPr>
            <w:r>
              <w:t>&lt;0.01</w:t>
            </w:r>
          </w:p>
        </w:tc>
        <w:tc>
          <w:tcPr>
            <w:tcW w:w="1558" w:type="dxa"/>
          </w:tcPr>
          <w:p w14:paraId="07999179" w14:textId="77777777" w:rsidR="00652908" w:rsidRDefault="00652908" w:rsidP="00605F0A">
            <w:pPr>
              <w:cnfStyle w:val="000000000000" w:firstRow="0" w:lastRow="0" w:firstColumn="0" w:lastColumn="0" w:oddVBand="0" w:evenVBand="0" w:oddHBand="0" w:evenHBand="0" w:firstRowFirstColumn="0" w:firstRowLastColumn="0" w:lastRowFirstColumn="0" w:lastRowLastColumn="0"/>
            </w:pPr>
            <w:r>
              <w:t>1.54</w:t>
            </w:r>
          </w:p>
        </w:tc>
      </w:tr>
      <w:tr w:rsidR="00B67631" w14:paraId="195156F3" w14:textId="77777777" w:rsidTr="0060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F2CF265" w14:textId="77777777" w:rsidR="00652908" w:rsidRDefault="00652908" w:rsidP="00605F0A">
            <w:r>
              <w:t>Careless Driving</w:t>
            </w:r>
          </w:p>
        </w:tc>
        <w:tc>
          <w:tcPr>
            <w:tcW w:w="1870" w:type="dxa"/>
          </w:tcPr>
          <w:p w14:paraId="4A5BD8BE"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5.10</w:t>
            </w:r>
          </w:p>
        </w:tc>
        <w:tc>
          <w:tcPr>
            <w:tcW w:w="1870" w:type="dxa"/>
          </w:tcPr>
          <w:p w14:paraId="4096D8E0"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0.02</w:t>
            </w:r>
          </w:p>
        </w:tc>
        <w:tc>
          <w:tcPr>
            <w:tcW w:w="1558" w:type="dxa"/>
          </w:tcPr>
          <w:p w14:paraId="760AD9C5"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1.95</w:t>
            </w:r>
          </w:p>
        </w:tc>
      </w:tr>
      <w:tr w:rsidR="00B67631" w14:paraId="56DC5527" w14:textId="77777777" w:rsidTr="00605F0A">
        <w:tc>
          <w:tcPr>
            <w:cnfStyle w:val="001000000000" w:firstRow="0" w:lastRow="0" w:firstColumn="1" w:lastColumn="0" w:oddVBand="0" w:evenVBand="0" w:oddHBand="0" w:evenHBand="0" w:firstRowFirstColumn="0" w:firstRowLastColumn="0" w:lastRowFirstColumn="0" w:lastRowLastColumn="0"/>
            <w:tcW w:w="1870" w:type="dxa"/>
          </w:tcPr>
          <w:p w14:paraId="60816FD5" w14:textId="353C3606" w:rsidR="00652908" w:rsidRDefault="00652908" w:rsidP="00605F0A">
            <w:r>
              <w:t xml:space="preserve">Other </w:t>
            </w:r>
            <w:r w:rsidR="00620910">
              <w:t>Traffic offence</w:t>
            </w:r>
          </w:p>
        </w:tc>
        <w:tc>
          <w:tcPr>
            <w:tcW w:w="1870" w:type="dxa"/>
          </w:tcPr>
          <w:p w14:paraId="60AC2A20" w14:textId="77777777" w:rsidR="00652908" w:rsidRDefault="00652908" w:rsidP="00605F0A">
            <w:pPr>
              <w:cnfStyle w:val="000000000000" w:firstRow="0" w:lastRow="0" w:firstColumn="0" w:lastColumn="0" w:oddVBand="0" w:evenVBand="0" w:oddHBand="0" w:evenHBand="0" w:firstRowFirstColumn="0" w:firstRowLastColumn="0" w:lastRowFirstColumn="0" w:lastRowLastColumn="0"/>
            </w:pPr>
            <w:r>
              <w:t>22.92</w:t>
            </w:r>
          </w:p>
        </w:tc>
        <w:tc>
          <w:tcPr>
            <w:tcW w:w="1870" w:type="dxa"/>
          </w:tcPr>
          <w:p w14:paraId="47D8EF1B" w14:textId="45A18BB1" w:rsidR="00652908" w:rsidRDefault="00652908" w:rsidP="00605F0A">
            <w:pPr>
              <w:cnfStyle w:val="000000000000" w:firstRow="0" w:lastRow="0" w:firstColumn="0" w:lastColumn="0" w:oddVBand="0" w:evenVBand="0" w:oddHBand="0" w:evenHBand="0" w:firstRowFirstColumn="0" w:firstRowLastColumn="0" w:lastRowFirstColumn="0" w:lastRowLastColumn="0"/>
            </w:pPr>
            <w:r>
              <w:t>&lt;0.01</w:t>
            </w:r>
          </w:p>
        </w:tc>
        <w:tc>
          <w:tcPr>
            <w:tcW w:w="1558" w:type="dxa"/>
          </w:tcPr>
          <w:p w14:paraId="6859C4B5" w14:textId="7F99E1F0" w:rsidR="00652908" w:rsidRDefault="00652908" w:rsidP="00605F0A">
            <w:pPr>
              <w:cnfStyle w:val="000000000000" w:firstRow="0" w:lastRow="0" w:firstColumn="0" w:lastColumn="0" w:oddVBand="0" w:evenVBand="0" w:oddHBand="0" w:evenHBand="0" w:firstRowFirstColumn="0" w:firstRowLastColumn="0" w:lastRowFirstColumn="0" w:lastRowLastColumn="0"/>
            </w:pPr>
            <w:r>
              <w:t>1.90</w:t>
            </w:r>
          </w:p>
        </w:tc>
      </w:tr>
      <w:tr w:rsidR="00652908" w14:paraId="03FFF77E" w14:textId="77777777" w:rsidTr="0060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8" w:type="dxa"/>
            <w:gridSpan w:val="4"/>
            <w:shd w:val="clear" w:color="auto" w:fill="336699" w:themeFill="accent4"/>
          </w:tcPr>
          <w:p w14:paraId="5DBBAD9B" w14:textId="4F65030A" w:rsidR="00652908" w:rsidRDefault="00652908" w:rsidP="00605F0A">
            <w:pPr>
              <w:tabs>
                <w:tab w:val="left" w:pos="705"/>
                <w:tab w:val="center" w:pos="3476"/>
              </w:tabs>
            </w:pPr>
            <w:r>
              <w:rPr>
                <w:color w:val="FFFFFF" w:themeColor="background1"/>
              </w:rPr>
              <w:tab/>
            </w:r>
            <w:r>
              <w:rPr>
                <w:color w:val="FFFFFF" w:themeColor="background1"/>
              </w:rPr>
              <w:tab/>
            </w:r>
            <w:r w:rsidRPr="00203D6F">
              <w:rPr>
                <w:color w:val="FFFFFF" w:themeColor="background1"/>
              </w:rPr>
              <w:t>Court Attendees of Newcomer Status</w:t>
            </w:r>
          </w:p>
        </w:tc>
      </w:tr>
      <w:tr w:rsidR="00652908" w14:paraId="60667A46" w14:textId="77777777" w:rsidTr="00605F0A">
        <w:tc>
          <w:tcPr>
            <w:cnfStyle w:val="001000000000" w:firstRow="0" w:lastRow="0" w:firstColumn="1" w:lastColumn="0" w:oddVBand="0" w:evenVBand="0" w:oddHBand="0" w:evenHBand="0" w:firstRowFirstColumn="0" w:firstRowLastColumn="0" w:lastRowFirstColumn="0" w:lastRowLastColumn="0"/>
            <w:tcW w:w="1870" w:type="dxa"/>
            <w:shd w:val="clear" w:color="auto" w:fill="D9D9D9" w:themeFill="background1" w:themeFillShade="D9"/>
          </w:tcPr>
          <w:p w14:paraId="0DC64AA2" w14:textId="1FDD92EE" w:rsidR="00652908" w:rsidRDefault="00652908" w:rsidP="00605F0A"/>
        </w:tc>
        <w:tc>
          <w:tcPr>
            <w:tcW w:w="1870" w:type="dxa"/>
            <w:shd w:val="clear" w:color="auto" w:fill="D9D9D9" w:themeFill="background1" w:themeFillShade="D9"/>
          </w:tcPr>
          <w:p w14:paraId="0B29E2A0" w14:textId="77777777" w:rsidR="00652908" w:rsidRPr="00203D6F" w:rsidRDefault="00652908" w:rsidP="00605F0A">
            <w:pPr>
              <w:jc w:val="center"/>
              <w:cnfStyle w:val="000000000000" w:firstRow="0" w:lastRow="0" w:firstColumn="0" w:lastColumn="0" w:oddVBand="0" w:evenVBand="0" w:oddHBand="0" w:evenHBand="0" w:firstRowFirstColumn="0" w:firstRowLastColumn="0" w:lastRowFirstColumn="0" w:lastRowLastColumn="0"/>
              <w:rPr>
                <w:b/>
                <w:bCs/>
              </w:rPr>
            </w:pPr>
            <w:r w:rsidRPr="00203D6F">
              <w:rPr>
                <w:b/>
                <w:bCs/>
              </w:rPr>
              <w:t>X</w:t>
            </w:r>
            <w:r w:rsidRPr="00203D6F">
              <w:rPr>
                <w:b/>
                <w:bCs/>
                <w:vertAlign w:val="superscript"/>
              </w:rPr>
              <w:t>2</w:t>
            </w:r>
            <w:r w:rsidRPr="00203D6F">
              <w:rPr>
                <w:b/>
                <w:bCs/>
              </w:rPr>
              <w:t xml:space="preserve"> Value</w:t>
            </w:r>
          </w:p>
        </w:tc>
        <w:tc>
          <w:tcPr>
            <w:tcW w:w="1870" w:type="dxa"/>
            <w:shd w:val="clear" w:color="auto" w:fill="D9D9D9" w:themeFill="background1" w:themeFillShade="D9"/>
          </w:tcPr>
          <w:p w14:paraId="60E7C953" w14:textId="77777777" w:rsidR="00652908" w:rsidRPr="00203D6F" w:rsidRDefault="00652908" w:rsidP="00605F0A">
            <w:pPr>
              <w:jc w:val="center"/>
              <w:cnfStyle w:val="000000000000" w:firstRow="0" w:lastRow="0" w:firstColumn="0" w:lastColumn="0" w:oddVBand="0" w:evenVBand="0" w:oddHBand="0" w:evenHBand="0" w:firstRowFirstColumn="0" w:firstRowLastColumn="0" w:lastRowFirstColumn="0" w:lastRowLastColumn="0"/>
              <w:rPr>
                <w:b/>
                <w:bCs/>
              </w:rPr>
            </w:pPr>
            <w:r w:rsidRPr="00203D6F">
              <w:rPr>
                <w:b/>
                <w:bCs/>
              </w:rPr>
              <w:t>p-value</w:t>
            </w:r>
          </w:p>
        </w:tc>
        <w:tc>
          <w:tcPr>
            <w:tcW w:w="1558" w:type="dxa"/>
            <w:shd w:val="clear" w:color="auto" w:fill="D9D9D9" w:themeFill="background1" w:themeFillShade="D9"/>
          </w:tcPr>
          <w:p w14:paraId="37234DA5" w14:textId="0973CA2E" w:rsidR="00652908" w:rsidRPr="00203D6F" w:rsidRDefault="00652908" w:rsidP="00605F0A">
            <w:pPr>
              <w:jc w:val="center"/>
              <w:cnfStyle w:val="000000000000" w:firstRow="0" w:lastRow="0" w:firstColumn="0" w:lastColumn="0" w:oddVBand="0" w:evenVBand="0" w:oddHBand="0" w:evenHBand="0" w:firstRowFirstColumn="0" w:firstRowLastColumn="0" w:lastRowFirstColumn="0" w:lastRowLastColumn="0"/>
              <w:rPr>
                <w:b/>
                <w:bCs/>
              </w:rPr>
            </w:pPr>
            <w:r w:rsidRPr="00203D6F">
              <w:rPr>
                <w:b/>
                <w:bCs/>
              </w:rPr>
              <w:t>Odds Ratio</w:t>
            </w:r>
          </w:p>
        </w:tc>
      </w:tr>
      <w:tr w:rsidR="00B67631" w14:paraId="08F49C46" w14:textId="77777777" w:rsidTr="0060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66DA645" w14:textId="77777777" w:rsidR="00652908" w:rsidRDefault="00652908" w:rsidP="00605F0A">
            <w:r>
              <w:t>Driving Through a Stoplight</w:t>
            </w:r>
          </w:p>
        </w:tc>
        <w:tc>
          <w:tcPr>
            <w:tcW w:w="1870" w:type="dxa"/>
          </w:tcPr>
          <w:p w14:paraId="479092E9"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13.33</w:t>
            </w:r>
          </w:p>
        </w:tc>
        <w:tc>
          <w:tcPr>
            <w:tcW w:w="1870" w:type="dxa"/>
          </w:tcPr>
          <w:p w14:paraId="1060D96D"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&lt;0.01</w:t>
            </w:r>
          </w:p>
        </w:tc>
        <w:tc>
          <w:tcPr>
            <w:tcW w:w="1558" w:type="dxa"/>
          </w:tcPr>
          <w:p w14:paraId="6E81E9D6" w14:textId="45662378" w:rsidR="00652908" w:rsidRDefault="00652908" w:rsidP="00605F0A">
            <w:pPr>
              <w:cnfStyle w:val="000000100000" w:firstRow="0" w:lastRow="0" w:firstColumn="0" w:lastColumn="0" w:oddVBand="0" w:evenVBand="0" w:oddHBand="1" w:evenHBand="0" w:firstRowFirstColumn="0" w:firstRowLastColumn="0" w:lastRowFirstColumn="0" w:lastRowLastColumn="0"/>
            </w:pPr>
            <w:r>
              <w:t>1.36</w:t>
            </w:r>
          </w:p>
        </w:tc>
      </w:tr>
      <w:tr w:rsidR="00B67631" w14:paraId="012AD7B9" w14:textId="77777777" w:rsidTr="00605F0A">
        <w:tc>
          <w:tcPr>
            <w:cnfStyle w:val="001000000000" w:firstRow="0" w:lastRow="0" w:firstColumn="1" w:lastColumn="0" w:oddVBand="0" w:evenVBand="0" w:oddHBand="0" w:evenHBand="0" w:firstRowFirstColumn="0" w:firstRowLastColumn="0" w:lastRowFirstColumn="0" w:lastRowLastColumn="0"/>
            <w:tcW w:w="1870" w:type="dxa"/>
          </w:tcPr>
          <w:p w14:paraId="2B1BE1B4" w14:textId="77777777" w:rsidR="00652908" w:rsidRDefault="00652908" w:rsidP="00605F0A">
            <w:r>
              <w:t xml:space="preserve">Not Wearing a Seatbelt </w:t>
            </w:r>
          </w:p>
        </w:tc>
        <w:tc>
          <w:tcPr>
            <w:tcW w:w="1870" w:type="dxa"/>
          </w:tcPr>
          <w:p w14:paraId="67AE79AD" w14:textId="77777777" w:rsidR="00652908" w:rsidRDefault="00652908" w:rsidP="00605F0A">
            <w:pPr>
              <w:cnfStyle w:val="000000000000" w:firstRow="0" w:lastRow="0" w:firstColumn="0" w:lastColumn="0" w:oddVBand="0" w:evenVBand="0" w:oddHBand="0" w:evenHBand="0" w:firstRowFirstColumn="0" w:firstRowLastColumn="0" w:lastRowFirstColumn="0" w:lastRowLastColumn="0"/>
            </w:pPr>
            <w:r>
              <w:t>9.39</w:t>
            </w:r>
          </w:p>
        </w:tc>
        <w:tc>
          <w:tcPr>
            <w:tcW w:w="1870" w:type="dxa"/>
          </w:tcPr>
          <w:p w14:paraId="2B7EC009" w14:textId="77777777" w:rsidR="00652908" w:rsidRDefault="00652908" w:rsidP="00605F0A">
            <w:pPr>
              <w:cnfStyle w:val="000000000000" w:firstRow="0" w:lastRow="0" w:firstColumn="0" w:lastColumn="0" w:oddVBand="0" w:evenVBand="0" w:oddHBand="0" w:evenHBand="0" w:firstRowFirstColumn="0" w:firstRowLastColumn="0" w:lastRowFirstColumn="0" w:lastRowLastColumn="0"/>
            </w:pPr>
            <w:r>
              <w:t>&lt;0.01</w:t>
            </w:r>
          </w:p>
        </w:tc>
        <w:tc>
          <w:tcPr>
            <w:tcW w:w="1558" w:type="dxa"/>
          </w:tcPr>
          <w:p w14:paraId="3899D91C" w14:textId="47550D1E" w:rsidR="00652908" w:rsidRDefault="00652908" w:rsidP="00605F0A">
            <w:pPr>
              <w:cnfStyle w:val="000000000000" w:firstRow="0" w:lastRow="0" w:firstColumn="0" w:lastColumn="0" w:oddVBand="0" w:evenVBand="0" w:oddHBand="0" w:evenHBand="0" w:firstRowFirstColumn="0" w:firstRowLastColumn="0" w:lastRowFirstColumn="0" w:lastRowLastColumn="0"/>
            </w:pPr>
            <w:r>
              <w:t>2.43</w:t>
            </w:r>
          </w:p>
        </w:tc>
      </w:tr>
      <w:tr w:rsidR="00B67631" w14:paraId="2777BAF9" w14:textId="77777777" w:rsidTr="0060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339B74D" w14:textId="77777777" w:rsidR="00652908" w:rsidRDefault="00652908" w:rsidP="00605F0A">
            <w:r>
              <w:t>Careless Driving</w:t>
            </w:r>
          </w:p>
        </w:tc>
        <w:tc>
          <w:tcPr>
            <w:tcW w:w="1870" w:type="dxa"/>
          </w:tcPr>
          <w:p w14:paraId="4839D4EC"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32.51</w:t>
            </w:r>
          </w:p>
        </w:tc>
        <w:tc>
          <w:tcPr>
            <w:tcW w:w="1870" w:type="dxa"/>
          </w:tcPr>
          <w:p w14:paraId="6DAA344E"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&lt;0.01</w:t>
            </w:r>
          </w:p>
        </w:tc>
        <w:tc>
          <w:tcPr>
            <w:tcW w:w="1558" w:type="dxa"/>
          </w:tcPr>
          <w:p w14:paraId="35A5749F" w14:textId="64C9E3C4" w:rsidR="00652908" w:rsidRDefault="00652908" w:rsidP="00605F0A">
            <w:pPr>
              <w:cnfStyle w:val="000000100000" w:firstRow="0" w:lastRow="0" w:firstColumn="0" w:lastColumn="0" w:oddVBand="0" w:evenVBand="0" w:oddHBand="1" w:evenHBand="0" w:firstRowFirstColumn="0" w:firstRowLastColumn="0" w:lastRowFirstColumn="0" w:lastRowLastColumn="0"/>
            </w:pPr>
            <w:r>
              <w:t>0.88</w:t>
            </w:r>
          </w:p>
        </w:tc>
      </w:tr>
      <w:tr w:rsidR="00B67631" w14:paraId="0D3F2AD5" w14:textId="77777777" w:rsidTr="00605F0A">
        <w:tc>
          <w:tcPr>
            <w:cnfStyle w:val="001000000000" w:firstRow="0" w:lastRow="0" w:firstColumn="1" w:lastColumn="0" w:oddVBand="0" w:evenVBand="0" w:oddHBand="0" w:evenHBand="0" w:firstRowFirstColumn="0" w:firstRowLastColumn="0" w:lastRowFirstColumn="0" w:lastRowLastColumn="0"/>
            <w:tcW w:w="1870" w:type="dxa"/>
          </w:tcPr>
          <w:p w14:paraId="374CB9AD" w14:textId="77777777" w:rsidR="00652908" w:rsidRDefault="00652908" w:rsidP="00605F0A">
            <w:r>
              <w:t>Speeding</w:t>
            </w:r>
          </w:p>
        </w:tc>
        <w:tc>
          <w:tcPr>
            <w:tcW w:w="1870" w:type="dxa"/>
          </w:tcPr>
          <w:p w14:paraId="157BE5CF" w14:textId="77777777" w:rsidR="00652908" w:rsidRDefault="00652908" w:rsidP="00605F0A">
            <w:pPr>
              <w:cnfStyle w:val="000000000000" w:firstRow="0" w:lastRow="0" w:firstColumn="0" w:lastColumn="0" w:oddVBand="0" w:evenVBand="0" w:oddHBand="0" w:evenHBand="0" w:firstRowFirstColumn="0" w:firstRowLastColumn="0" w:lastRowFirstColumn="0" w:lastRowLastColumn="0"/>
            </w:pPr>
            <w:r>
              <w:t>21.40</w:t>
            </w:r>
          </w:p>
        </w:tc>
        <w:tc>
          <w:tcPr>
            <w:tcW w:w="1870" w:type="dxa"/>
          </w:tcPr>
          <w:p w14:paraId="4D2C065F" w14:textId="655C8445" w:rsidR="00652908" w:rsidRDefault="00652908" w:rsidP="00605F0A">
            <w:pPr>
              <w:cnfStyle w:val="000000000000" w:firstRow="0" w:lastRow="0" w:firstColumn="0" w:lastColumn="0" w:oddVBand="0" w:evenVBand="0" w:oddHBand="0" w:evenHBand="0" w:firstRowFirstColumn="0" w:firstRowLastColumn="0" w:lastRowFirstColumn="0" w:lastRowLastColumn="0"/>
            </w:pPr>
            <w:r>
              <w:t>&lt;0.01</w:t>
            </w:r>
          </w:p>
        </w:tc>
        <w:tc>
          <w:tcPr>
            <w:tcW w:w="1558" w:type="dxa"/>
          </w:tcPr>
          <w:p w14:paraId="2CFD51FD" w14:textId="508D5A08" w:rsidR="00652908" w:rsidRDefault="00652908" w:rsidP="00605F0A">
            <w:pPr>
              <w:cnfStyle w:val="000000000000" w:firstRow="0" w:lastRow="0" w:firstColumn="0" w:lastColumn="0" w:oddVBand="0" w:evenVBand="0" w:oddHBand="0" w:evenHBand="0" w:firstRowFirstColumn="0" w:firstRowLastColumn="0" w:lastRowFirstColumn="0" w:lastRowLastColumn="0"/>
            </w:pPr>
            <w:r>
              <w:t>1.29</w:t>
            </w:r>
          </w:p>
        </w:tc>
      </w:tr>
      <w:tr w:rsidR="00B67631" w14:paraId="139D5105" w14:textId="77777777" w:rsidTr="0060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B5AF1A3" w14:textId="77777777" w:rsidR="00652908" w:rsidRDefault="00652908" w:rsidP="00605F0A">
            <w:r>
              <w:t>Illegal U-turn</w:t>
            </w:r>
          </w:p>
        </w:tc>
        <w:tc>
          <w:tcPr>
            <w:tcW w:w="1870" w:type="dxa"/>
          </w:tcPr>
          <w:p w14:paraId="7AF4E642"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16.35</w:t>
            </w:r>
          </w:p>
        </w:tc>
        <w:tc>
          <w:tcPr>
            <w:tcW w:w="1870" w:type="dxa"/>
          </w:tcPr>
          <w:p w14:paraId="20326F55"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&lt;0.01</w:t>
            </w:r>
          </w:p>
        </w:tc>
        <w:tc>
          <w:tcPr>
            <w:tcW w:w="1558" w:type="dxa"/>
          </w:tcPr>
          <w:p w14:paraId="49E5E55F"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1.95</w:t>
            </w:r>
          </w:p>
        </w:tc>
      </w:tr>
      <w:tr w:rsidR="00B67631" w14:paraId="5B10D241" w14:textId="77777777" w:rsidTr="00605F0A">
        <w:tc>
          <w:tcPr>
            <w:cnfStyle w:val="001000000000" w:firstRow="0" w:lastRow="0" w:firstColumn="1" w:lastColumn="0" w:oddVBand="0" w:evenVBand="0" w:oddHBand="0" w:evenHBand="0" w:firstRowFirstColumn="0" w:firstRowLastColumn="0" w:lastRowFirstColumn="0" w:lastRowLastColumn="0"/>
            <w:tcW w:w="1870" w:type="dxa"/>
          </w:tcPr>
          <w:p w14:paraId="1539E8B0" w14:textId="4AABC0F5" w:rsidR="00652908" w:rsidRDefault="00652908" w:rsidP="00605F0A">
            <w:r>
              <w:t>Failure to Provide License or Registration</w:t>
            </w:r>
          </w:p>
        </w:tc>
        <w:tc>
          <w:tcPr>
            <w:tcW w:w="1870" w:type="dxa"/>
          </w:tcPr>
          <w:p w14:paraId="69A0606E" w14:textId="77777777" w:rsidR="00652908" w:rsidRDefault="00652908" w:rsidP="00605F0A">
            <w:pPr>
              <w:cnfStyle w:val="000000000000" w:firstRow="0" w:lastRow="0" w:firstColumn="0" w:lastColumn="0" w:oddVBand="0" w:evenVBand="0" w:oddHBand="0" w:evenHBand="0" w:firstRowFirstColumn="0" w:firstRowLastColumn="0" w:lastRowFirstColumn="0" w:lastRowLastColumn="0"/>
            </w:pPr>
            <w:r>
              <w:t>216.87</w:t>
            </w:r>
          </w:p>
        </w:tc>
        <w:tc>
          <w:tcPr>
            <w:tcW w:w="1870" w:type="dxa"/>
          </w:tcPr>
          <w:p w14:paraId="48A05A84" w14:textId="38DF20CC" w:rsidR="00652908" w:rsidRDefault="00652908" w:rsidP="00605F0A">
            <w:pPr>
              <w:cnfStyle w:val="000000000000" w:firstRow="0" w:lastRow="0" w:firstColumn="0" w:lastColumn="0" w:oddVBand="0" w:evenVBand="0" w:oddHBand="0" w:evenHBand="0" w:firstRowFirstColumn="0" w:firstRowLastColumn="0" w:lastRowFirstColumn="0" w:lastRowLastColumn="0"/>
            </w:pPr>
            <w:r>
              <w:t>&lt;0.01</w:t>
            </w:r>
          </w:p>
        </w:tc>
        <w:tc>
          <w:tcPr>
            <w:tcW w:w="1558" w:type="dxa"/>
          </w:tcPr>
          <w:p w14:paraId="4ABD4BC6" w14:textId="029D562F" w:rsidR="00652908" w:rsidRDefault="00652908" w:rsidP="00605F0A">
            <w:pPr>
              <w:cnfStyle w:val="000000000000" w:firstRow="0" w:lastRow="0" w:firstColumn="0" w:lastColumn="0" w:oddVBand="0" w:evenVBand="0" w:oddHBand="0" w:evenHBand="0" w:firstRowFirstColumn="0" w:firstRowLastColumn="0" w:lastRowFirstColumn="0" w:lastRowLastColumn="0"/>
            </w:pPr>
            <w:r>
              <w:t>0.9</w:t>
            </w:r>
            <w:r w:rsidR="0070289F">
              <w:t>5</w:t>
            </w:r>
          </w:p>
        </w:tc>
      </w:tr>
      <w:tr w:rsidR="00B67631" w14:paraId="100A408B" w14:textId="77777777" w:rsidTr="0060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1494B27" w14:textId="011E751C" w:rsidR="00652908" w:rsidRDefault="00652908" w:rsidP="00605F0A">
            <w:r>
              <w:t xml:space="preserve">Other </w:t>
            </w:r>
            <w:r w:rsidR="00620910">
              <w:t>Traffic offence</w:t>
            </w:r>
          </w:p>
        </w:tc>
        <w:tc>
          <w:tcPr>
            <w:tcW w:w="1870" w:type="dxa"/>
          </w:tcPr>
          <w:p w14:paraId="23D51C9E" w14:textId="77777777" w:rsidR="00652908" w:rsidRDefault="00652908" w:rsidP="00605F0A">
            <w:pPr>
              <w:cnfStyle w:val="000000100000" w:firstRow="0" w:lastRow="0" w:firstColumn="0" w:lastColumn="0" w:oddVBand="0" w:evenVBand="0" w:oddHBand="1" w:evenHBand="0" w:firstRowFirstColumn="0" w:firstRowLastColumn="0" w:lastRowFirstColumn="0" w:lastRowLastColumn="0"/>
            </w:pPr>
            <w:r>
              <w:t>568.81</w:t>
            </w:r>
          </w:p>
        </w:tc>
        <w:tc>
          <w:tcPr>
            <w:tcW w:w="1870" w:type="dxa"/>
          </w:tcPr>
          <w:p w14:paraId="41B7A035" w14:textId="54913B54" w:rsidR="00652908" w:rsidRDefault="00652908" w:rsidP="00605F0A">
            <w:pPr>
              <w:cnfStyle w:val="000000100000" w:firstRow="0" w:lastRow="0" w:firstColumn="0" w:lastColumn="0" w:oddVBand="0" w:evenVBand="0" w:oddHBand="1" w:evenHBand="0" w:firstRowFirstColumn="0" w:firstRowLastColumn="0" w:lastRowFirstColumn="0" w:lastRowLastColumn="0"/>
            </w:pPr>
            <w:r>
              <w:t>&lt;0.01</w:t>
            </w:r>
          </w:p>
        </w:tc>
        <w:tc>
          <w:tcPr>
            <w:tcW w:w="1558" w:type="dxa"/>
          </w:tcPr>
          <w:p w14:paraId="3C89DDAE" w14:textId="5D307470" w:rsidR="00652908" w:rsidRDefault="00652908" w:rsidP="00605F0A">
            <w:pPr>
              <w:cnfStyle w:val="000000100000" w:firstRow="0" w:lastRow="0" w:firstColumn="0" w:lastColumn="0" w:oddVBand="0" w:evenVBand="0" w:oddHBand="1" w:evenHBand="0" w:firstRowFirstColumn="0" w:firstRowLastColumn="0" w:lastRowFirstColumn="0" w:lastRowLastColumn="0"/>
            </w:pPr>
            <w:r>
              <w:t>1.30</w:t>
            </w:r>
          </w:p>
        </w:tc>
      </w:tr>
    </w:tbl>
    <w:p w14:paraId="3537520D" w14:textId="735298F8" w:rsidR="00EB6C59" w:rsidRDefault="003C2DC6" w:rsidP="00EB6C59">
      <w:pPr>
        <w:autoSpaceDE w:val="0"/>
        <w:autoSpaceDN w:val="0"/>
        <w:adjustRightInd w:val="0"/>
        <w:spacing w:after="0" w:line="240" w:lineRule="auto"/>
        <w:rPr>
          <w:color w:val="FF0000"/>
        </w:rPr>
      </w:pPr>
      <w:r w:rsidRPr="0058740C">
        <w:t xml:space="preserve">Overall, </w:t>
      </w:r>
      <w:r w:rsidR="000371B0" w:rsidRPr="0058740C">
        <w:t xml:space="preserve">the overwhelming majority of attendees at Calgary’s </w:t>
      </w:r>
      <w:r w:rsidR="007952BD">
        <w:t>Traffic Court</w:t>
      </w:r>
      <w:r w:rsidR="000371B0" w:rsidRPr="0058740C">
        <w:t xml:space="preserve"> (89%) had one </w:t>
      </w:r>
      <w:r w:rsidR="00620910">
        <w:t>Traffic offence</w:t>
      </w:r>
      <w:r w:rsidR="000371B0" w:rsidRPr="0058740C">
        <w:t xml:space="preserve"> (Figure </w:t>
      </w:r>
      <w:r w:rsidR="004503EB">
        <w:t>61</w:t>
      </w:r>
      <w:r w:rsidR="000371B0" w:rsidRPr="0058740C">
        <w:t xml:space="preserve">), an observation that is true of individuals of all minority classifications (Figure </w:t>
      </w:r>
      <w:r w:rsidR="004503EB">
        <w:t>62</w:t>
      </w:r>
      <w:r w:rsidR="000371B0" w:rsidRPr="0058740C">
        <w:t xml:space="preserve">). </w:t>
      </w:r>
      <w:r w:rsidRPr="0058740C">
        <w:t>‘</w:t>
      </w:r>
      <w:r w:rsidR="000371B0" w:rsidRPr="0058740C">
        <w:t>Speeding</w:t>
      </w:r>
      <w:r w:rsidRPr="0058740C">
        <w:t>’ represented the most frequent</w:t>
      </w:r>
      <w:r w:rsidR="000371B0" w:rsidRPr="0058740C">
        <w:t xml:space="preserve"> (53.58%)</w:t>
      </w:r>
      <w:r w:rsidRPr="0058740C">
        <w:t xml:space="preserve"> </w:t>
      </w:r>
      <w:r w:rsidR="00620910">
        <w:t>Traffic offence</w:t>
      </w:r>
      <w:r w:rsidRPr="0058740C">
        <w:t xml:space="preserve"> overall</w:t>
      </w:r>
      <w:r w:rsidR="000371B0" w:rsidRPr="0058740C">
        <w:t xml:space="preserve"> (Figure </w:t>
      </w:r>
      <w:r w:rsidR="004503EB">
        <w:t>63</w:t>
      </w:r>
      <w:r w:rsidR="000371B0" w:rsidRPr="0058740C">
        <w:t>)</w:t>
      </w:r>
      <w:r w:rsidRPr="0058740C">
        <w:t>, and across individuals of all minority status</w:t>
      </w:r>
      <w:r w:rsidR="006E4F4E">
        <w:t>es</w:t>
      </w:r>
      <w:r w:rsidRPr="0058740C">
        <w:t xml:space="preserve"> (Figure </w:t>
      </w:r>
      <w:r w:rsidR="004503EB">
        <w:t>64, 65, 66</w:t>
      </w:r>
      <w:r w:rsidRPr="0058740C">
        <w:t>).</w:t>
      </w:r>
      <w:r w:rsidRPr="003C2DC6">
        <w:rPr>
          <w:color w:val="FF0000"/>
        </w:rPr>
        <w:t xml:space="preserve"> </w:t>
      </w:r>
    </w:p>
    <w:p w14:paraId="6CDE4559" w14:textId="419F6D19" w:rsidR="00EB6C59" w:rsidRDefault="00EB6C59" w:rsidP="00EB6C59">
      <w:pPr>
        <w:autoSpaceDE w:val="0"/>
        <w:autoSpaceDN w:val="0"/>
        <w:adjustRightInd w:val="0"/>
        <w:spacing w:after="0" w:line="240" w:lineRule="auto"/>
        <w:rPr>
          <w:color w:val="FF0000"/>
        </w:rPr>
      </w:pPr>
    </w:p>
    <w:p w14:paraId="3E78FA50" w14:textId="5CF22B88" w:rsidR="002003BD" w:rsidRDefault="002003BD" w:rsidP="00EB6C59">
      <w:pPr>
        <w:autoSpaceDE w:val="0"/>
        <w:autoSpaceDN w:val="0"/>
        <w:adjustRightInd w:val="0"/>
        <w:spacing w:after="0" w:line="240" w:lineRule="auto"/>
      </w:pPr>
      <w:r w:rsidRPr="00DF3BE3">
        <w:t>I</w:t>
      </w:r>
      <w:r w:rsidR="00DF3BE3" w:rsidRPr="00DF3BE3">
        <w:t xml:space="preserve">t was noted that in comparison to individuals without minority status, Indigenous attendees were more likely to have offences related to driving through stoplights, careless driving, or ‘other’ </w:t>
      </w:r>
      <w:r w:rsidR="00620910">
        <w:t>Traffic offences</w:t>
      </w:r>
      <w:r w:rsidR="00DF3BE3" w:rsidRPr="00DF3BE3">
        <w:t xml:space="preserve"> in </w:t>
      </w:r>
      <w:r w:rsidR="007952BD">
        <w:t>Traffic Court</w:t>
      </w:r>
      <w:r w:rsidR="000F39CF">
        <w:t xml:space="preserve">, demonstrating </w:t>
      </w:r>
      <w:r w:rsidR="00775D5A">
        <w:t>2.85%</w:t>
      </w:r>
      <w:r w:rsidR="000F39CF">
        <w:t xml:space="preserve">, </w:t>
      </w:r>
      <w:r w:rsidR="00775D5A">
        <w:t>1.24%</w:t>
      </w:r>
      <w:r w:rsidR="000F39CF">
        <w:t xml:space="preserve">, and </w:t>
      </w:r>
      <w:r w:rsidR="00775D5A">
        <w:t>5.96</w:t>
      </w:r>
      <w:r w:rsidR="000F39CF">
        <w:t>% deviation from proportions in individuals without minority status</w:t>
      </w:r>
      <w:r w:rsidR="00775D5A">
        <w:t xml:space="preserve"> respectively (</w:t>
      </w:r>
      <w:r w:rsidR="00EB6C59">
        <w:t xml:space="preserve">Figure </w:t>
      </w:r>
      <w:r w:rsidR="009278CE">
        <w:t xml:space="preserve">64, </w:t>
      </w:r>
      <w:r w:rsidR="00EB6C59">
        <w:t>65</w:t>
      </w:r>
      <w:r w:rsidR="00775D5A">
        <w:t>)</w:t>
      </w:r>
      <w:r w:rsidR="00DF3BE3" w:rsidRPr="00DF3BE3">
        <w:t xml:space="preserve">. The odds of Indigenous attendees in </w:t>
      </w:r>
      <w:r w:rsidR="007952BD">
        <w:t>Traffic Court</w:t>
      </w:r>
      <w:r w:rsidR="00DF3BE3" w:rsidRPr="00DF3BE3">
        <w:t xml:space="preserve"> having these charges w</w:t>
      </w:r>
      <w:r w:rsidR="00FC4D96">
        <w:t>ere</w:t>
      </w:r>
      <w:r w:rsidR="00DF3BE3" w:rsidRPr="00DF3BE3">
        <w:t xml:space="preserve"> 1.54X, 1.95X, and 1.90X that of individuals without minority status, respectively (Table </w:t>
      </w:r>
      <w:r w:rsidR="003D49D7">
        <w:t>25</w:t>
      </w:r>
      <w:r w:rsidR="00DF3BE3" w:rsidRPr="00DF3BE3">
        <w:t xml:space="preserve">). </w:t>
      </w:r>
    </w:p>
    <w:p w14:paraId="5CB64DC6" w14:textId="7E764675" w:rsidR="00EB6C59" w:rsidRPr="00EB6C59" w:rsidRDefault="00EB6C59" w:rsidP="00EB6C59">
      <w:pPr>
        <w:autoSpaceDE w:val="0"/>
        <w:autoSpaceDN w:val="0"/>
        <w:adjustRightInd w:val="0"/>
        <w:spacing w:after="0" w:line="240" w:lineRule="auto"/>
        <w:rPr>
          <w:color w:val="FF0000"/>
        </w:rPr>
      </w:pPr>
    </w:p>
    <w:p w14:paraId="1E8499A0" w14:textId="1A79E4F3" w:rsidR="00E950BD" w:rsidRPr="00DF3BE3" w:rsidRDefault="0049355B" w:rsidP="001970F3">
      <w:r w:rsidRPr="0058740C">
        <w:rPr>
          <w:noProof/>
          <w:lang w:val="en-US"/>
        </w:rPr>
        <mc:AlternateContent>
          <mc:Choice Requires="wps">
            <w:drawing>
              <wp:anchor distT="0" distB="0" distL="114300" distR="114300" simplePos="0" relativeHeight="252229120" behindDoc="1" locked="0" layoutInCell="1" allowOverlap="1" wp14:anchorId="54634450" wp14:editId="59A0EB71">
                <wp:simplePos x="0" y="0"/>
                <wp:positionH relativeFrom="margin">
                  <wp:posOffset>-49151</wp:posOffset>
                </wp:positionH>
                <wp:positionV relativeFrom="margin">
                  <wp:posOffset>3117792</wp:posOffset>
                </wp:positionV>
                <wp:extent cx="4610100" cy="962025"/>
                <wp:effectExtent l="0" t="0" r="0" b="9525"/>
                <wp:wrapTight wrapText="bothSides">
                  <wp:wrapPolygon edited="0">
                    <wp:start x="0" y="0"/>
                    <wp:lineTo x="0" y="21386"/>
                    <wp:lineTo x="21511" y="21386"/>
                    <wp:lineTo x="21511" y="0"/>
                    <wp:lineTo x="0" y="0"/>
                  </wp:wrapPolygon>
                </wp:wrapTight>
                <wp:docPr id="536" name="Text Box 536"/>
                <wp:cNvGraphicFramePr/>
                <a:graphic xmlns:a="http://schemas.openxmlformats.org/drawingml/2006/main">
                  <a:graphicData uri="http://schemas.microsoft.com/office/word/2010/wordprocessingShape">
                    <wps:wsp>
                      <wps:cNvSpPr txBox="1"/>
                      <wps:spPr>
                        <a:xfrm>
                          <a:off x="0" y="0"/>
                          <a:ext cx="4610100" cy="962025"/>
                        </a:xfrm>
                        <a:prstGeom prst="rect">
                          <a:avLst/>
                        </a:prstGeom>
                        <a:solidFill>
                          <a:prstClr val="white"/>
                        </a:solidFill>
                        <a:ln>
                          <a:noFill/>
                        </a:ln>
                      </wps:spPr>
                      <wps:txbx>
                        <w:txbxContent>
                          <w:p w14:paraId="2FD0D39F" w14:textId="3A0C24B7" w:rsidR="00A56EB4" w:rsidRPr="00177D78" w:rsidRDefault="00A56EB4" w:rsidP="00B67631">
                            <w:pPr>
                              <w:pStyle w:val="Caption"/>
                              <w:rPr>
                                <w:b/>
                                <w:bCs/>
                              </w:rPr>
                            </w:pPr>
                            <w:r>
                              <w:rPr>
                                <w:b/>
                                <w:bCs/>
                              </w:rPr>
                              <w:t>Table 25</w:t>
                            </w:r>
                            <w:r w:rsidRPr="00B63B81">
                              <w:rPr>
                                <w:b/>
                                <w:bCs/>
                              </w:rPr>
                              <w:t>.</w:t>
                            </w:r>
                            <w:r>
                              <w:t xml:space="preserve"> Statistically significant (p&lt;0.05) relationships observed between minority status and frequency of specific offences in Calgary’s Traffic Court, between January 2017 and December 2018. Chi-squared values of p&lt;0.05 indicate the presence of a relationship between minority status and a </w:t>
                            </w:r>
                            <w:r w:rsidR="00620910">
                              <w:t>Traffic offence</w:t>
                            </w:r>
                            <w:r>
                              <w:t xml:space="preserve">, using frequencies of individuals without minority status for a null hypothesis. Odds ratios indicate the odds of a minority status having a given offence in Calgary’s Traffic Court, relative to individuals without minority status.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4450" id="Text Box 536" o:spid="_x0000_s1134" type="#_x0000_t202" style="position:absolute;margin-left:-3.85pt;margin-top:245.5pt;width:363pt;height:75.75pt;z-index:-251087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" stroked="f">
                <v:textbox inset="0,0,0,0">
                  <w:txbxContent>
                    <w:p w14:paraId="2FD0D39F" w14:textId="3A0C24B7" w:rsidR="00A56EB4" w:rsidRPr="00177D78" w:rsidRDefault="00A56EB4" w:rsidP="00B67631">
                      <w:pPr>
                        <w:pStyle w:val="Caption"/>
                        <w:rPr>
                          <w:b/>
                          <w:bCs/>
                        </w:rPr>
                      </w:pPr>
                      <w:r>
                        <w:rPr>
                          <w:b/>
                          <w:bCs/>
                        </w:rPr>
                        <w:t>Table 25</w:t>
                      </w:r>
                      <w:r w:rsidRPr="00B63B81">
                        <w:rPr>
                          <w:b/>
                          <w:bCs/>
                        </w:rPr>
                        <w:t>.</w:t>
                      </w:r>
                      <w:r>
                        <w:t xml:space="preserve"> Statistically significant (p&lt;0.05) relationships observed between minority status and frequency of specific offences in Calgary’s Traffic Court, between January 2017 and December 2018. Chi-squared values of p&lt;0.05 indicate the presence of a relationship between minority status and a </w:t>
                      </w:r>
                      <w:r w:rsidR="00620910">
                        <w:t>Traffic offence</w:t>
                      </w:r>
                      <w:r>
                        <w:t xml:space="preserve">, using frequencies of individuals without minority status for a null hypothesis. Odds ratios indicate the odds of a minority status having a given offence in Calgary’s Traffic Court, relative to individuals without minority status.  </w:t>
                      </w:r>
                    </w:p>
                  </w:txbxContent>
                </v:textbox>
                <w10:wrap type="tight" anchorx="margin" anchory="margin"/>
              </v:shape>
            </w:pict>
          </mc:Fallback>
        </mc:AlternateContent>
      </w:r>
      <w:r w:rsidR="001970F3" w:rsidRPr="00DF3BE3">
        <w:t>It was noted that in comparison to individuals without minority status, attendees</w:t>
      </w:r>
      <w:r w:rsidR="00EB0852">
        <w:t xml:space="preserve"> with newcomer status</w:t>
      </w:r>
      <w:r w:rsidR="001970F3" w:rsidRPr="00DF3BE3">
        <w:t xml:space="preserve"> were more likely to have offences related to driving through stoplights, </w:t>
      </w:r>
      <w:r w:rsidR="00EB0852">
        <w:t xml:space="preserve">not wearing seatbelts, speeding, illegal U-turns, and other </w:t>
      </w:r>
      <w:r w:rsidR="001970F3" w:rsidRPr="00DF3BE3">
        <w:t xml:space="preserve">offences in </w:t>
      </w:r>
      <w:r w:rsidR="007952BD">
        <w:t>Traffic Court</w:t>
      </w:r>
      <w:r w:rsidR="001970F3">
        <w:t xml:space="preserve">, demonstrating </w:t>
      </w:r>
      <w:r w:rsidR="00135A52">
        <w:t>1.49%, 0.50%, 6.35%, 1.18%, and 1.11%</w:t>
      </w:r>
      <w:r w:rsidR="001970F3">
        <w:t xml:space="preserve"> deviation from proportions in individuals without minority status</w:t>
      </w:r>
      <w:r w:rsidR="00135A52">
        <w:t xml:space="preserve">, </w:t>
      </w:r>
      <w:r w:rsidR="001970F3">
        <w:t xml:space="preserve">respectively (Figures </w:t>
      </w:r>
      <w:r w:rsidR="009278CE">
        <w:t>64, 66</w:t>
      </w:r>
      <w:r w:rsidR="001970F3">
        <w:t>)</w:t>
      </w:r>
      <w:r w:rsidR="001970F3" w:rsidRPr="00DF3BE3">
        <w:t xml:space="preserve">. The odds of </w:t>
      </w:r>
      <w:r w:rsidR="009278CE">
        <w:t>newcomer</w:t>
      </w:r>
      <w:r w:rsidR="001970F3" w:rsidRPr="00DF3BE3">
        <w:t xml:space="preserve"> attendees in </w:t>
      </w:r>
      <w:r w:rsidR="007952BD">
        <w:t>Traffic Court</w:t>
      </w:r>
      <w:r w:rsidR="001970F3" w:rsidRPr="00DF3BE3">
        <w:t xml:space="preserve"> having these charges </w:t>
      </w:r>
      <w:r w:rsidR="00FC4D96">
        <w:t>were 1.36</w:t>
      </w:r>
      <w:r w:rsidR="00AF67AF">
        <w:t>X</w:t>
      </w:r>
      <w:r w:rsidR="00FC4D96">
        <w:t>, 2.43X, 1.29X, 1.95X, and 1.30X</w:t>
      </w:r>
      <w:r w:rsidR="001970F3" w:rsidRPr="00DF3BE3">
        <w:t xml:space="preserve"> that of individuals without minority status, respectively (Table </w:t>
      </w:r>
      <w:r w:rsidR="009278CE">
        <w:t>25</w:t>
      </w:r>
      <w:r w:rsidR="001970F3" w:rsidRPr="00DF3BE3">
        <w:t xml:space="preserve">). </w:t>
      </w:r>
      <w:r w:rsidR="007E7D49">
        <w:t xml:space="preserve">Attendees with newcomer status were statistically less likely to have offences related to careless driving and failing to provide a license or </w:t>
      </w:r>
      <w:r w:rsidR="00E82F37">
        <w:t>registration in</w:t>
      </w:r>
      <w:r w:rsidR="007E7D49">
        <w:t xml:space="preserve"> </w:t>
      </w:r>
      <w:r w:rsidR="007952BD">
        <w:t>Traffic Court</w:t>
      </w:r>
      <w:r w:rsidR="007E7D49">
        <w:t xml:space="preserve">, demonstrating 0.45% and 1.60% deviation from proportions in individuals without minority status, respectively </w:t>
      </w:r>
      <w:r w:rsidR="009278CE">
        <w:t>(Figure 64, 66)</w:t>
      </w:r>
      <w:r w:rsidR="007E7D49">
        <w:t xml:space="preserve">. The odds of attendees of newcomer status in </w:t>
      </w:r>
      <w:r w:rsidR="007952BD">
        <w:t>Traffic Court</w:t>
      </w:r>
      <w:r w:rsidR="007E7D49">
        <w:t xml:space="preserve"> having these charges were 0.88X and 0.95X that of individuals without minority status, respectively (Table </w:t>
      </w:r>
      <w:r w:rsidR="009278CE">
        <w:t>25</w:t>
      </w:r>
      <w:r w:rsidR="007E7D49">
        <w:t xml:space="preserve">). </w:t>
      </w:r>
    </w:p>
    <w:p w14:paraId="03E3F5FC" w14:textId="7C05AC6B" w:rsidR="002003BD" w:rsidRDefault="002003BD" w:rsidP="003C2DC6">
      <w:pPr>
        <w:rPr>
          <w:color w:val="FF0000"/>
        </w:rPr>
      </w:pPr>
    </w:p>
    <w:p w14:paraId="6763E297" w14:textId="66B7F6CE" w:rsidR="00FE7BBB" w:rsidRDefault="00FE7BBB" w:rsidP="00FE7BBB">
      <w:pPr>
        <w:autoSpaceDE w:val="0"/>
        <w:autoSpaceDN w:val="0"/>
        <w:adjustRightInd w:val="0"/>
        <w:spacing w:after="0" w:line="240" w:lineRule="auto"/>
        <w:rPr>
          <w:rFonts w:ascii="Times New Roman" w:hAnsi="Times New Roman" w:cs="Times New Roman"/>
          <w:sz w:val="24"/>
          <w:szCs w:val="24"/>
        </w:rPr>
      </w:pPr>
    </w:p>
    <w:p w14:paraId="23D6FC71" w14:textId="1FB39E8D" w:rsidR="00C84502" w:rsidRPr="008C32D6" w:rsidRDefault="00672E75" w:rsidP="008C32D6">
      <w:pPr>
        <w:rPr>
          <w:rFonts w:ascii="Times New Roman" w:hAnsi="Times New Roman" w:cs="Times New Roman"/>
        </w:rPr>
      </w:pPr>
      <w:r>
        <w:rPr>
          <w:noProof/>
          <w:lang w:val="en-US"/>
        </w:rPr>
        <w:lastRenderedPageBreak/>
        <w:drawing>
          <wp:anchor distT="0" distB="0" distL="114300" distR="114300" simplePos="0" relativeHeight="254923264" behindDoc="1" locked="0" layoutInCell="1" allowOverlap="1" wp14:anchorId="5744193A" wp14:editId="0D753FF2">
            <wp:simplePos x="0" y="0"/>
            <wp:positionH relativeFrom="margin">
              <wp:posOffset>11290</wp:posOffset>
            </wp:positionH>
            <wp:positionV relativeFrom="page">
              <wp:posOffset>1230671</wp:posOffset>
            </wp:positionV>
            <wp:extent cx="3305175" cy="1676400"/>
            <wp:effectExtent l="0" t="0" r="9525" b="0"/>
            <wp:wrapTight wrapText="bothSides">
              <wp:wrapPolygon edited="0">
                <wp:start x="0" y="0"/>
                <wp:lineTo x="0" y="21355"/>
                <wp:lineTo x="21538" y="21355"/>
                <wp:lineTo x="2153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3305175" cy="1676400"/>
                    </a:xfrm>
                    <a:prstGeom prst="rect">
                      <a:avLst/>
                    </a:prstGeom>
                  </pic:spPr>
                </pic:pic>
              </a:graphicData>
            </a:graphic>
          </wp:anchor>
        </w:drawing>
      </w:r>
      <w:r w:rsidR="008C32D6">
        <w:rPr>
          <w:noProof/>
          <w:lang w:val="en-US"/>
        </w:rPr>
        <mc:AlternateContent>
          <mc:Choice Requires="wps">
            <w:drawing>
              <wp:anchor distT="0" distB="0" distL="114300" distR="114300" simplePos="0" relativeHeight="251352576" behindDoc="1" locked="0" layoutInCell="1" allowOverlap="1" wp14:anchorId="18CA59D7" wp14:editId="6622DDFC">
                <wp:simplePos x="0" y="0"/>
                <wp:positionH relativeFrom="margin">
                  <wp:align>left</wp:align>
                </wp:positionH>
                <wp:positionV relativeFrom="margin">
                  <wp:posOffset>91440</wp:posOffset>
                </wp:positionV>
                <wp:extent cx="3289300" cy="419100"/>
                <wp:effectExtent l="0" t="0" r="6350" b="0"/>
                <wp:wrapTight wrapText="bothSides">
                  <wp:wrapPolygon edited="0">
                    <wp:start x="0" y="0"/>
                    <wp:lineTo x="0" y="20618"/>
                    <wp:lineTo x="21517" y="20618"/>
                    <wp:lineTo x="21517" y="0"/>
                    <wp:lineTo x="0" y="0"/>
                  </wp:wrapPolygon>
                </wp:wrapTight>
                <wp:docPr id="477" name="Text Box 477"/>
                <wp:cNvGraphicFramePr/>
                <a:graphic xmlns:a="http://schemas.openxmlformats.org/drawingml/2006/main">
                  <a:graphicData uri="http://schemas.microsoft.com/office/word/2010/wordprocessingShape">
                    <wps:wsp>
                      <wps:cNvSpPr txBox="1"/>
                      <wps:spPr>
                        <a:xfrm>
                          <a:off x="0" y="0"/>
                          <a:ext cx="3289300" cy="419100"/>
                        </a:xfrm>
                        <a:prstGeom prst="rect">
                          <a:avLst/>
                        </a:prstGeom>
                        <a:solidFill>
                          <a:prstClr val="white"/>
                        </a:solidFill>
                        <a:ln>
                          <a:noFill/>
                        </a:ln>
                      </wps:spPr>
                      <wps:txbx>
                        <w:txbxContent>
                          <w:p w14:paraId="3A4963A1" w14:textId="5681B0B1" w:rsidR="00A56EB4" w:rsidRPr="0063408E" w:rsidRDefault="00A56EB4" w:rsidP="00E9164D">
                            <w:pPr>
                              <w:pStyle w:val="Caption"/>
                            </w:pPr>
                            <w:r>
                              <w:rPr>
                                <w:b/>
                                <w:bCs/>
                              </w:rPr>
                              <w:t>Table 26</w:t>
                            </w:r>
                            <w:r w:rsidRPr="00B63B81">
                              <w:rPr>
                                <w:b/>
                                <w:bCs/>
                              </w:rPr>
                              <w:t>.</w:t>
                            </w:r>
                            <w:r>
                              <w:t xml:space="preserve"> Frequency and proportion of Calgary’s Traffic Court attendees with legal representation,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59D7" id="Text Box 477" o:spid="_x0000_s1135" type="#_x0000_t202" style="position:absolute;margin-left:0;margin-top:7.2pt;width:259pt;height:33pt;z-index:-2519639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" stroked="f">
                <v:textbox inset="0,0,0,0">
                  <w:txbxContent>
                    <w:p w14:paraId="3A4963A1" w14:textId="5681B0B1" w:rsidR="00A56EB4" w:rsidRPr="0063408E" w:rsidRDefault="00A56EB4" w:rsidP="00E9164D">
                      <w:pPr>
                        <w:pStyle w:val="Caption"/>
                      </w:pPr>
                      <w:r>
                        <w:rPr>
                          <w:b/>
                          <w:bCs/>
                        </w:rPr>
                        <w:t>Table 26</w:t>
                      </w:r>
                      <w:r w:rsidRPr="00B63B81">
                        <w:rPr>
                          <w:b/>
                          <w:bCs/>
                        </w:rPr>
                        <w:t>.</w:t>
                      </w:r>
                      <w:r>
                        <w:t xml:space="preserve"> Frequency and proportion of Calgary’s Traffic Court attendees with legal representation, between January 2017 and December 2018.</w:t>
                      </w:r>
                    </w:p>
                  </w:txbxContent>
                </v:textbox>
                <w10:wrap type="tight" anchorx="margin" anchory="margin"/>
              </v:shape>
            </w:pict>
          </mc:Fallback>
        </mc:AlternateContent>
      </w:r>
      <w:r w:rsidR="00C84502" w:rsidRPr="00F64463">
        <w:t xml:space="preserve">It was observed that </w:t>
      </w:r>
      <w:r w:rsidR="00C84502">
        <w:t>the</w:t>
      </w:r>
      <w:r w:rsidR="00C84502" w:rsidRPr="00F64463">
        <w:t xml:space="preserve"> overwhelming majority of attendees (</w:t>
      </w:r>
      <w:r w:rsidR="00C84502">
        <w:t>99.41</w:t>
      </w:r>
      <w:r w:rsidR="00C84502" w:rsidRPr="00F64463">
        <w:t>%)</w:t>
      </w:r>
      <w:r w:rsidR="00C84502">
        <w:t xml:space="preserve"> </w:t>
      </w:r>
      <w:r w:rsidR="00F407F6">
        <w:t>at</w:t>
      </w:r>
      <w:r w:rsidR="00C84502">
        <w:t xml:space="preserve"> Calgary’s </w:t>
      </w:r>
      <w:r w:rsidR="007952BD">
        <w:t>Traffic Court</w:t>
      </w:r>
      <w:r w:rsidR="00C84502" w:rsidRPr="00F64463">
        <w:t xml:space="preserve">, for which data was available, reported having no legal representation at court (Table </w:t>
      </w:r>
      <w:r w:rsidR="008C32D6">
        <w:t>26</w:t>
      </w:r>
      <w:r w:rsidR="00C84502" w:rsidRPr="00F64463">
        <w:t>). Most (</w:t>
      </w:r>
      <w:r w:rsidR="00C84502">
        <w:t>94.23</w:t>
      </w:r>
      <w:r w:rsidR="00C84502" w:rsidRPr="00F64463">
        <w:t xml:space="preserve">%) of </w:t>
      </w:r>
      <w:r w:rsidR="00C84502">
        <w:t xml:space="preserve">the </w:t>
      </w:r>
      <w:r w:rsidR="00C84502" w:rsidRPr="00F64463">
        <w:t>attendees received services through the organization of a duration of 0-4 minutes</w:t>
      </w:r>
      <w:r w:rsidR="00C84502">
        <w:t>;</w:t>
      </w:r>
      <w:r w:rsidR="00C84502" w:rsidRPr="00F64463">
        <w:t xml:space="preserve"> </w:t>
      </w:r>
      <w:r w:rsidR="00C84502">
        <w:t>thought there was</w:t>
      </w:r>
      <w:r w:rsidR="00C84502" w:rsidRPr="00F64463">
        <w:t xml:space="preserve"> a</w:t>
      </w:r>
      <w:r w:rsidR="00C84502">
        <w:t>n</w:t>
      </w:r>
      <w:r w:rsidR="00C84502" w:rsidRPr="00F64463">
        <w:t xml:space="preserve"> inverse relationship between increasing service length and attendee count</w:t>
      </w:r>
      <w:r w:rsidR="00C84502">
        <w:t xml:space="preserve"> overall, there is a slight deviation from this trend in the 30-44 minutes and 1 hour+ groups (Table </w:t>
      </w:r>
      <w:r w:rsidR="008C32D6">
        <w:t>27</w:t>
      </w:r>
      <w:r w:rsidR="00C84502">
        <w:t>)</w:t>
      </w:r>
      <w:r w:rsidR="00C84502" w:rsidRPr="00F64463">
        <w:t xml:space="preserve">. </w:t>
      </w:r>
      <w:r w:rsidR="000B3DFC">
        <w:t>Only 0.59% of defendants required support exceeding 15 minutes (Table 27).</w:t>
      </w:r>
    </w:p>
    <w:p w14:paraId="5671FB5C" w14:textId="0E903351" w:rsidR="00CD0B2D" w:rsidRDefault="00672E75" w:rsidP="008C32D6">
      <w:pPr>
        <w:rPr>
          <w:rFonts w:ascii="Times New Roman" w:hAnsi="Times New Roman" w:cs="Times New Roman"/>
        </w:rPr>
      </w:pPr>
      <w:r>
        <w:rPr>
          <w:noProof/>
          <w:lang w:val="en-US"/>
        </w:rPr>
        <mc:AlternateContent>
          <mc:Choice Requires="wps">
            <w:drawing>
              <wp:anchor distT="0" distB="0" distL="114300" distR="114300" simplePos="0" relativeHeight="251668992" behindDoc="1" locked="0" layoutInCell="1" allowOverlap="1" wp14:anchorId="2AFD47F9" wp14:editId="62AAF9CA">
                <wp:simplePos x="0" y="0"/>
                <wp:positionH relativeFrom="margin">
                  <wp:posOffset>6862</wp:posOffset>
                </wp:positionH>
                <wp:positionV relativeFrom="margin">
                  <wp:posOffset>2443859</wp:posOffset>
                </wp:positionV>
                <wp:extent cx="3289300" cy="419100"/>
                <wp:effectExtent l="0" t="0" r="6350" b="0"/>
                <wp:wrapTight wrapText="bothSides">
                  <wp:wrapPolygon edited="0">
                    <wp:start x="0" y="0"/>
                    <wp:lineTo x="0" y="20618"/>
                    <wp:lineTo x="21517" y="20618"/>
                    <wp:lineTo x="21517"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3289300" cy="419100"/>
                        </a:xfrm>
                        <a:prstGeom prst="rect">
                          <a:avLst/>
                        </a:prstGeom>
                        <a:solidFill>
                          <a:prstClr val="white"/>
                        </a:solidFill>
                        <a:ln>
                          <a:noFill/>
                        </a:ln>
                      </wps:spPr>
                      <wps:txbx>
                        <w:txbxContent>
                          <w:p w14:paraId="25430938" w14:textId="4C7CFA13" w:rsidR="00A56EB4" w:rsidRPr="0063408E" w:rsidRDefault="00A56EB4" w:rsidP="00F46DBF">
                            <w:pPr>
                              <w:pStyle w:val="Caption"/>
                            </w:pPr>
                            <w:r>
                              <w:rPr>
                                <w:b/>
                                <w:bCs/>
                              </w:rPr>
                              <w:t>Table 27</w:t>
                            </w:r>
                            <w:r w:rsidRPr="00B63B81">
                              <w:rPr>
                                <w:b/>
                                <w:bCs/>
                              </w:rPr>
                              <w:t>.</w:t>
                            </w:r>
                            <w:r>
                              <w:t xml:space="preserve"> Frequency and proportion of service length for Calgary’s Traffic Court attendees,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47F9" id="Text Box 50" o:spid="_x0000_s1136" type="#_x0000_t202" style="position:absolute;margin-left:.55pt;margin-top:192.45pt;width:259pt;height:33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" stroked="f">
                <v:textbox inset="0,0,0,0">
                  <w:txbxContent>
                    <w:p w14:paraId="25430938" w14:textId="4C7CFA13" w:rsidR="00A56EB4" w:rsidRPr="0063408E" w:rsidRDefault="00A56EB4" w:rsidP="00F46DBF">
                      <w:pPr>
                        <w:pStyle w:val="Caption"/>
                      </w:pPr>
                      <w:r>
                        <w:rPr>
                          <w:b/>
                          <w:bCs/>
                        </w:rPr>
                        <w:t>Table 27</w:t>
                      </w:r>
                      <w:r w:rsidRPr="00B63B81">
                        <w:rPr>
                          <w:b/>
                          <w:bCs/>
                        </w:rPr>
                        <w:t>.</w:t>
                      </w:r>
                      <w:r>
                        <w:t xml:space="preserve"> Frequency and proportion of service length for Calgary’s Traffic Court attendees, between January 2017 and December 2018.</w:t>
                      </w:r>
                    </w:p>
                  </w:txbxContent>
                </v:textbox>
                <w10:wrap type="tight" anchorx="margin" anchory="margin"/>
              </v:shape>
            </w:pict>
          </mc:Fallback>
        </mc:AlternateContent>
      </w:r>
    </w:p>
    <w:p w14:paraId="6325DC6F" w14:textId="4EDF1501" w:rsidR="00DD3002" w:rsidRDefault="00DD3002" w:rsidP="00DD3002">
      <w:pPr>
        <w:autoSpaceDE w:val="0"/>
        <w:autoSpaceDN w:val="0"/>
        <w:adjustRightInd w:val="0"/>
        <w:spacing w:after="0" w:line="240" w:lineRule="auto"/>
        <w:rPr>
          <w:rFonts w:ascii="Times New Roman" w:hAnsi="Times New Roman" w:cs="Times New Roman"/>
          <w:sz w:val="24"/>
          <w:szCs w:val="24"/>
        </w:rPr>
      </w:pPr>
    </w:p>
    <w:p w14:paraId="3E866AF0" w14:textId="42B3E962" w:rsidR="00DD3002" w:rsidRDefault="00DD3002" w:rsidP="00DD3002">
      <w:pPr>
        <w:autoSpaceDE w:val="0"/>
        <w:autoSpaceDN w:val="0"/>
        <w:adjustRightInd w:val="0"/>
        <w:spacing w:after="0" w:line="400" w:lineRule="atLeast"/>
        <w:rPr>
          <w:rFonts w:ascii="Times New Roman" w:hAnsi="Times New Roman" w:cs="Times New Roman"/>
          <w:sz w:val="24"/>
          <w:szCs w:val="24"/>
        </w:rPr>
      </w:pPr>
    </w:p>
    <w:p w14:paraId="060F1E6B" w14:textId="47521836" w:rsidR="00342F84" w:rsidRDefault="00672E75" w:rsidP="00342F84">
      <w:pPr>
        <w:autoSpaceDE w:val="0"/>
        <w:autoSpaceDN w:val="0"/>
        <w:adjustRightInd w:val="0"/>
        <w:spacing w:after="0" w:line="400" w:lineRule="atLeast"/>
        <w:rPr>
          <w:rFonts w:ascii="Times New Roman" w:hAnsi="Times New Roman" w:cs="Times New Roman"/>
          <w:sz w:val="24"/>
          <w:szCs w:val="24"/>
        </w:rPr>
      </w:pPr>
      <w:r>
        <w:rPr>
          <w:noProof/>
          <w:lang w:val="en-US"/>
        </w:rPr>
        <w:drawing>
          <wp:anchor distT="0" distB="0" distL="114300" distR="114300" simplePos="0" relativeHeight="254961152" behindDoc="1" locked="0" layoutInCell="1" allowOverlap="1" wp14:anchorId="62E18536" wp14:editId="543DB424">
            <wp:simplePos x="0" y="0"/>
            <wp:positionH relativeFrom="margin">
              <wp:posOffset>0</wp:posOffset>
            </wp:positionH>
            <wp:positionV relativeFrom="margin">
              <wp:posOffset>3010535</wp:posOffset>
            </wp:positionV>
            <wp:extent cx="3248025" cy="2552700"/>
            <wp:effectExtent l="0" t="0" r="9525" b="0"/>
            <wp:wrapTight wrapText="bothSides">
              <wp:wrapPolygon edited="0">
                <wp:start x="0" y="0"/>
                <wp:lineTo x="0" y="21439"/>
                <wp:lineTo x="21537" y="21439"/>
                <wp:lineTo x="21537"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248025" cy="2552700"/>
                    </a:xfrm>
                    <a:prstGeom prst="rect">
                      <a:avLst/>
                    </a:prstGeom>
                  </pic:spPr>
                </pic:pic>
              </a:graphicData>
            </a:graphic>
          </wp:anchor>
        </w:drawing>
      </w:r>
    </w:p>
    <w:p w14:paraId="48AA0980" w14:textId="0FFB0B46" w:rsidR="000E4778" w:rsidRDefault="000E4778" w:rsidP="00342F84">
      <w:pPr>
        <w:autoSpaceDE w:val="0"/>
        <w:autoSpaceDN w:val="0"/>
        <w:adjustRightInd w:val="0"/>
        <w:spacing w:after="0" w:line="400" w:lineRule="atLeast"/>
        <w:rPr>
          <w:rFonts w:ascii="Times New Roman" w:hAnsi="Times New Roman" w:cs="Times New Roman"/>
          <w:sz w:val="24"/>
          <w:szCs w:val="24"/>
        </w:rPr>
      </w:pPr>
    </w:p>
    <w:p w14:paraId="01DF6DA1" w14:textId="69B1B561" w:rsidR="000E4778" w:rsidRDefault="000E4778" w:rsidP="00342F84">
      <w:pPr>
        <w:autoSpaceDE w:val="0"/>
        <w:autoSpaceDN w:val="0"/>
        <w:adjustRightInd w:val="0"/>
        <w:spacing w:after="0" w:line="400" w:lineRule="atLeast"/>
        <w:rPr>
          <w:rFonts w:ascii="Times New Roman" w:hAnsi="Times New Roman" w:cs="Times New Roman"/>
          <w:sz w:val="24"/>
          <w:szCs w:val="24"/>
        </w:rPr>
      </w:pPr>
    </w:p>
    <w:p w14:paraId="617B8DCA" w14:textId="05D1F440" w:rsidR="000E4778" w:rsidRDefault="000E4778" w:rsidP="00342F84">
      <w:pPr>
        <w:autoSpaceDE w:val="0"/>
        <w:autoSpaceDN w:val="0"/>
        <w:adjustRightInd w:val="0"/>
        <w:spacing w:after="0" w:line="400" w:lineRule="atLeast"/>
        <w:rPr>
          <w:rFonts w:ascii="Times New Roman" w:hAnsi="Times New Roman" w:cs="Times New Roman"/>
          <w:sz w:val="24"/>
          <w:szCs w:val="24"/>
        </w:rPr>
      </w:pPr>
    </w:p>
    <w:p w14:paraId="5BAEA2E3" w14:textId="43B03B07" w:rsidR="000E4778" w:rsidRDefault="000E4778" w:rsidP="00342F84">
      <w:pPr>
        <w:autoSpaceDE w:val="0"/>
        <w:autoSpaceDN w:val="0"/>
        <w:adjustRightInd w:val="0"/>
        <w:spacing w:after="0" w:line="400" w:lineRule="atLeast"/>
        <w:rPr>
          <w:rFonts w:ascii="Times New Roman" w:hAnsi="Times New Roman" w:cs="Times New Roman"/>
          <w:sz w:val="24"/>
          <w:szCs w:val="24"/>
        </w:rPr>
      </w:pPr>
    </w:p>
    <w:p w14:paraId="504E1566" w14:textId="100680F2" w:rsidR="000E4778" w:rsidRDefault="000E4778" w:rsidP="00342F84">
      <w:pPr>
        <w:autoSpaceDE w:val="0"/>
        <w:autoSpaceDN w:val="0"/>
        <w:adjustRightInd w:val="0"/>
        <w:spacing w:after="0" w:line="400" w:lineRule="atLeast"/>
        <w:rPr>
          <w:rFonts w:ascii="Times New Roman" w:hAnsi="Times New Roman" w:cs="Times New Roman"/>
          <w:sz w:val="24"/>
          <w:szCs w:val="24"/>
        </w:rPr>
      </w:pPr>
    </w:p>
    <w:p w14:paraId="646399BB" w14:textId="07B6EFDB" w:rsidR="000E4778" w:rsidRDefault="00672E75" w:rsidP="000E7116">
      <w:pPr>
        <w:pStyle w:val="Heading3"/>
      </w:pPr>
      <w:r>
        <w:br w:type="page"/>
      </w:r>
    </w:p>
    <w:p w14:paraId="4CF70E32" w14:textId="3A053271" w:rsidR="00CA6744" w:rsidRPr="00CF5FD1" w:rsidRDefault="007952BD" w:rsidP="000E4778">
      <w:pPr>
        <w:pStyle w:val="Heading2"/>
        <w:rPr>
          <w:rStyle w:val="Heading2Char"/>
        </w:rPr>
      </w:pPr>
      <w:bookmarkStart w:id="41" w:name="_Toc16262353"/>
      <w:r>
        <w:lastRenderedPageBreak/>
        <w:t>South</w:t>
      </w:r>
      <w:r w:rsidR="0052533F" w:rsidRPr="00CF5FD1">
        <w:rPr>
          <w:rStyle w:val="Heading2Char"/>
        </w:rPr>
        <w:t xml:space="preserve"> </w:t>
      </w:r>
      <w:r>
        <w:rPr>
          <w:rStyle w:val="Heading2Char"/>
        </w:rPr>
        <w:t>Traffic Court</w:t>
      </w:r>
      <w:r w:rsidR="000E7116">
        <w:rPr>
          <w:rStyle w:val="Heading2Char"/>
        </w:rPr>
        <w:t>s</w:t>
      </w:r>
      <w:bookmarkEnd w:id="41"/>
      <w:r w:rsidR="0052533F" w:rsidRPr="00CF5FD1">
        <w:rPr>
          <w:rStyle w:val="Heading2Char"/>
        </w:rPr>
        <w:t xml:space="preserve"> </w:t>
      </w:r>
    </w:p>
    <w:p w14:paraId="3CE87592" w14:textId="443A71AF" w:rsidR="00CA6744" w:rsidRDefault="000E7116" w:rsidP="00CA674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48436224" behindDoc="1" locked="0" layoutInCell="1" allowOverlap="1" wp14:anchorId="2E103430" wp14:editId="5E34A949">
            <wp:simplePos x="0" y="0"/>
            <wp:positionH relativeFrom="margin">
              <wp:posOffset>3840282</wp:posOffset>
            </wp:positionH>
            <wp:positionV relativeFrom="page">
              <wp:posOffset>960128</wp:posOffset>
            </wp:positionV>
            <wp:extent cx="2743200" cy="2565400"/>
            <wp:effectExtent l="0" t="0" r="0" b="6350"/>
            <wp:wrapTight wrapText="bothSides">
              <wp:wrapPolygon edited="0">
                <wp:start x="0" y="0"/>
                <wp:lineTo x="0" y="21493"/>
                <wp:lineTo x="21450" y="21493"/>
                <wp:lineTo x="21450"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4">
                      <a:extLst>
                        <a:ext uri="{28A0092B-C50C-407E-A947-70E740481C1C}">
                          <a14:useLocalDpi xmlns:a14="http://schemas.microsoft.com/office/drawing/2010/main" val="0"/>
                        </a:ext>
                      </a:extLst>
                    </a:blip>
                    <a:srcRect l="30606" t="17899" r="29614" b="18844"/>
                    <a:stretch/>
                  </pic:blipFill>
                  <pic:spPr bwMode="auto">
                    <a:xfrm>
                      <a:off x="0" y="0"/>
                      <a:ext cx="2743200"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48686080" behindDoc="1" locked="0" layoutInCell="1" allowOverlap="1" wp14:anchorId="780AE724" wp14:editId="254F380D">
            <wp:simplePos x="0" y="0"/>
            <wp:positionH relativeFrom="margin">
              <wp:posOffset>94994</wp:posOffset>
            </wp:positionH>
            <wp:positionV relativeFrom="page">
              <wp:posOffset>967171</wp:posOffset>
            </wp:positionV>
            <wp:extent cx="2984500" cy="2565400"/>
            <wp:effectExtent l="0" t="0" r="6350" b="6350"/>
            <wp:wrapTight wrapText="bothSides">
              <wp:wrapPolygon edited="0">
                <wp:start x="0" y="0"/>
                <wp:lineTo x="0" y="21493"/>
                <wp:lineTo x="21508" y="21493"/>
                <wp:lineTo x="21508"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05">
                      <a:extLst>
                        <a:ext uri="{28A0092B-C50C-407E-A947-70E740481C1C}">
                          <a14:useLocalDpi xmlns:a14="http://schemas.microsoft.com/office/drawing/2010/main" val="0"/>
                        </a:ext>
                      </a:extLst>
                    </a:blip>
                    <a:srcRect l="29007" t="20163" r="28686" b="17984"/>
                    <a:stretch/>
                  </pic:blipFill>
                  <pic:spPr bwMode="auto">
                    <a:xfrm>
                      <a:off x="0" y="0"/>
                      <a:ext cx="2984500" cy="256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25753" w14:textId="5E17A7B5" w:rsidR="00CA7147" w:rsidRDefault="00CA7147" w:rsidP="00CA7147">
      <w:pPr>
        <w:autoSpaceDE w:val="0"/>
        <w:autoSpaceDN w:val="0"/>
        <w:adjustRightInd w:val="0"/>
        <w:spacing w:after="0" w:line="240" w:lineRule="auto"/>
        <w:rPr>
          <w:rFonts w:ascii="Times New Roman" w:hAnsi="Times New Roman" w:cs="Times New Roman"/>
          <w:sz w:val="24"/>
          <w:szCs w:val="24"/>
        </w:rPr>
      </w:pPr>
    </w:p>
    <w:p w14:paraId="52ECDFBF" w14:textId="3D60794F" w:rsidR="00CA7147" w:rsidRDefault="00CA7147" w:rsidP="00CA7147">
      <w:pPr>
        <w:autoSpaceDE w:val="0"/>
        <w:autoSpaceDN w:val="0"/>
        <w:adjustRightInd w:val="0"/>
        <w:spacing w:after="0" w:line="240" w:lineRule="auto"/>
        <w:rPr>
          <w:rFonts w:ascii="Times New Roman" w:hAnsi="Times New Roman" w:cs="Times New Roman"/>
          <w:sz w:val="24"/>
          <w:szCs w:val="24"/>
        </w:rPr>
      </w:pPr>
    </w:p>
    <w:p w14:paraId="64507EFF" w14:textId="2872C13D" w:rsidR="00CA7147" w:rsidRDefault="00CA7147" w:rsidP="00CA7147">
      <w:pPr>
        <w:autoSpaceDE w:val="0"/>
        <w:autoSpaceDN w:val="0"/>
        <w:adjustRightInd w:val="0"/>
        <w:spacing w:after="0" w:line="400" w:lineRule="atLeast"/>
        <w:rPr>
          <w:rFonts w:ascii="Times New Roman" w:hAnsi="Times New Roman" w:cs="Times New Roman"/>
          <w:sz w:val="24"/>
          <w:szCs w:val="24"/>
        </w:rPr>
      </w:pPr>
    </w:p>
    <w:p w14:paraId="45F5D78F" w14:textId="4399551F" w:rsidR="00E56420" w:rsidRDefault="00E56420" w:rsidP="00E56420">
      <w:pPr>
        <w:autoSpaceDE w:val="0"/>
        <w:autoSpaceDN w:val="0"/>
        <w:adjustRightInd w:val="0"/>
        <w:spacing w:after="0" w:line="240" w:lineRule="auto"/>
        <w:rPr>
          <w:rFonts w:ascii="Times New Roman" w:hAnsi="Times New Roman" w:cs="Times New Roman"/>
          <w:sz w:val="24"/>
          <w:szCs w:val="24"/>
        </w:rPr>
      </w:pPr>
    </w:p>
    <w:p w14:paraId="035B54DB" w14:textId="07E3AB97" w:rsidR="00E56420" w:rsidRDefault="00E56420" w:rsidP="00E56420">
      <w:pPr>
        <w:autoSpaceDE w:val="0"/>
        <w:autoSpaceDN w:val="0"/>
        <w:adjustRightInd w:val="0"/>
        <w:spacing w:after="0" w:line="240" w:lineRule="auto"/>
        <w:rPr>
          <w:rFonts w:ascii="Times New Roman" w:hAnsi="Times New Roman" w:cs="Times New Roman"/>
          <w:sz w:val="24"/>
          <w:szCs w:val="24"/>
        </w:rPr>
      </w:pPr>
    </w:p>
    <w:p w14:paraId="61D3091C" w14:textId="53CEDAA3" w:rsidR="00E56420" w:rsidRDefault="00E56420" w:rsidP="00E56420">
      <w:pPr>
        <w:autoSpaceDE w:val="0"/>
        <w:autoSpaceDN w:val="0"/>
        <w:adjustRightInd w:val="0"/>
        <w:spacing w:after="0" w:line="400" w:lineRule="atLeast"/>
        <w:rPr>
          <w:rFonts w:ascii="Times New Roman" w:hAnsi="Times New Roman" w:cs="Times New Roman"/>
          <w:sz w:val="24"/>
          <w:szCs w:val="24"/>
        </w:rPr>
      </w:pPr>
    </w:p>
    <w:p w14:paraId="3EAEDCC5" w14:textId="5DE31AC9" w:rsidR="00E56420" w:rsidRDefault="00E56420" w:rsidP="00E56420">
      <w:pPr>
        <w:autoSpaceDE w:val="0"/>
        <w:autoSpaceDN w:val="0"/>
        <w:adjustRightInd w:val="0"/>
        <w:spacing w:after="0" w:line="240" w:lineRule="auto"/>
        <w:rPr>
          <w:rFonts w:ascii="Times New Roman" w:hAnsi="Times New Roman" w:cs="Times New Roman"/>
          <w:sz w:val="24"/>
          <w:szCs w:val="24"/>
        </w:rPr>
      </w:pPr>
    </w:p>
    <w:p w14:paraId="55584868" w14:textId="77777777" w:rsidR="00E56420" w:rsidRDefault="00E56420" w:rsidP="00E56420">
      <w:pPr>
        <w:autoSpaceDE w:val="0"/>
        <w:autoSpaceDN w:val="0"/>
        <w:adjustRightInd w:val="0"/>
        <w:spacing w:after="0" w:line="240" w:lineRule="auto"/>
        <w:rPr>
          <w:rFonts w:ascii="Times New Roman" w:hAnsi="Times New Roman" w:cs="Times New Roman"/>
          <w:sz w:val="24"/>
          <w:szCs w:val="24"/>
        </w:rPr>
      </w:pPr>
    </w:p>
    <w:p w14:paraId="36DEABA1" w14:textId="4B633D72" w:rsidR="00E56420" w:rsidRDefault="00E56420" w:rsidP="00E56420">
      <w:pPr>
        <w:autoSpaceDE w:val="0"/>
        <w:autoSpaceDN w:val="0"/>
        <w:adjustRightInd w:val="0"/>
        <w:spacing w:after="0" w:line="400" w:lineRule="atLeast"/>
        <w:rPr>
          <w:rFonts w:ascii="Times New Roman" w:hAnsi="Times New Roman" w:cs="Times New Roman"/>
          <w:sz w:val="24"/>
          <w:szCs w:val="24"/>
        </w:rPr>
      </w:pPr>
    </w:p>
    <w:p w14:paraId="3AB4E421" w14:textId="53A066B8" w:rsidR="00251D93" w:rsidRDefault="00251D93" w:rsidP="00147C80">
      <w:pPr>
        <w:autoSpaceDE w:val="0"/>
        <w:autoSpaceDN w:val="0"/>
        <w:adjustRightInd w:val="0"/>
        <w:spacing w:after="0" w:line="240" w:lineRule="auto"/>
        <w:rPr>
          <w:rFonts w:asciiTheme="majorHAnsi" w:hAnsiTheme="majorHAnsi" w:cstheme="majorHAnsi"/>
          <w:b/>
          <w:bCs/>
        </w:rPr>
      </w:pPr>
    </w:p>
    <w:p w14:paraId="01C64F3B" w14:textId="3FE8B437" w:rsidR="00251D93" w:rsidRDefault="00251D93" w:rsidP="00251D93">
      <w:pPr>
        <w:autoSpaceDE w:val="0"/>
        <w:autoSpaceDN w:val="0"/>
        <w:adjustRightInd w:val="0"/>
        <w:spacing w:after="0" w:line="240" w:lineRule="auto"/>
        <w:rPr>
          <w:rFonts w:ascii="Times New Roman" w:hAnsi="Times New Roman" w:cs="Times New Roman"/>
          <w:sz w:val="24"/>
          <w:szCs w:val="24"/>
        </w:rPr>
      </w:pPr>
    </w:p>
    <w:p w14:paraId="2FDA4A80" w14:textId="6F5369B2" w:rsidR="00251D93" w:rsidRDefault="00251D93" w:rsidP="00251D93">
      <w:pPr>
        <w:autoSpaceDE w:val="0"/>
        <w:autoSpaceDN w:val="0"/>
        <w:adjustRightInd w:val="0"/>
        <w:spacing w:after="0" w:line="240" w:lineRule="auto"/>
        <w:rPr>
          <w:rFonts w:ascii="Times New Roman" w:hAnsi="Times New Roman" w:cs="Times New Roman"/>
          <w:sz w:val="24"/>
          <w:szCs w:val="24"/>
        </w:rPr>
      </w:pPr>
    </w:p>
    <w:p w14:paraId="41FB4535" w14:textId="37C1357E" w:rsidR="006873CA" w:rsidRDefault="000E7116" w:rsidP="00251D93">
      <w:pPr>
        <w:autoSpaceDE w:val="0"/>
        <w:autoSpaceDN w:val="0"/>
        <w:adjustRightInd w:val="0"/>
        <w:spacing w:after="0" w:line="240" w:lineRule="auto"/>
        <w:rPr>
          <w:rFonts w:ascii="Times New Roman" w:hAnsi="Times New Roman" w:cs="Times New Roman"/>
          <w:sz w:val="24"/>
          <w:szCs w:val="24"/>
        </w:rPr>
      </w:pPr>
      <w:r w:rsidRPr="00F2233B">
        <w:rPr>
          <w:noProof/>
          <w:lang w:val="en-US"/>
        </w:rPr>
        <mc:AlternateContent>
          <mc:Choice Requires="wps">
            <w:drawing>
              <wp:anchor distT="0" distB="0" distL="114300" distR="114300" simplePos="0" relativeHeight="249301504" behindDoc="1" locked="0" layoutInCell="1" allowOverlap="1" wp14:anchorId="6F100B2F" wp14:editId="6B261F17">
                <wp:simplePos x="0" y="0"/>
                <wp:positionH relativeFrom="margin">
                  <wp:posOffset>3805596</wp:posOffset>
                </wp:positionH>
                <wp:positionV relativeFrom="page">
                  <wp:posOffset>3464156</wp:posOffset>
                </wp:positionV>
                <wp:extent cx="2887980" cy="825500"/>
                <wp:effectExtent l="0" t="0" r="7620" b="0"/>
                <wp:wrapTight wrapText="bothSides">
                  <wp:wrapPolygon edited="0">
                    <wp:start x="0" y="0"/>
                    <wp:lineTo x="0" y="20935"/>
                    <wp:lineTo x="21515" y="20935"/>
                    <wp:lineTo x="21515" y="0"/>
                    <wp:lineTo x="0" y="0"/>
                  </wp:wrapPolygon>
                </wp:wrapTight>
                <wp:docPr id="493" name="Text Box 493"/>
                <wp:cNvGraphicFramePr/>
                <a:graphic xmlns:a="http://schemas.openxmlformats.org/drawingml/2006/main">
                  <a:graphicData uri="http://schemas.microsoft.com/office/word/2010/wordprocessingShape">
                    <wps:wsp>
                      <wps:cNvSpPr txBox="1"/>
                      <wps:spPr>
                        <a:xfrm>
                          <a:off x="0" y="0"/>
                          <a:ext cx="2887980" cy="825500"/>
                        </a:xfrm>
                        <a:prstGeom prst="rect">
                          <a:avLst/>
                        </a:prstGeom>
                        <a:solidFill>
                          <a:prstClr val="white"/>
                        </a:solidFill>
                        <a:ln>
                          <a:noFill/>
                        </a:ln>
                      </wps:spPr>
                      <wps:txbx>
                        <w:txbxContent>
                          <w:p w14:paraId="5E862D52" w14:textId="365B8D3A"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68</w:t>
                            </w:r>
                            <w:r w:rsidRPr="00B63B81">
                              <w:rPr>
                                <w:b/>
                                <w:bCs/>
                              </w:rPr>
                              <w:t>.</w:t>
                            </w:r>
                            <w:r>
                              <w:t xml:space="preserve"> A pie chart of age distribution as observed in the South Traffic Courts between January 2017 and December 2018, from a sample size of 556.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00B2F" id="Text Box 493" o:spid="_x0000_s1137" type="#_x0000_t202" style="position:absolute;margin-left:299.65pt;margin-top:272.75pt;width:227.4pt;height:65pt;z-index:-25401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" stroked="f">
                <v:textbox inset="0,0,0,0">
                  <w:txbxContent>
                    <w:p w14:paraId="5E862D52" w14:textId="365B8D3A"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68</w:t>
                      </w:r>
                      <w:r w:rsidRPr="00B63B81">
                        <w:rPr>
                          <w:b/>
                          <w:bCs/>
                        </w:rPr>
                        <w:t>.</w:t>
                      </w:r>
                      <w:r>
                        <w:t xml:space="preserve"> A pie chart of age distribution as observed in the South Traffic Courts between January 2017 and December 2018, from a sample size of 556. Slice size represents the relative proportion of respondents within an age category. </w:t>
                      </w:r>
                    </w:p>
                  </w:txbxContent>
                </v:textbox>
                <w10:wrap type="tight" anchorx="margin" anchory="page"/>
              </v:shape>
            </w:pict>
          </mc:Fallback>
        </mc:AlternateContent>
      </w:r>
      <w:r w:rsidRPr="00AC0A7E">
        <w:rPr>
          <w:rFonts w:ascii="Times New Roman" w:hAnsi="Times New Roman" w:cs="Times New Roman"/>
          <w:noProof/>
          <w:sz w:val="24"/>
          <w:szCs w:val="24"/>
          <w:lang w:val="en-US"/>
        </w:rPr>
        <mc:AlternateContent>
          <mc:Choice Requires="wps">
            <w:drawing>
              <wp:anchor distT="45720" distB="45720" distL="114300" distR="114300" simplePos="0" relativeHeight="248971776" behindDoc="1" locked="0" layoutInCell="1" allowOverlap="1" wp14:anchorId="5EBB5FEE" wp14:editId="3083A36D">
                <wp:simplePos x="0" y="0"/>
                <wp:positionH relativeFrom="margin">
                  <wp:posOffset>237177</wp:posOffset>
                </wp:positionH>
                <wp:positionV relativeFrom="page">
                  <wp:posOffset>3468914</wp:posOffset>
                </wp:positionV>
                <wp:extent cx="2705100" cy="890905"/>
                <wp:effectExtent l="0" t="0" r="0" b="4445"/>
                <wp:wrapTight wrapText="bothSides">
                  <wp:wrapPolygon edited="0">
                    <wp:start x="0" y="0"/>
                    <wp:lineTo x="0" y="21246"/>
                    <wp:lineTo x="21448" y="21246"/>
                    <wp:lineTo x="21448" y="0"/>
                    <wp:lineTo x="0" y="0"/>
                  </wp:wrapPolygon>
                </wp:wrapTight>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90905"/>
                        </a:xfrm>
                        <a:prstGeom prst="rect">
                          <a:avLst/>
                        </a:prstGeom>
                        <a:solidFill>
                          <a:srgbClr val="FFFFFF"/>
                        </a:solidFill>
                        <a:ln w="9525">
                          <a:noFill/>
                          <a:miter lim="800000"/>
                          <a:headEnd/>
                          <a:tailEnd/>
                        </a:ln>
                      </wps:spPr>
                      <wps:txbx>
                        <w:txbxContent>
                          <w:p w14:paraId="4E4B8527" w14:textId="097C573E" w:rsidR="00A56EB4" w:rsidRPr="00AC0A7E" w:rsidRDefault="00A56EB4" w:rsidP="009B4723">
                            <w:pPr>
                              <w:pStyle w:val="Caption"/>
                            </w:pPr>
                            <w:r w:rsidRPr="00AC0A7E">
                              <w:rPr>
                                <w:b/>
                                <w:bCs/>
                              </w:rPr>
                              <w:t xml:space="preserve">Figure </w:t>
                            </w:r>
                            <w:r>
                              <w:rPr>
                                <w:b/>
                                <w:bCs/>
                              </w:rPr>
                              <w:t>67</w:t>
                            </w:r>
                            <w:r w:rsidRPr="00AC0A7E">
                              <w:rPr>
                                <w:b/>
                                <w:bCs/>
                              </w:rPr>
                              <w:t xml:space="preserve">. </w:t>
                            </w:r>
                            <w:r w:rsidRPr="00AC0A7E">
                              <w:t xml:space="preserve"> A pie chart of gender distribution as observed in </w:t>
                            </w:r>
                            <w:r>
                              <w:t>the South Traffic Courts</w:t>
                            </w:r>
                            <w:r w:rsidRPr="00AC0A7E">
                              <w:t xml:space="preserve"> between January 2017 and December 2018, from a sample size of </w:t>
                            </w:r>
                            <w:r>
                              <w:t>567</w:t>
                            </w:r>
                            <w:r w:rsidRPr="00AC0A7E">
                              <w:t>. Slice sizes represent the proportion of attendees identifying as a specific gender.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B5FEE" id="_x0000_s1138" type="#_x0000_t202" style="position:absolute;margin-left:18.7pt;margin-top:273.15pt;width:213pt;height:70.15pt;z-index:-254344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" stroked="f">
                <v:textbox style="mso-fit-shape-to-text:t">
                  <w:txbxContent>
                    <w:p w14:paraId="4E4B8527" w14:textId="097C573E" w:rsidR="00A56EB4" w:rsidRPr="00AC0A7E" w:rsidRDefault="00A56EB4" w:rsidP="009B4723">
                      <w:pPr>
                        <w:pStyle w:val="Caption"/>
                      </w:pPr>
                      <w:r w:rsidRPr="00AC0A7E">
                        <w:rPr>
                          <w:b/>
                          <w:bCs/>
                        </w:rPr>
                        <w:t xml:space="preserve">Figure </w:t>
                      </w:r>
                      <w:r>
                        <w:rPr>
                          <w:b/>
                          <w:bCs/>
                        </w:rPr>
                        <w:t>67</w:t>
                      </w:r>
                      <w:r w:rsidRPr="00AC0A7E">
                        <w:rPr>
                          <w:b/>
                          <w:bCs/>
                        </w:rPr>
                        <w:t xml:space="preserve">. </w:t>
                      </w:r>
                      <w:r w:rsidRPr="00AC0A7E">
                        <w:t xml:space="preserve"> A pie chart of gender distribution as observed in </w:t>
                      </w:r>
                      <w:r>
                        <w:t>the South Traffic Courts</w:t>
                      </w:r>
                      <w:r w:rsidRPr="00AC0A7E">
                        <w:t xml:space="preserve"> between January 2017 and December 2018, from a sample size of </w:t>
                      </w:r>
                      <w:r>
                        <w:t>567</w:t>
                      </w:r>
                      <w:r w:rsidRPr="00AC0A7E">
                        <w:t>. Slice sizes represent the proportion of attendees identifying as a specific gender.</w:t>
                      </w:r>
                    </w:p>
                  </w:txbxContent>
                </v:textbox>
                <w10:wrap type="tight" anchorx="margin" anchory="page"/>
              </v:shape>
            </w:pict>
          </mc:Fallback>
        </mc:AlternateContent>
      </w:r>
    </w:p>
    <w:p w14:paraId="5516BE14" w14:textId="4D7DB030" w:rsidR="006873CA" w:rsidRDefault="006873CA" w:rsidP="00251D93">
      <w:pPr>
        <w:autoSpaceDE w:val="0"/>
        <w:autoSpaceDN w:val="0"/>
        <w:adjustRightInd w:val="0"/>
        <w:spacing w:after="0" w:line="240" w:lineRule="auto"/>
        <w:rPr>
          <w:rFonts w:ascii="Times New Roman" w:hAnsi="Times New Roman" w:cs="Times New Roman"/>
          <w:sz w:val="24"/>
          <w:szCs w:val="24"/>
        </w:rPr>
      </w:pPr>
    </w:p>
    <w:p w14:paraId="23F92E31" w14:textId="025F0678" w:rsidR="006873CA" w:rsidRDefault="006873CA" w:rsidP="00251D93">
      <w:pPr>
        <w:autoSpaceDE w:val="0"/>
        <w:autoSpaceDN w:val="0"/>
        <w:adjustRightInd w:val="0"/>
        <w:spacing w:after="0" w:line="240" w:lineRule="auto"/>
        <w:rPr>
          <w:rFonts w:ascii="Times New Roman" w:hAnsi="Times New Roman" w:cs="Times New Roman"/>
          <w:sz w:val="24"/>
          <w:szCs w:val="24"/>
        </w:rPr>
      </w:pPr>
    </w:p>
    <w:p w14:paraId="74C479A2" w14:textId="3B205C44" w:rsidR="006873CA" w:rsidRDefault="006873CA" w:rsidP="00251D93">
      <w:pPr>
        <w:autoSpaceDE w:val="0"/>
        <w:autoSpaceDN w:val="0"/>
        <w:adjustRightInd w:val="0"/>
        <w:spacing w:after="0" w:line="240" w:lineRule="auto"/>
        <w:rPr>
          <w:rFonts w:ascii="Times New Roman" w:hAnsi="Times New Roman" w:cs="Times New Roman"/>
          <w:sz w:val="24"/>
          <w:szCs w:val="24"/>
        </w:rPr>
      </w:pPr>
    </w:p>
    <w:p w14:paraId="033701C4" w14:textId="20349B02" w:rsidR="00B527DC" w:rsidRDefault="00B527DC" w:rsidP="00B527DC">
      <w:pPr>
        <w:autoSpaceDE w:val="0"/>
        <w:autoSpaceDN w:val="0"/>
        <w:adjustRightInd w:val="0"/>
        <w:spacing w:after="0" w:line="240" w:lineRule="auto"/>
        <w:rPr>
          <w:rFonts w:ascii="Times New Roman" w:hAnsi="Times New Roman" w:cs="Times New Roman"/>
          <w:sz w:val="24"/>
          <w:szCs w:val="24"/>
        </w:rPr>
      </w:pPr>
    </w:p>
    <w:p w14:paraId="6FC50E7C" w14:textId="1D2B6FE0" w:rsidR="00013156" w:rsidRDefault="000E7116" w:rsidP="00251D93">
      <w:pPr>
        <w:autoSpaceDE w:val="0"/>
        <w:autoSpaceDN w:val="0"/>
        <w:adjustRightInd w:val="0"/>
        <w:spacing w:after="0" w:line="240" w:lineRule="auto"/>
      </w:pPr>
      <w:r>
        <w:rPr>
          <w:noProof/>
          <w:lang w:val="en-US"/>
        </w:rPr>
        <mc:AlternateContent>
          <mc:Choice Requires="wps">
            <w:drawing>
              <wp:anchor distT="0" distB="0" distL="114300" distR="114300" simplePos="0" relativeHeight="249615872" behindDoc="1" locked="0" layoutInCell="1" allowOverlap="1" wp14:anchorId="45ED724E" wp14:editId="45215FFE">
                <wp:simplePos x="0" y="0"/>
                <wp:positionH relativeFrom="margin">
                  <wp:posOffset>-4445</wp:posOffset>
                </wp:positionH>
                <wp:positionV relativeFrom="page">
                  <wp:posOffset>8605322</wp:posOffset>
                </wp:positionV>
                <wp:extent cx="6862445" cy="381000"/>
                <wp:effectExtent l="0" t="0" r="0" b="0"/>
                <wp:wrapTight wrapText="bothSides">
                  <wp:wrapPolygon edited="0">
                    <wp:start x="0" y="0"/>
                    <wp:lineTo x="0" y="20520"/>
                    <wp:lineTo x="21526" y="20520"/>
                    <wp:lineTo x="21526" y="0"/>
                    <wp:lineTo x="0" y="0"/>
                  </wp:wrapPolygon>
                </wp:wrapTight>
                <wp:docPr id="501" name="Text Box 501"/>
                <wp:cNvGraphicFramePr/>
                <a:graphic xmlns:a="http://schemas.openxmlformats.org/drawingml/2006/main">
                  <a:graphicData uri="http://schemas.microsoft.com/office/word/2010/wordprocessingShape">
                    <wps:wsp>
                      <wps:cNvSpPr txBox="1"/>
                      <wps:spPr>
                        <a:xfrm>
                          <a:off x="0" y="0"/>
                          <a:ext cx="6862445" cy="381000"/>
                        </a:xfrm>
                        <a:prstGeom prst="rect">
                          <a:avLst/>
                        </a:prstGeom>
                        <a:solidFill>
                          <a:prstClr val="white"/>
                        </a:solidFill>
                        <a:ln>
                          <a:noFill/>
                        </a:ln>
                      </wps:spPr>
                      <wps:txbx>
                        <w:txbxContent>
                          <w:p w14:paraId="45F0BD54" w14:textId="1D810B23" w:rsidR="00A56EB4" w:rsidRPr="00F2233B" w:rsidRDefault="00A56EB4" w:rsidP="00F2233B">
                            <w:pPr>
                              <w:pStyle w:val="Caption"/>
                            </w:pPr>
                            <w:r w:rsidRPr="00B63B81">
                              <w:rPr>
                                <w:b/>
                                <w:bCs/>
                              </w:rPr>
                              <w:t xml:space="preserve">Figure </w:t>
                            </w:r>
                            <w:r>
                              <w:rPr>
                                <w:b/>
                                <w:bCs/>
                              </w:rPr>
                              <w:t>69</w:t>
                            </w:r>
                            <w:r>
                              <w:t>. A population pyramid representing the frequency (x-axis) of attendee gender (split), stratified by age (y-axis), at the South Traffic Courts between January 2017 and December 2018, from a sample size of 556.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724E" id="Text Box 501" o:spid="_x0000_s1139" type="#_x0000_t202" style="position:absolute;margin-left:-.35pt;margin-top:677.6pt;width:540.35pt;height:30pt;z-index:-253700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" stroked="f">
                <v:textbox inset="0,0,0,0">
                  <w:txbxContent>
                    <w:p w14:paraId="45F0BD54" w14:textId="1D810B23" w:rsidR="00A56EB4" w:rsidRPr="00F2233B" w:rsidRDefault="00A56EB4" w:rsidP="00F2233B">
                      <w:pPr>
                        <w:pStyle w:val="Caption"/>
                      </w:pPr>
                      <w:r w:rsidRPr="00B63B81">
                        <w:rPr>
                          <w:b/>
                          <w:bCs/>
                        </w:rPr>
                        <w:t xml:space="preserve">Figure </w:t>
                      </w:r>
                      <w:r>
                        <w:rPr>
                          <w:b/>
                          <w:bCs/>
                        </w:rPr>
                        <w:t>69</w:t>
                      </w:r>
                      <w:r>
                        <w:t>. A population pyramid representing the frequency (x-axis) of attendee gender (split), stratified by age (y-axis), at the South Traffic Courts between January 2017 and December 2018, from a sample size of 556.</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5000064" behindDoc="1" locked="0" layoutInCell="1" allowOverlap="1" wp14:anchorId="1872B283" wp14:editId="2C6C737C">
            <wp:simplePos x="0" y="0"/>
            <wp:positionH relativeFrom="margin">
              <wp:posOffset>36195</wp:posOffset>
            </wp:positionH>
            <wp:positionV relativeFrom="page">
              <wp:posOffset>4540885</wp:posOffset>
            </wp:positionV>
            <wp:extent cx="6845300" cy="4025900"/>
            <wp:effectExtent l="0" t="0" r="0" b="0"/>
            <wp:wrapTight wrapText="bothSides">
              <wp:wrapPolygon edited="0">
                <wp:start x="0" y="0"/>
                <wp:lineTo x="0" y="21464"/>
                <wp:lineTo x="21520" y="21464"/>
                <wp:lineTo x="21520" y="0"/>
                <wp:lineTo x="0" y="0"/>
              </wp:wrapPolygon>
            </wp:wrapTight>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45300" cy="402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2A0FD" w14:textId="6CFB6C8A" w:rsidR="006873CA" w:rsidRDefault="005F275F" w:rsidP="00251D93">
      <w:pPr>
        <w:autoSpaceDE w:val="0"/>
        <w:autoSpaceDN w:val="0"/>
        <w:adjustRightInd w:val="0"/>
        <w:spacing w:after="0" w:line="240" w:lineRule="auto"/>
        <w:rPr>
          <w:rFonts w:ascii="Times New Roman" w:hAnsi="Times New Roman" w:cs="Times New Roman"/>
          <w:sz w:val="24"/>
          <w:szCs w:val="24"/>
        </w:rPr>
      </w:pPr>
      <w:r>
        <w:t xml:space="preserve">It was observed that in defendants receiving services from the Elizabeth Fry Society of Calgary in </w:t>
      </w:r>
      <w:r w:rsidR="006F2D6C">
        <w:t xml:space="preserve">the </w:t>
      </w:r>
      <w:r w:rsidR="007952BD">
        <w:t>South</w:t>
      </w:r>
      <w:r>
        <w:t xml:space="preserve"> </w:t>
      </w:r>
      <w:r w:rsidR="007952BD">
        <w:t>Traffic Court</w:t>
      </w:r>
      <w:r w:rsidR="006F2D6C">
        <w:t>s</w:t>
      </w:r>
      <w:r>
        <w:t xml:space="preserve">, distribution was moderately concentrated in </w:t>
      </w:r>
      <w:r w:rsidR="009B2185">
        <w:t>individuals in central age categories</w:t>
      </w:r>
      <w:r>
        <w:t xml:space="preserve">, and in </w:t>
      </w:r>
      <w:r>
        <w:lastRenderedPageBreak/>
        <w:t>men. More than half (</w:t>
      </w:r>
      <w:r w:rsidR="009B2185">
        <w:t>63.14</w:t>
      </w:r>
      <w:r>
        <w:t xml:space="preserve">%) of defendants identified as male (Figure </w:t>
      </w:r>
      <w:r w:rsidR="004013DB">
        <w:t>67)</w:t>
      </w:r>
      <w:r>
        <w:t xml:space="preserve">. </w:t>
      </w:r>
      <w:r w:rsidR="009B2185">
        <w:t>Defendants</w:t>
      </w:r>
      <w:r>
        <w:t xml:space="preserve"> aged </w:t>
      </w:r>
      <w:r w:rsidR="009B2185">
        <w:t xml:space="preserve">18-49 </w:t>
      </w:r>
      <w:r w:rsidR="00735644">
        <w:t xml:space="preserve">account for </w:t>
      </w:r>
      <w:r w:rsidR="009B2185">
        <w:t xml:space="preserve">80.22% </w:t>
      </w:r>
      <w:r>
        <w:t>of defendants served</w:t>
      </w:r>
      <w:r w:rsidR="009B2185">
        <w:t xml:space="preserve"> </w:t>
      </w:r>
      <w:r>
        <w:t xml:space="preserve">(Figure </w:t>
      </w:r>
      <w:r w:rsidR="004013DB">
        <w:t>68</w:t>
      </w:r>
      <w:r>
        <w:t xml:space="preserve">). This is reflected in the population pyramid (Figure </w:t>
      </w:r>
      <w:r w:rsidR="004013DB">
        <w:t>69</w:t>
      </w:r>
      <w:r>
        <w:t>)</w:t>
      </w:r>
      <w:r w:rsidR="009B2185">
        <w:t xml:space="preserve"> which demonstrate</w:t>
      </w:r>
      <w:r w:rsidR="00735644">
        <w:t>s</w:t>
      </w:r>
      <w:r w:rsidR="009B2185">
        <w:t xml:space="preserve"> bulk around the middle with a mildly bottom-heavy distribution</w:t>
      </w:r>
      <w:r>
        <w:t xml:space="preserve">, suggesting a trend towards </w:t>
      </w:r>
      <w:r w:rsidR="009B2185">
        <w:t>young to middle</w:t>
      </w:r>
      <w:r>
        <w:t xml:space="preserve"> age groups, and left-leaning, suggesting a greater representation of male defendants. Men under 30, </w:t>
      </w:r>
      <w:r w:rsidR="009B2185">
        <w:t>age</w:t>
      </w:r>
      <w:r>
        <w:t xml:space="preserve"> 30-39, </w:t>
      </w:r>
      <w:r w:rsidR="009B2185">
        <w:t xml:space="preserve">and age 40-49 </w:t>
      </w:r>
      <w:r>
        <w:t>represent the most common demographics supported by the organization</w:t>
      </w:r>
      <w:r w:rsidR="004013DB">
        <w:t xml:space="preserve">, </w:t>
      </w:r>
      <w:r>
        <w:t xml:space="preserve">making up </w:t>
      </w:r>
      <w:r w:rsidR="00735644">
        <w:t>14.57</w:t>
      </w:r>
      <w:r>
        <w:t>%</w:t>
      </w:r>
      <w:r w:rsidR="00735644">
        <w:t>, 17.09%,</w:t>
      </w:r>
      <w:r>
        <w:t xml:space="preserve"> and </w:t>
      </w:r>
      <w:r w:rsidR="00735644">
        <w:t>17.27</w:t>
      </w:r>
      <w:r>
        <w:t>% of all defendants, with a prevalence 1</w:t>
      </w:r>
      <w:r w:rsidR="00735644">
        <w:t>.31</w:t>
      </w:r>
      <w:r>
        <w:t>X</w:t>
      </w:r>
      <w:r w:rsidR="00735644">
        <w:t>, 1.70X,</w:t>
      </w:r>
      <w:r>
        <w:t xml:space="preserve"> and 1.</w:t>
      </w:r>
      <w:r w:rsidR="00735644">
        <w:t>71</w:t>
      </w:r>
      <w:r>
        <w:t xml:space="preserve">X that of their age-matched female peers, respectively (Figure </w:t>
      </w:r>
      <w:r w:rsidR="004013DB">
        <w:t>69</w:t>
      </w:r>
      <w:r>
        <w:t>).</w:t>
      </w:r>
      <w:r w:rsidR="005354C3" w:rsidRPr="005354C3">
        <w:rPr>
          <w:rFonts w:ascii="Times New Roman" w:hAnsi="Times New Roman" w:cs="Times New Roman"/>
          <w:noProof/>
          <w:sz w:val="24"/>
          <w:szCs w:val="24"/>
          <w:lang w:val="en-US"/>
        </w:rPr>
        <w:t xml:space="preserve"> </w:t>
      </w:r>
      <w:r w:rsidR="005354C3" w:rsidRPr="00926579">
        <w:rPr>
          <w:noProof/>
          <w:lang w:val="en-US"/>
        </w:rPr>
        <mc:AlternateContent>
          <mc:Choice Requires="wps">
            <w:drawing>
              <wp:anchor distT="0" distB="0" distL="114300" distR="114300" simplePos="0" relativeHeight="249967104" behindDoc="1" locked="0" layoutInCell="1" allowOverlap="1" wp14:anchorId="220C65F6" wp14:editId="1972B4A5">
                <wp:simplePos x="0" y="0"/>
                <wp:positionH relativeFrom="margin">
                  <wp:posOffset>3681350</wp:posOffset>
                </wp:positionH>
                <wp:positionV relativeFrom="page">
                  <wp:posOffset>1987962</wp:posOffset>
                </wp:positionV>
                <wp:extent cx="3175000" cy="742950"/>
                <wp:effectExtent l="0" t="0" r="6350" b="0"/>
                <wp:wrapTight wrapText="bothSides">
                  <wp:wrapPolygon edited="0">
                    <wp:start x="0" y="0"/>
                    <wp:lineTo x="0" y="21046"/>
                    <wp:lineTo x="21514" y="21046"/>
                    <wp:lineTo x="21514" y="0"/>
                    <wp:lineTo x="0" y="0"/>
                  </wp:wrapPolygon>
                </wp:wrapTight>
                <wp:docPr id="514" name="Text Box 514"/>
                <wp:cNvGraphicFramePr/>
                <a:graphic xmlns:a="http://schemas.openxmlformats.org/drawingml/2006/main">
                  <a:graphicData uri="http://schemas.microsoft.com/office/word/2010/wordprocessingShape">
                    <wps:wsp>
                      <wps:cNvSpPr txBox="1"/>
                      <wps:spPr>
                        <a:xfrm>
                          <a:off x="0" y="0"/>
                          <a:ext cx="3175000" cy="742950"/>
                        </a:xfrm>
                        <a:prstGeom prst="rect">
                          <a:avLst/>
                        </a:prstGeom>
                        <a:solidFill>
                          <a:prstClr val="white"/>
                        </a:solidFill>
                        <a:ln>
                          <a:noFill/>
                        </a:ln>
                      </wps:spPr>
                      <wps:txbx>
                        <w:txbxContent>
                          <w:p w14:paraId="5E73E288" w14:textId="624C69A5"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70</w:t>
                            </w:r>
                            <w:r w:rsidRPr="00B63B81">
                              <w:rPr>
                                <w:b/>
                                <w:bCs/>
                              </w:rPr>
                              <w:t>.</w:t>
                            </w:r>
                            <w:r>
                              <w:t xml:space="preserve"> A pie chart of minority status as observed in the South Traffic Courts between January 2017 and December 2018, from a sample size of 567. Slice size represents the relative proportion of respondents identifying as part of a minority group. </w:t>
                            </w:r>
                          </w:p>
                          <w:p w14:paraId="1EC65E2A" w14:textId="77777777" w:rsidR="00A56EB4" w:rsidRPr="00572B34" w:rsidRDefault="00A56EB4" w:rsidP="00926579">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65F6" id="Text Box 514" o:spid="_x0000_s1140" type="#_x0000_t202" style="position:absolute;margin-left:289.85pt;margin-top:156.55pt;width:250pt;height:58.5pt;z-index:-2533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" stroked="f">
                <v:textbox inset="0,0,0,0">
                  <w:txbxContent>
                    <w:p w14:paraId="5E73E288" w14:textId="624C69A5"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70</w:t>
                      </w:r>
                      <w:r w:rsidRPr="00B63B81">
                        <w:rPr>
                          <w:b/>
                          <w:bCs/>
                        </w:rPr>
                        <w:t>.</w:t>
                      </w:r>
                      <w:r>
                        <w:t xml:space="preserve"> A pie chart of minority status as observed in the South Traffic Courts between January 2017 and December 2018, from a sample size of 567. Slice size represents the relative proportion of respondents identifying as part of a minority group. </w:t>
                      </w:r>
                    </w:p>
                    <w:p w14:paraId="1EC65E2A" w14:textId="77777777" w:rsidR="00A56EB4" w:rsidRPr="00572B34" w:rsidRDefault="00A56EB4" w:rsidP="00926579">
                      <w:pPr>
                        <w:pStyle w:val="Caption"/>
                        <w:rPr>
                          <w:rFonts w:ascii="Times New Roman" w:hAnsi="Times New Roman" w:cs="Times New Roman"/>
                          <w:noProof/>
                          <w:sz w:val="24"/>
                          <w:szCs w:val="24"/>
                        </w:rPr>
                      </w:pPr>
                    </w:p>
                  </w:txbxContent>
                </v:textbox>
                <w10:wrap type="tight" anchorx="margin" anchory="page"/>
              </v:shape>
            </w:pict>
          </mc:Fallback>
        </mc:AlternateContent>
      </w:r>
    </w:p>
    <w:p w14:paraId="561BC8B0" w14:textId="661CB2AE" w:rsidR="00452EFF" w:rsidRDefault="005354C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6465408" behindDoc="1" locked="0" layoutInCell="1" allowOverlap="1" wp14:anchorId="28047617" wp14:editId="74BFB778">
            <wp:simplePos x="0" y="0"/>
            <wp:positionH relativeFrom="column">
              <wp:posOffset>5715</wp:posOffset>
            </wp:positionH>
            <wp:positionV relativeFrom="page">
              <wp:posOffset>2018236</wp:posOffset>
            </wp:positionV>
            <wp:extent cx="3524250" cy="2590800"/>
            <wp:effectExtent l="0" t="0" r="0" b="0"/>
            <wp:wrapTight wrapText="bothSides">
              <wp:wrapPolygon edited="0">
                <wp:start x="0" y="0"/>
                <wp:lineTo x="0" y="21441"/>
                <wp:lineTo x="21483" y="21441"/>
                <wp:lineTo x="2148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07">
                      <a:extLst>
                        <a:ext uri="{28A0092B-C50C-407E-A947-70E740481C1C}">
                          <a14:useLocalDpi xmlns:a14="http://schemas.microsoft.com/office/drawing/2010/main" val="0"/>
                        </a:ext>
                      </a:extLst>
                    </a:blip>
                    <a:srcRect l="26431" t="21370" r="25549" b="18777"/>
                    <a:stretch/>
                  </pic:blipFill>
                  <pic:spPr bwMode="auto">
                    <a:xfrm>
                      <a:off x="0" y="0"/>
                      <a:ext cx="3524250" cy="2590800"/>
                    </a:xfrm>
                    <a:prstGeom prst="rect">
                      <a:avLst/>
                    </a:prstGeom>
                    <a:noFill/>
                    <a:ln>
                      <a:noFill/>
                    </a:ln>
                    <a:extLst>
                      <a:ext uri="{53640926-AAD7-44D8-BBD7-CCE9431645EC}">
                        <a14:shadowObscured xmlns:a14="http://schemas.microsoft.com/office/drawing/2010/main"/>
                      </a:ext>
                    </a:extLst>
                  </pic:spPr>
                </pic:pic>
              </a:graphicData>
            </a:graphic>
          </wp:anchor>
        </w:drawing>
      </w:r>
    </w:p>
    <w:p w14:paraId="18395321" w14:textId="77777777" w:rsidR="005354C3" w:rsidRDefault="005354C3" w:rsidP="00EE625A">
      <w:pPr>
        <w:keepNext/>
        <w:autoSpaceDE w:val="0"/>
        <w:autoSpaceDN w:val="0"/>
        <w:adjustRightInd w:val="0"/>
        <w:spacing w:after="0" w:line="240" w:lineRule="auto"/>
      </w:pPr>
    </w:p>
    <w:p w14:paraId="54ECB047" w14:textId="77777777" w:rsidR="005354C3" w:rsidRDefault="005354C3" w:rsidP="00EE625A">
      <w:pPr>
        <w:keepNext/>
        <w:autoSpaceDE w:val="0"/>
        <w:autoSpaceDN w:val="0"/>
        <w:adjustRightInd w:val="0"/>
        <w:spacing w:after="0" w:line="240" w:lineRule="auto"/>
      </w:pPr>
    </w:p>
    <w:p w14:paraId="2DFE4F20" w14:textId="77777777" w:rsidR="005354C3" w:rsidRDefault="005354C3" w:rsidP="00EE625A">
      <w:pPr>
        <w:keepNext/>
        <w:autoSpaceDE w:val="0"/>
        <w:autoSpaceDN w:val="0"/>
        <w:adjustRightInd w:val="0"/>
        <w:spacing w:after="0" w:line="240" w:lineRule="auto"/>
      </w:pPr>
    </w:p>
    <w:p w14:paraId="59A645B3" w14:textId="77777777" w:rsidR="005354C3" w:rsidRDefault="005354C3" w:rsidP="00EE625A">
      <w:pPr>
        <w:keepNext/>
        <w:autoSpaceDE w:val="0"/>
        <w:autoSpaceDN w:val="0"/>
        <w:adjustRightInd w:val="0"/>
        <w:spacing w:after="0" w:line="240" w:lineRule="auto"/>
      </w:pPr>
    </w:p>
    <w:p w14:paraId="7CD8F117" w14:textId="77777777" w:rsidR="005354C3" w:rsidRDefault="005354C3" w:rsidP="00EE625A">
      <w:pPr>
        <w:keepNext/>
        <w:autoSpaceDE w:val="0"/>
        <w:autoSpaceDN w:val="0"/>
        <w:adjustRightInd w:val="0"/>
        <w:spacing w:after="0" w:line="240" w:lineRule="auto"/>
      </w:pPr>
    </w:p>
    <w:p w14:paraId="3D71ED21" w14:textId="2AAD71B4" w:rsidR="005354C3" w:rsidRDefault="005354C3" w:rsidP="00EE625A">
      <w:pPr>
        <w:keepNext/>
        <w:autoSpaceDE w:val="0"/>
        <w:autoSpaceDN w:val="0"/>
        <w:adjustRightInd w:val="0"/>
        <w:spacing w:after="0" w:line="240" w:lineRule="auto"/>
      </w:pPr>
      <w:r>
        <w:rPr>
          <w:rFonts w:ascii="Times New Roman" w:hAnsi="Times New Roman" w:cs="Times New Roman"/>
          <w:noProof/>
          <w:sz w:val="24"/>
          <w:szCs w:val="24"/>
          <w:lang w:val="en-US"/>
        </w:rPr>
        <w:drawing>
          <wp:anchor distT="0" distB="0" distL="114300" distR="114300" simplePos="0" relativeHeight="255035904" behindDoc="1" locked="0" layoutInCell="1" allowOverlap="1" wp14:anchorId="021F7BD0" wp14:editId="48A237B8">
            <wp:simplePos x="0" y="0"/>
            <wp:positionH relativeFrom="margin">
              <wp:posOffset>0</wp:posOffset>
            </wp:positionH>
            <wp:positionV relativeFrom="page">
              <wp:posOffset>4646360</wp:posOffset>
            </wp:positionV>
            <wp:extent cx="6985000" cy="4117975"/>
            <wp:effectExtent l="0" t="0" r="6350" b="0"/>
            <wp:wrapTight wrapText="bothSides">
              <wp:wrapPolygon edited="0">
                <wp:start x="0" y="0"/>
                <wp:lineTo x="0" y="21483"/>
                <wp:lineTo x="21561" y="21483"/>
                <wp:lineTo x="21561" y="0"/>
                <wp:lineTo x="0" y="0"/>
              </wp:wrapPolygon>
            </wp:wrapTight>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00" cy="411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0DE00" w14:textId="0CA8E572" w:rsidR="00A16322" w:rsidRDefault="005354C3" w:rsidP="00EE625A">
      <w:pPr>
        <w:keepNext/>
        <w:autoSpaceDE w:val="0"/>
        <w:autoSpaceDN w:val="0"/>
        <w:adjustRightInd w:val="0"/>
        <w:spacing w:after="0" w:line="240" w:lineRule="auto"/>
      </w:pPr>
      <w:r>
        <w:rPr>
          <w:noProof/>
          <w:lang w:val="en-US"/>
        </w:rPr>
        <mc:AlternateContent>
          <mc:Choice Requires="wps">
            <w:drawing>
              <wp:anchor distT="0" distB="0" distL="114300" distR="114300" simplePos="0" relativeHeight="250290688" behindDoc="1" locked="0" layoutInCell="1" allowOverlap="1" wp14:anchorId="71D92068" wp14:editId="3BBEFA1A">
                <wp:simplePos x="0" y="0"/>
                <wp:positionH relativeFrom="margin">
                  <wp:posOffset>3669475</wp:posOffset>
                </wp:positionH>
                <wp:positionV relativeFrom="page">
                  <wp:posOffset>3861789</wp:posOffset>
                </wp:positionV>
                <wp:extent cx="3086100" cy="685800"/>
                <wp:effectExtent l="0" t="0" r="0" b="0"/>
                <wp:wrapTight wrapText="bothSides">
                  <wp:wrapPolygon edited="0">
                    <wp:start x="0" y="0"/>
                    <wp:lineTo x="0" y="21000"/>
                    <wp:lineTo x="21467" y="21000"/>
                    <wp:lineTo x="21467" y="0"/>
                    <wp:lineTo x="0" y="0"/>
                  </wp:wrapPolygon>
                </wp:wrapTight>
                <wp:docPr id="522" name="Text Box 522"/>
                <wp:cNvGraphicFramePr/>
                <a:graphic xmlns:a="http://schemas.openxmlformats.org/drawingml/2006/main">
                  <a:graphicData uri="http://schemas.microsoft.com/office/word/2010/wordprocessingShape">
                    <wps:wsp>
                      <wps:cNvSpPr txBox="1"/>
                      <wps:spPr>
                        <a:xfrm>
                          <a:off x="0" y="0"/>
                          <a:ext cx="3086100" cy="685800"/>
                        </a:xfrm>
                        <a:prstGeom prst="rect">
                          <a:avLst/>
                        </a:prstGeom>
                        <a:solidFill>
                          <a:prstClr val="white"/>
                        </a:solidFill>
                        <a:ln>
                          <a:noFill/>
                        </a:ln>
                      </wps:spPr>
                      <wps:txbx>
                        <w:txbxContent>
                          <w:p w14:paraId="3BEBEE5D" w14:textId="650C79E7" w:rsidR="00A56EB4" w:rsidRPr="00E25FCA" w:rsidRDefault="00A56EB4" w:rsidP="009D0478">
                            <w:pPr>
                              <w:pStyle w:val="Caption"/>
                            </w:pPr>
                            <w:r w:rsidRPr="00B63B81">
                              <w:rPr>
                                <w:b/>
                                <w:bCs/>
                              </w:rPr>
                              <w:t xml:space="preserve">Figure </w:t>
                            </w:r>
                            <w:r>
                              <w:rPr>
                                <w:b/>
                                <w:bCs/>
                              </w:rPr>
                              <w:t>71</w:t>
                            </w:r>
                            <w:r w:rsidRPr="00B63B81">
                              <w:rPr>
                                <w:b/>
                                <w:bCs/>
                              </w:rPr>
                              <w:t>.</w:t>
                            </w:r>
                            <w:r>
                              <w:t xml:space="preserve"> A population pyramid representing frequency (x-axis) of attendee gender (split), stratified by age (y-axis), and grouped by minority status at the South Traffic Courts between January 2017 and December 2018, from a sample size of 548 (neither: 530, Indigenous: 5) newcomers: 13).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2068" id="Text Box 522" o:spid="_x0000_s1141" type="#_x0000_t202" style="position:absolute;margin-left:288.95pt;margin-top:304.1pt;width:243pt;height:54pt;z-index:-253025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" stroked="f">
                <v:textbox inset="0,0,0,0">
                  <w:txbxContent>
                    <w:p w14:paraId="3BEBEE5D" w14:textId="650C79E7" w:rsidR="00A56EB4" w:rsidRPr="00E25FCA" w:rsidRDefault="00A56EB4" w:rsidP="009D0478">
                      <w:pPr>
                        <w:pStyle w:val="Caption"/>
                      </w:pPr>
                      <w:r w:rsidRPr="00B63B81">
                        <w:rPr>
                          <w:b/>
                          <w:bCs/>
                        </w:rPr>
                        <w:t xml:space="preserve">Figure </w:t>
                      </w:r>
                      <w:r>
                        <w:rPr>
                          <w:b/>
                          <w:bCs/>
                        </w:rPr>
                        <w:t>71</w:t>
                      </w:r>
                      <w:r w:rsidRPr="00B63B81">
                        <w:rPr>
                          <w:b/>
                          <w:bCs/>
                        </w:rPr>
                        <w:t>.</w:t>
                      </w:r>
                      <w:r>
                        <w:t xml:space="preserve"> A population pyramid representing frequency (x-axis) of attendee gender (split), stratified by age (y-axis), and grouped by minority status at the South Traffic Courts between January 2017 and December 2018, from a sample size of 548 (neither: 530, Indigenous: 5) newcomers: 13). </w:t>
                      </w:r>
                    </w:p>
                  </w:txbxContent>
                </v:textbox>
                <w10:wrap type="tight" anchorx="margin" anchory="page"/>
              </v:shape>
            </w:pict>
          </mc:Fallback>
        </mc:AlternateContent>
      </w:r>
      <w:r w:rsidR="00F810F8" w:rsidRPr="00563D57">
        <w:t xml:space="preserve">Given </w:t>
      </w:r>
      <w:r w:rsidR="000E4778">
        <w:t xml:space="preserve">that </w:t>
      </w:r>
      <w:r>
        <w:t xml:space="preserve">the </w:t>
      </w:r>
      <w:r w:rsidR="000E4778">
        <w:t>South Traffic Court</w:t>
      </w:r>
      <w:r>
        <w:t>s</w:t>
      </w:r>
      <w:r w:rsidR="000E4778">
        <w:t xml:space="preserve"> commenced in 2018</w:t>
      </w:r>
      <w:r w:rsidR="00F810F8" w:rsidRPr="00563D57">
        <w:t xml:space="preserve">, the data generated on age and minority status pulls from a </w:t>
      </w:r>
      <w:r w:rsidR="000E4778">
        <w:t>smaller sample size</w:t>
      </w:r>
      <w:r w:rsidR="00F810F8" w:rsidRPr="00563D57">
        <w:t>; for this reason, it is not possible to effectively analyze the limited data generated on Indigenous defendants and those of newcomer status.</w:t>
      </w:r>
      <w:r w:rsidR="00F810F8" w:rsidRPr="00563D57">
        <w:rPr>
          <w:rFonts w:ascii="Times New Roman" w:hAnsi="Times New Roman" w:cs="Times New Roman"/>
          <w:sz w:val="24"/>
          <w:szCs w:val="24"/>
        </w:rPr>
        <w:t xml:space="preserve"> </w:t>
      </w:r>
      <w:r w:rsidR="00A16322" w:rsidRPr="009E7928">
        <w:t xml:space="preserve">It was observed that </w:t>
      </w:r>
      <w:r w:rsidR="00F810F8">
        <w:t xml:space="preserve">more than three in </w:t>
      </w:r>
      <w:r w:rsidR="00F810F8">
        <w:lastRenderedPageBreak/>
        <w:t>four</w:t>
      </w:r>
      <w:r w:rsidR="00A16322" w:rsidRPr="009E7928">
        <w:t xml:space="preserve"> (</w:t>
      </w:r>
      <w:r w:rsidR="00F810F8">
        <w:t>75.55</w:t>
      </w:r>
      <w:r w:rsidR="00A16322" w:rsidRPr="009E7928">
        <w:t xml:space="preserve">%) defendants receiving services from the Elizabeth Fry Society of Calgary in </w:t>
      </w:r>
      <w:r>
        <w:t xml:space="preserve">the </w:t>
      </w:r>
      <w:r w:rsidR="007952BD">
        <w:t>South</w:t>
      </w:r>
      <w:r w:rsidR="00A16322" w:rsidRPr="009E7928">
        <w:t xml:space="preserve"> </w:t>
      </w:r>
      <w:r w:rsidR="007952BD">
        <w:t>Traffic Court</w:t>
      </w:r>
      <w:r>
        <w:t>s</w:t>
      </w:r>
      <w:r w:rsidR="00A16322" w:rsidRPr="009E7928">
        <w:t xml:space="preserve"> had no minority status (Figure </w:t>
      </w:r>
      <w:r w:rsidR="00EE625A">
        <w:t>70</w:t>
      </w:r>
      <w:r w:rsidR="00A16322" w:rsidRPr="009E7928">
        <w:t xml:space="preserve">). </w:t>
      </w:r>
      <w:r w:rsidR="00F810F8">
        <w:t xml:space="preserve">In defendants without minority status, there exists a trend towards a greater representation of males and younger age groups in court, as suggested by the corresponding population pyramid (Figure </w:t>
      </w:r>
      <w:r w:rsidR="00EE625A">
        <w:t>71</w:t>
      </w:r>
      <w:r w:rsidR="00F810F8">
        <w:t xml:space="preserve">). </w:t>
      </w:r>
      <w:r w:rsidR="00A16322" w:rsidRPr="009E7928">
        <w:t xml:space="preserve">Male defendants </w:t>
      </w:r>
      <w:r w:rsidR="00F810F8">
        <w:t>in the</w:t>
      </w:r>
      <w:r w:rsidR="00A16322" w:rsidRPr="009E7928">
        <w:t xml:space="preserve"> 18-29</w:t>
      </w:r>
      <w:r w:rsidR="00F810F8">
        <w:t xml:space="preserve">, </w:t>
      </w:r>
      <w:r w:rsidR="00A16322" w:rsidRPr="009E7928">
        <w:t>30-39</w:t>
      </w:r>
      <w:r w:rsidR="00FD66C1">
        <w:t>,</w:t>
      </w:r>
      <w:r w:rsidR="00A16322" w:rsidRPr="009E7928">
        <w:t xml:space="preserve"> </w:t>
      </w:r>
      <w:r w:rsidR="00F810F8">
        <w:t xml:space="preserve">and 40-49 age categories </w:t>
      </w:r>
      <w:r w:rsidR="00A16322" w:rsidRPr="009E7928">
        <w:t xml:space="preserve">made up </w:t>
      </w:r>
      <w:r w:rsidR="007F31F7">
        <w:t>15.28%, 16.60%, and 16.42%</w:t>
      </w:r>
      <w:r w:rsidR="00A16322" w:rsidRPr="009E7928">
        <w:t xml:space="preserve"> of defendants with n</w:t>
      </w:r>
      <w:r w:rsidR="00F810F8">
        <w:t>o minority</w:t>
      </w:r>
      <w:r w:rsidR="00A16322" w:rsidRPr="009E7928">
        <w:t xml:space="preserve"> status</w:t>
      </w:r>
      <w:r w:rsidR="007F31F7">
        <w:t xml:space="preserve"> respectively</w:t>
      </w:r>
      <w:r w:rsidR="00A16322" w:rsidRPr="009E7928">
        <w:t xml:space="preserve">, with a prevalence </w:t>
      </w:r>
      <w:r w:rsidR="007F31F7">
        <w:t>1.33X, 1.69X, and 1.61</w:t>
      </w:r>
      <w:r w:rsidR="00A16322" w:rsidRPr="009E7928">
        <w:t xml:space="preserve">X that of their age-matched female peers (Figure </w:t>
      </w:r>
      <w:r w:rsidR="00EE625A">
        <w:t>71</w:t>
      </w:r>
      <w:r w:rsidR="00A16322" w:rsidRPr="009E7928">
        <w:t xml:space="preserve">). </w:t>
      </w:r>
    </w:p>
    <w:p w14:paraId="086034FF" w14:textId="5AF05527" w:rsidR="00EE625A" w:rsidRPr="00EE625A" w:rsidRDefault="00A80FEE" w:rsidP="00EE625A">
      <w:pPr>
        <w:keepNext/>
        <w:autoSpaceDE w:val="0"/>
        <w:autoSpaceDN w:val="0"/>
        <w:adjustRightInd w:val="0"/>
        <w:spacing w:after="0" w:line="240" w:lineRule="auto"/>
      </w:pPr>
      <w:r>
        <w:rPr>
          <w:noProof/>
          <w:lang w:val="en-US"/>
        </w:rPr>
        <w:drawing>
          <wp:anchor distT="0" distB="0" distL="114300" distR="114300" simplePos="0" relativeHeight="255075840" behindDoc="1" locked="0" layoutInCell="1" allowOverlap="1" wp14:anchorId="6ABD0932" wp14:editId="37ACEF69">
            <wp:simplePos x="0" y="0"/>
            <wp:positionH relativeFrom="column">
              <wp:posOffset>-5715</wp:posOffset>
            </wp:positionH>
            <wp:positionV relativeFrom="page">
              <wp:posOffset>1870669</wp:posOffset>
            </wp:positionV>
            <wp:extent cx="6858000" cy="4350385"/>
            <wp:effectExtent l="0" t="0" r="0" b="0"/>
            <wp:wrapTight wrapText="bothSides">
              <wp:wrapPolygon edited="0">
                <wp:start x="0" y="0"/>
                <wp:lineTo x="0" y="21471"/>
                <wp:lineTo x="21540" y="21471"/>
                <wp:lineTo x="21540" y="0"/>
                <wp:lineTo x="0" y="0"/>
              </wp:wrapPolygon>
            </wp:wrapTight>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6858000" cy="4350385"/>
                    </a:xfrm>
                    <a:prstGeom prst="rect">
                      <a:avLst/>
                    </a:prstGeom>
                  </pic:spPr>
                </pic:pic>
              </a:graphicData>
            </a:graphic>
          </wp:anchor>
        </w:drawing>
      </w:r>
    </w:p>
    <w:p w14:paraId="46FB6264" w14:textId="5F12283F" w:rsidR="00342F84" w:rsidRDefault="00342F84" w:rsidP="00342F84">
      <w:pPr>
        <w:autoSpaceDE w:val="0"/>
        <w:autoSpaceDN w:val="0"/>
        <w:adjustRightInd w:val="0"/>
        <w:spacing w:after="0" w:line="240" w:lineRule="auto"/>
        <w:rPr>
          <w:rFonts w:ascii="Times New Roman" w:hAnsi="Times New Roman" w:cs="Times New Roman"/>
          <w:sz w:val="24"/>
          <w:szCs w:val="24"/>
        </w:rPr>
      </w:pPr>
    </w:p>
    <w:p w14:paraId="587AAE2D" w14:textId="2E9ABB0E" w:rsidR="000168A5" w:rsidRPr="000168A5" w:rsidRDefault="000168A5" w:rsidP="00DE474B">
      <w:pPr>
        <w:pStyle w:val="Caption"/>
        <w:rPr>
          <w:rFonts w:ascii="Times New Roman" w:hAnsi="Times New Roman" w:cs="Times New Roman"/>
        </w:rPr>
      </w:pPr>
      <w:r w:rsidRPr="00391DDA">
        <w:rPr>
          <w:b/>
          <w:bCs/>
        </w:rPr>
        <w:t xml:space="preserve">Figure </w:t>
      </w:r>
      <w:r w:rsidR="00DE474B">
        <w:rPr>
          <w:b/>
          <w:bCs/>
        </w:rPr>
        <w:t>72</w:t>
      </w:r>
      <w:r w:rsidRPr="00391DDA">
        <w:rPr>
          <w:b/>
          <w:bCs/>
        </w:rPr>
        <w:t>.</w:t>
      </w:r>
      <w:r w:rsidRPr="00391DDA">
        <w:t xml:space="preserve"> A bar graph of attendee family size as observed in </w:t>
      </w:r>
      <w:r w:rsidR="00A80FEE">
        <w:t xml:space="preserve">the </w:t>
      </w:r>
      <w:r w:rsidR="007952BD">
        <w:t>South</w:t>
      </w:r>
      <w:r>
        <w:t xml:space="preserve"> </w:t>
      </w:r>
      <w:r w:rsidR="007952BD">
        <w:t>Traffic Court</w:t>
      </w:r>
      <w:r w:rsidR="00A80FEE">
        <w:t>s</w:t>
      </w:r>
      <w:r w:rsidRPr="00391DDA">
        <w:t xml:space="preserve"> between January 2017 and December 201</w:t>
      </w:r>
      <w:r w:rsidR="00DE474B">
        <w:t>8</w:t>
      </w:r>
      <w:r w:rsidRPr="00391DDA">
        <w:t xml:space="preserve">, from a sample size of </w:t>
      </w:r>
      <w:r>
        <w:t>560.</w:t>
      </w:r>
      <w:r w:rsidRPr="00391DDA">
        <w:t xml:space="preserve"> Bar height corresponds to the number of respondents reporting a given family size (y-axis), with relative proportions of family size categories indicated within the bar. </w:t>
      </w:r>
    </w:p>
    <w:p w14:paraId="34FA6EE5" w14:textId="121EC056" w:rsidR="00342F84" w:rsidRDefault="00342F84" w:rsidP="00342F84">
      <w:pPr>
        <w:autoSpaceDE w:val="0"/>
        <w:autoSpaceDN w:val="0"/>
        <w:adjustRightInd w:val="0"/>
        <w:spacing w:after="0" w:line="240" w:lineRule="auto"/>
        <w:rPr>
          <w:rFonts w:ascii="Times New Roman" w:hAnsi="Times New Roman" w:cs="Times New Roman"/>
          <w:sz w:val="24"/>
          <w:szCs w:val="24"/>
        </w:rPr>
      </w:pPr>
    </w:p>
    <w:p w14:paraId="1AA11C18" w14:textId="59096E22" w:rsidR="00922ABC" w:rsidRDefault="00922ABC" w:rsidP="00922ABC">
      <w:pPr>
        <w:autoSpaceDE w:val="0"/>
        <w:autoSpaceDN w:val="0"/>
        <w:adjustRightInd w:val="0"/>
        <w:spacing w:after="0" w:line="240" w:lineRule="auto"/>
        <w:rPr>
          <w:rFonts w:ascii="Times New Roman" w:hAnsi="Times New Roman" w:cs="Times New Roman"/>
          <w:sz w:val="24"/>
          <w:szCs w:val="24"/>
        </w:rPr>
      </w:pPr>
    </w:p>
    <w:p w14:paraId="59D2EB7C" w14:textId="49E27549" w:rsidR="00A80FEE" w:rsidRDefault="00A80FEE" w:rsidP="00922ABC">
      <w:pPr>
        <w:autoSpaceDE w:val="0"/>
        <w:autoSpaceDN w:val="0"/>
        <w:adjustRightInd w:val="0"/>
        <w:spacing w:after="0" w:line="240" w:lineRule="auto"/>
        <w:rPr>
          <w:rFonts w:ascii="Times New Roman" w:hAnsi="Times New Roman" w:cs="Times New Roman"/>
          <w:sz w:val="24"/>
          <w:szCs w:val="24"/>
        </w:rPr>
      </w:pPr>
    </w:p>
    <w:p w14:paraId="37823B89" w14:textId="1A32D57B" w:rsidR="00A80FEE" w:rsidRDefault="00A80FEE" w:rsidP="00922ABC">
      <w:pPr>
        <w:autoSpaceDE w:val="0"/>
        <w:autoSpaceDN w:val="0"/>
        <w:adjustRightInd w:val="0"/>
        <w:spacing w:after="0" w:line="240" w:lineRule="auto"/>
        <w:rPr>
          <w:rFonts w:ascii="Times New Roman" w:hAnsi="Times New Roman" w:cs="Times New Roman"/>
          <w:sz w:val="24"/>
          <w:szCs w:val="24"/>
        </w:rPr>
      </w:pPr>
    </w:p>
    <w:p w14:paraId="2B3499F0" w14:textId="1BF4BFB9" w:rsidR="00A80FEE" w:rsidRDefault="00A80FEE" w:rsidP="00922ABC">
      <w:pPr>
        <w:autoSpaceDE w:val="0"/>
        <w:autoSpaceDN w:val="0"/>
        <w:adjustRightInd w:val="0"/>
        <w:spacing w:after="0" w:line="240" w:lineRule="auto"/>
        <w:rPr>
          <w:rFonts w:ascii="Times New Roman" w:hAnsi="Times New Roman" w:cs="Times New Roman"/>
          <w:sz w:val="24"/>
          <w:szCs w:val="24"/>
        </w:rPr>
      </w:pPr>
    </w:p>
    <w:p w14:paraId="23198BD4" w14:textId="191BE36C" w:rsidR="00A80FEE" w:rsidRDefault="00A80FEE" w:rsidP="00922ABC">
      <w:pPr>
        <w:autoSpaceDE w:val="0"/>
        <w:autoSpaceDN w:val="0"/>
        <w:adjustRightInd w:val="0"/>
        <w:spacing w:after="0" w:line="240" w:lineRule="auto"/>
        <w:rPr>
          <w:rFonts w:ascii="Times New Roman" w:hAnsi="Times New Roman" w:cs="Times New Roman"/>
          <w:sz w:val="24"/>
          <w:szCs w:val="24"/>
        </w:rPr>
      </w:pPr>
    </w:p>
    <w:p w14:paraId="3798A259" w14:textId="20056483" w:rsidR="00A80FEE" w:rsidRDefault="00A80FEE" w:rsidP="00922ABC">
      <w:pPr>
        <w:autoSpaceDE w:val="0"/>
        <w:autoSpaceDN w:val="0"/>
        <w:adjustRightInd w:val="0"/>
        <w:spacing w:after="0" w:line="240" w:lineRule="auto"/>
        <w:rPr>
          <w:rFonts w:ascii="Times New Roman" w:hAnsi="Times New Roman" w:cs="Times New Roman"/>
          <w:sz w:val="24"/>
          <w:szCs w:val="24"/>
        </w:rPr>
      </w:pPr>
    </w:p>
    <w:p w14:paraId="07765635" w14:textId="61D5EF77" w:rsidR="00A80FEE" w:rsidRDefault="00A80FEE" w:rsidP="00922ABC">
      <w:pPr>
        <w:autoSpaceDE w:val="0"/>
        <w:autoSpaceDN w:val="0"/>
        <w:adjustRightInd w:val="0"/>
        <w:spacing w:after="0" w:line="240" w:lineRule="auto"/>
        <w:rPr>
          <w:rFonts w:ascii="Times New Roman" w:hAnsi="Times New Roman" w:cs="Times New Roman"/>
          <w:sz w:val="24"/>
          <w:szCs w:val="24"/>
        </w:rPr>
      </w:pPr>
    </w:p>
    <w:p w14:paraId="67509B9E" w14:textId="1A6EF21D" w:rsidR="00A80FEE" w:rsidRDefault="00A80FEE" w:rsidP="00922ABC">
      <w:pPr>
        <w:autoSpaceDE w:val="0"/>
        <w:autoSpaceDN w:val="0"/>
        <w:adjustRightInd w:val="0"/>
        <w:spacing w:after="0" w:line="240" w:lineRule="auto"/>
        <w:rPr>
          <w:rFonts w:ascii="Times New Roman" w:hAnsi="Times New Roman" w:cs="Times New Roman"/>
          <w:sz w:val="24"/>
          <w:szCs w:val="24"/>
        </w:rPr>
      </w:pPr>
    </w:p>
    <w:p w14:paraId="2D4B03B9" w14:textId="5ACD8714" w:rsidR="00A80FEE" w:rsidRDefault="00A80FEE" w:rsidP="00922ABC">
      <w:pPr>
        <w:autoSpaceDE w:val="0"/>
        <w:autoSpaceDN w:val="0"/>
        <w:adjustRightInd w:val="0"/>
        <w:spacing w:after="0" w:line="240" w:lineRule="auto"/>
        <w:rPr>
          <w:rFonts w:ascii="Times New Roman" w:hAnsi="Times New Roman" w:cs="Times New Roman"/>
          <w:sz w:val="24"/>
          <w:szCs w:val="24"/>
        </w:rPr>
      </w:pPr>
    </w:p>
    <w:p w14:paraId="1D617AC9" w14:textId="77777777" w:rsidR="001233EF" w:rsidRDefault="001233EF" w:rsidP="00813EF4">
      <w:pPr>
        <w:autoSpaceDE w:val="0"/>
        <w:autoSpaceDN w:val="0"/>
        <w:adjustRightInd w:val="0"/>
        <w:spacing w:after="0" w:line="240" w:lineRule="auto"/>
      </w:pPr>
    </w:p>
    <w:p w14:paraId="6712842A" w14:textId="77777777" w:rsidR="001233EF" w:rsidRDefault="001233EF" w:rsidP="00813EF4">
      <w:pPr>
        <w:autoSpaceDE w:val="0"/>
        <w:autoSpaceDN w:val="0"/>
        <w:adjustRightInd w:val="0"/>
        <w:spacing w:after="0" w:line="240" w:lineRule="auto"/>
      </w:pPr>
    </w:p>
    <w:p w14:paraId="775524FA" w14:textId="77777777" w:rsidR="001233EF" w:rsidRDefault="001233EF" w:rsidP="00813EF4">
      <w:pPr>
        <w:autoSpaceDE w:val="0"/>
        <w:autoSpaceDN w:val="0"/>
        <w:adjustRightInd w:val="0"/>
        <w:spacing w:after="0" w:line="240" w:lineRule="auto"/>
      </w:pPr>
    </w:p>
    <w:p w14:paraId="0F7AB866" w14:textId="656E0FB8" w:rsidR="00183A6F" w:rsidRPr="001233EF" w:rsidRDefault="00A80FEE" w:rsidP="00813EF4">
      <w:pPr>
        <w:autoSpaceDE w:val="0"/>
        <w:autoSpaceDN w:val="0"/>
        <w:adjustRightInd w:val="0"/>
        <w:spacing w:after="0" w:line="240" w:lineRule="auto"/>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0558976" behindDoc="1" locked="0" layoutInCell="1" allowOverlap="1" wp14:anchorId="692C3E5C" wp14:editId="2DA9BB37">
                <wp:simplePos x="0" y="0"/>
                <wp:positionH relativeFrom="margin">
                  <wp:posOffset>-734</wp:posOffset>
                </wp:positionH>
                <wp:positionV relativeFrom="page">
                  <wp:posOffset>4872915</wp:posOffset>
                </wp:positionV>
                <wp:extent cx="6851015" cy="525145"/>
                <wp:effectExtent l="0" t="0" r="6985" b="8255"/>
                <wp:wrapTight wrapText="bothSides">
                  <wp:wrapPolygon edited="0">
                    <wp:start x="0" y="0"/>
                    <wp:lineTo x="0" y="21156"/>
                    <wp:lineTo x="21562" y="21156"/>
                    <wp:lineTo x="21562" y="0"/>
                    <wp:lineTo x="0" y="0"/>
                  </wp:wrapPolygon>
                </wp:wrapTight>
                <wp:docPr id="528" name="Text Box 528"/>
                <wp:cNvGraphicFramePr/>
                <a:graphic xmlns:a="http://schemas.openxmlformats.org/drawingml/2006/main">
                  <a:graphicData uri="http://schemas.microsoft.com/office/word/2010/wordprocessingShape">
                    <wps:wsp>
                      <wps:cNvSpPr txBox="1"/>
                      <wps:spPr>
                        <a:xfrm>
                          <a:off x="0" y="0"/>
                          <a:ext cx="6851015" cy="525145"/>
                        </a:xfrm>
                        <a:prstGeom prst="rect">
                          <a:avLst/>
                        </a:prstGeom>
                        <a:solidFill>
                          <a:prstClr val="white"/>
                        </a:solidFill>
                        <a:ln>
                          <a:noFill/>
                        </a:ln>
                      </wps:spPr>
                      <wps:txbx>
                        <w:txbxContent>
                          <w:p w14:paraId="72C1CECC" w14:textId="2FF8BD56" w:rsidR="00A56EB4" w:rsidRPr="008E7C76" w:rsidRDefault="00A56EB4" w:rsidP="00D16B5F">
                            <w:pPr>
                              <w:pStyle w:val="Caption"/>
                              <w:rPr>
                                <w:highlight w:val="yellow"/>
                              </w:rPr>
                            </w:pPr>
                            <w:r w:rsidRPr="00B63B81">
                              <w:rPr>
                                <w:b/>
                                <w:bCs/>
                              </w:rPr>
                              <w:t xml:space="preserve">Figure </w:t>
                            </w:r>
                            <w:r>
                              <w:rPr>
                                <w:b/>
                                <w:bCs/>
                              </w:rPr>
                              <w:t>73</w:t>
                            </w:r>
                            <w:r w:rsidRPr="00B63B81">
                              <w:rPr>
                                <w:b/>
                                <w:bCs/>
                              </w:rPr>
                              <w:t>.</w:t>
                            </w:r>
                            <w:r>
                              <w:t xml:space="preserve"> </w:t>
                            </w:r>
                            <w:r w:rsidRPr="000504B7">
                              <w:t>Proportion of attendee households (y-axis) in a given income category (colour legend) by family size (x-axis), grouped by minority status, at</w:t>
                            </w:r>
                            <w:r>
                              <w:t xml:space="preserve"> the</w:t>
                            </w:r>
                            <w:r w:rsidRPr="000504B7">
                              <w:t xml:space="preserve"> </w:t>
                            </w:r>
                            <w:r>
                              <w:t>South</w:t>
                            </w:r>
                            <w:r w:rsidRPr="000504B7">
                              <w:t xml:space="preserve"> </w:t>
                            </w:r>
                            <w:r>
                              <w:t>Traffic C</w:t>
                            </w:r>
                            <w:r w:rsidRPr="000504B7">
                              <w:t>ourt</w:t>
                            </w:r>
                            <w:r>
                              <w:t>s</w:t>
                            </w:r>
                            <w:r w:rsidRPr="000504B7">
                              <w:t xml:space="preserve"> between January 2017 and December 2018. Bar height represents 100% of attendee households in a family size category. This data was generated from a sample size of </w:t>
                            </w:r>
                            <w:r>
                              <w:t>546</w:t>
                            </w:r>
                            <w:r w:rsidRPr="000504B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2C3E5C" id="Text Box 528" o:spid="_x0000_s1142" type="#_x0000_t202" style="position:absolute;margin-left:-.05pt;margin-top:383.7pt;width:539.45pt;height:41.35pt;z-index:-2527575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" stroked="f">
                <v:textbox style="mso-fit-shape-to-text:t" inset="0,0,0,0">
                  <w:txbxContent>
                    <w:p w14:paraId="72C1CECC" w14:textId="2FF8BD56" w:rsidR="00A56EB4" w:rsidRPr="008E7C76" w:rsidRDefault="00A56EB4" w:rsidP="00D16B5F">
                      <w:pPr>
                        <w:pStyle w:val="Caption"/>
                        <w:rPr>
                          <w:highlight w:val="yellow"/>
                        </w:rPr>
                      </w:pPr>
                      <w:r w:rsidRPr="00B63B81">
                        <w:rPr>
                          <w:b/>
                          <w:bCs/>
                        </w:rPr>
                        <w:t xml:space="preserve">Figure </w:t>
                      </w:r>
                      <w:r>
                        <w:rPr>
                          <w:b/>
                          <w:bCs/>
                        </w:rPr>
                        <w:t>73</w:t>
                      </w:r>
                      <w:r w:rsidRPr="00B63B81">
                        <w:rPr>
                          <w:b/>
                          <w:bCs/>
                        </w:rPr>
                        <w:t>.</w:t>
                      </w:r>
                      <w:r>
                        <w:t xml:space="preserve"> </w:t>
                      </w:r>
                      <w:r w:rsidRPr="000504B7">
                        <w:t>Proportion of attendee households (y-axis) in a given income category (colour legend) by family size (x-axis), grouped by minority status, at</w:t>
                      </w:r>
                      <w:r>
                        <w:t xml:space="preserve"> the</w:t>
                      </w:r>
                      <w:r w:rsidRPr="000504B7">
                        <w:t xml:space="preserve"> </w:t>
                      </w:r>
                      <w:r>
                        <w:t>South</w:t>
                      </w:r>
                      <w:r w:rsidRPr="000504B7">
                        <w:t xml:space="preserve"> </w:t>
                      </w:r>
                      <w:r>
                        <w:t>Traffic C</w:t>
                      </w:r>
                      <w:r w:rsidRPr="000504B7">
                        <w:t>ourt</w:t>
                      </w:r>
                      <w:r>
                        <w:t>s</w:t>
                      </w:r>
                      <w:r w:rsidRPr="000504B7">
                        <w:t xml:space="preserve"> between January 2017 and December 2018. Bar height represents 100% of attendee households in a family size category. This data was generated from a sample size of </w:t>
                      </w:r>
                      <w:r>
                        <w:t>546</w:t>
                      </w:r>
                      <w:r w:rsidRPr="000504B7">
                        <w:t xml:space="preserve">. </w:t>
                      </w:r>
                    </w:p>
                  </w:txbxContent>
                </v:textbox>
                <w10:wrap type="tight" anchorx="margin" anchory="page"/>
              </v:shape>
            </w:pict>
          </mc:Fallback>
        </mc:AlternateContent>
      </w:r>
      <w:r>
        <w:rPr>
          <w:noProof/>
          <w:lang w:val="en-US"/>
        </w:rPr>
        <w:drawing>
          <wp:anchor distT="0" distB="0" distL="114300" distR="114300" simplePos="0" relativeHeight="255176192" behindDoc="1" locked="0" layoutInCell="1" allowOverlap="1" wp14:anchorId="0996C47B" wp14:editId="1E239AC7">
            <wp:simplePos x="0" y="0"/>
            <wp:positionH relativeFrom="column">
              <wp:posOffset>-5938</wp:posOffset>
            </wp:positionH>
            <wp:positionV relativeFrom="page">
              <wp:posOffset>708313</wp:posOffset>
            </wp:positionV>
            <wp:extent cx="6858000" cy="4137660"/>
            <wp:effectExtent l="0" t="0" r="0" b="0"/>
            <wp:wrapTight wrapText="bothSides">
              <wp:wrapPolygon edited="0">
                <wp:start x="0" y="0"/>
                <wp:lineTo x="0" y="21481"/>
                <wp:lineTo x="21540" y="21481"/>
                <wp:lineTo x="21540" y="0"/>
                <wp:lineTo x="0" y="0"/>
              </wp:wrapPolygon>
            </wp:wrapTight>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6858000" cy="4137660"/>
                    </a:xfrm>
                    <a:prstGeom prst="rect">
                      <a:avLst/>
                    </a:prstGeom>
                  </pic:spPr>
                </pic:pic>
              </a:graphicData>
            </a:graphic>
          </wp:anchor>
        </w:drawing>
      </w:r>
      <w:r w:rsidR="00183A6F" w:rsidRPr="00813EF4">
        <w:t xml:space="preserve">It was observed that the majority of attendees (41.25%) indicated that they were part of an immediate family unit of two (Figure </w:t>
      </w:r>
      <w:r w:rsidR="000C6DAD">
        <w:t>72</w:t>
      </w:r>
      <w:r w:rsidR="00183A6F" w:rsidRPr="00813EF4">
        <w:t xml:space="preserve">). Beyond families of two, an inverse relationship is observed between family size and attendee count (Figure </w:t>
      </w:r>
      <w:r w:rsidR="000C6DAD">
        <w:t>72</w:t>
      </w:r>
      <w:r w:rsidR="00183A6F" w:rsidRPr="00813EF4">
        <w:t xml:space="preserve">). Visually, it is challenging to speak to relationships that exist between family size and annual income between minority status groups, though notable </w:t>
      </w:r>
      <w:r w:rsidR="000C6DAD">
        <w:t xml:space="preserve">that </w:t>
      </w:r>
      <w:r w:rsidR="00183A6F" w:rsidRPr="00813EF4">
        <w:t xml:space="preserve">no one in the Indigenous or newcomer minority groups reported an income in excess of $55,000 (Figure </w:t>
      </w:r>
      <w:r w:rsidR="000C6DAD">
        <w:t>73, Table 28</w:t>
      </w:r>
      <w:r w:rsidR="00183A6F" w:rsidRPr="00813EF4">
        <w:t xml:space="preserve">). </w:t>
      </w:r>
      <w:r w:rsidR="00510C6F" w:rsidRPr="00813EF4">
        <w:t>While</w:t>
      </w:r>
      <w:r w:rsidR="00B3670A" w:rsidRPr="00813EF4">
        <w:t xml:space="preserve"> it is not possible to calculate odds ratios for families with minority status’ annual household income, relative to those without minority status owing to limited data availability, additional data collection may present the opportunity to better elucidate any potential relationships.</w:t>
      </w:r>
    </w:p>
    <w:p w14:paraId="61DAF422" w14:textId="14619999" w:rsidR="00BC58CC" w:rsidRDefault="00BC58CC" w:rsidP="00CE0601">
      <w:pPr>
        <w:autoSpaceDE w:val="0"/>
        <w:autoSpaceDN w:val="0"/>
        <w:adjustRightInd w:val="0"/>
        <w:spacing w:after="0" w:line="240" w:lineRule="auto"/>
        <w:rPr>
          <w:rFonts w:ascii="Times New Roman" w:hAnsi="Times New Roman" w:cs="Times New Roman"/>
          <w:sz w:val="24"/>
          <w:szCs w:val="24"/>
        </w:rPr>
      </w:pPr>
    </w:p>
    <w:p w14:paraId="02BEC74F" w14:textId="5630A140" w:rsidR="006F244F" w:rsidRDefault="006F244F">
      <w:pPr>
        <w:rPr>
          <w:rFonts w:ascii="Times New Roman" w:hAnsi="Times New Roman" w:cs="Times New Roman"/>
          <w:sz w:val="24"/>
          <w:szCs w:val="24"/>
        </w:rPr>
      </w:pPr>
      <w:r>
        <w:rPr>
          <w:rFonts w:ascii="Times New Roman" w:hAnsi="Times New Roman" w:cs="Times New Roman"/>
          <w:sz w:val="24"/>
          <w:szCs w:val="24"/>
        </w:rPr>
        <w:br w:type="page"/>
      </w:r>
    </w:p>
    <w:p w14:paraId="112EF106" w14:textId="48823B94" w:rsidR="006F244F" w:rsidRDefault="0089254A" w:rsidP="00B749BC">
      <w:pPr>
        <w:autoSpaceDE w:val="0"/>
        <w:autoSpaceDN w:val="0"/>
        <w:adjustRightInd w:val="0"/>
        <w:spacing w:after="0" w:line="240" w:lineRule="auto"/>
        <w:rPr>
          <w:rFonts w:ascii="Times New Roman" w:hAnsi="Times New Roman" w:cs="Times New Roman"/>
          <w:sz w:val="24"/>
          <w:szCs w:val="24"/>
        </w:rPr>
      </w:pPr>
      <w:r>
        <w:rPr>
          <w:noProof/>
          <w:lang w:val="en-US"/>
        </w:rPr>
        <w:lastRenderedPageBreak/>
        <w:drawing>
          <wp:anchor distT="0" distB="0" distL="114300" distR="114300" simplePos="0" relativeHeight="256473600" behindDoc="1" locked="0" layoutInCell="1" allowOverlap="1" wp14:anchorId="4D48D438" wp14:editId="0E609D9D">
            <wp:simplePos x="0" y="0"/>
            <wp:positionH relativeFrom="column">
              <wp:posOffset>5715</wp:posOffset>
            </wp:positionH>
            <wp:positionV relativeFrom="page">
              <wp:posOffset>1186559</wp:posOffset>
            </wp:positionV>
            <wp:extent cx="6704330" cy="6324600"/>
            <wp:effectExtent l="0" t="0" r="1270" b="0"/>
            <wp:wrapTight wrapText="bothSides">
              <wp:wrapPolygon edited="0">
                <wp:start x="0" y="0"/>
                <wp:lineTo x="0" y="21535"/>
                <wp:lineTo x="21543" y="21535"/>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6704330" cy="6324600"/>
                    </a:xfrm>
                    <a:prstGeom prst="rect">
                      <a:avLst/>
                    </a:prstGeom>
                  </pic:spPr>
                </pic:pic>
              </a:graphicData>
            </a:graphic>
          </wp:anchor>
        </w:drawing>
      </w:r>
      <w:r w:rsidR="006F244F" w:rsidRPr="00813EF4">
        <w:rPr>
          <w:noProof/>
          <w:lang w:val="en-US"/>
        </w:rPr>
        <mc:AlternateContent>
          <mc:Choice Requires="wps">
            <w:drawing>
              <wp:anchor distT="45720" distB="45720" distL="114300" distR="114300" simplePos="0" relativeHeight="255135232" behindDoc="0" locked="0" layoutInCell="1" allowOverlap="1" wp14:anchorId="59A5A014" wp14:editId="1AD46190">
                <wp:simplePos x="0" y="0"/>
                <wp:positionH relativeFrom="margin">
                  <wp:posOffset>-41910</wp:posOffset>
                </wp:positionH>
                <wp:positionV relativeFrom="paragraph">
                  <wp:posOffset>102235</wp:posOffset>
                </wp:positionV>
                <wp:extent cx="6896100" cy="391795"/>
                <wp:effectExtent l="0" t="0" r="0" b="8255"/>
                <wp:wrapSquare wrapText="bothSides"/>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391795"/>
                        </a:xfrm>
                        <a:prstGeom prst="rect">
                          <a:avLst/>
                        </a:prstGeom>
                        <a:solidFill>
                          <a:srgbClr val="FFFFFF"/>
                        </a:solidFill>
                        <a:ln w="9525">
                          <a:noFill/>
                          <a:miter lim="800000"/>
                          <a:headEnd/>
                          <a:tailEnd/>
                        </a:ln>
                      </wps:spPr>
                      <wps:txbx>
                        <w:txbxContent>
                          <w:p w14:paraId="7A49B79A" w14:textId="1CE775C8" w:rsidR="00A56EB4" w:rsidRDefault="00A56EB4" w:rsidP="00833750">
                            <w:pPr>
                              <w:pStyle w:val="Caption"/>
                            </w:pPr>
                            <w:r>
                              <w:t xml:space="preserve">Table 28. </w:t>
                            </w:r>
                            <w:r w:rsidRPr="00735513">
                              <w:t>Number of attendee households in various income categories, stratified by family size and minority status, at</w:t>
                            </w:r>
                            <w:r>
                              <w:t xml:space="preserve"> the</w:t>
                            </w:r>
                            <w:r w:rsidRPr="00735513">
                              <w:t xml:space="preserve"> </w:t>
                            </w:r>
                            <w:r>
                              <w:t>South Traffic Courts</w:t>
                            </w:r>
                            <w:r w:rsidRPr="00735513">
                              <w:t xml:space="preserve"> between January 2017 and December 2018.</w:t>
                            </w:r>
                            <w:r w:rsidRPr="00813EF4">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A014" id="_x0000_s1143" type="#_x0000_t202" style="position:absolute;margin-left:-3.3pt;margin-top:8.05pt;width:543pt;height:30.85pt;z-index:25513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" stroked="f">
                <v:textbox>
                  <w:txbxContent>
                    <w:p w14:paraId="7A49B79A" w14:textId="1CE775C8" w:rsidR="00A56EB4" w:rsidRDefault="00A56EB4" w:rsidP="00833750">
                      <w:pPr>
                        <w:pStyle w:val="Caption"/>
                      </w:pPr>
                      <w:r>
                        <w:t xml:space="preserve">Table 28. </w:t>
                      </w:r>
                      <w:r w:rsidRPr="00735513">
                        <w:t>Number of attendee households in various income categories, stratified by family size and minority status, at</w:t>
                      </w:r>
                      <w:r>
                        <w:t xml:space="preserve"> the</w:t>
                      </w:r>
                      <w:r w:rsidRPr="00735513">
                        <w:t xml:space="preserve"> </w:t>
                      </w:r>
                      <w:r>
                        <w:t>South Traffic Courts</w:t>
                      </w:r>
                      <w:r w:rsidRPr="00735513">
                        <w:t xml:space="preserve"> between January 2017 and December 2018.</w:t>
                      </w:r>
                      <w:r w:rsidRPr="00813EF4">
                        <w:rPr>
                          <w:noProof/>
                        </w:rPr>
                        <w:t xml:space="preserve"> </w:t>
                      </w:r>
                    </w:p>
                  </w:txbxContent>
                </v:textbox>
                <w10:wrap type="square" anchorx="margin"/>
              </v:shape>
            </w:pict>
          </mc:Fallback>
        </mc:AlternateContent>
      </w:r>
    </w:p>
    <w:p w14:paraId="00463E34" w14:textId="679315AA" w:rsidR="00B749BC" w:rsidRDefault="00B749BC" w:rsidP="00B749BC">
      <w:pPr>
        <w:autoSpaceDE w:val="0"/>
        <w:autoSpaceDN w:val="0"/>
        <w:adjustRightInd w:val="0"/>
        <w:spacing w:after="0" w:line="240" w:lineRule="auto"/>
        <w:rPr>
          <w:rFonts w:ascii="Times New Roman" w:hAnsi="Times New Roman" w:cs="Times New Roman"/>
          <w:sz w:val="24"/>
          <w:szCs w:val="24"/>
        </w:rPr>
      </w:pPr>
    </w:p>
    <w:p w14:paraId="21CCF5D5" w14:textId="70F029D8" w:rsidR="00B749BC" w:rsidRDefault="00B749BC" w:rsidP="00B749BC">
      <w:pPr>
        <w:autoSpaceDE w:val="0"/>
        <w:autoSpaceDN w:val="0"/>
        <w:adjustRightInd w:val="0"/>
        <w:spacing w:after="0" w:line="240" w:lineRule="auto"/>
        <w:rPr>
          <w:rFonts w:ascii="Times New Roman" w:hAnsi="Times New Roman" w:cs="Times New Roman"/>
          <w:sz w:val="24"/>
          <w:szCs w:val="24"/>
        </w:rPr>
      </w:pPr>
    </w:p>
    <w:p w14:paraId="4EFFB4E9" w14:textId="2710725B" w:rsidR="00B749BC" w:rsidRDefault="00B749BC" w:rsidP="00B749BC">
      <w:pPr>
        <w:autoSpaceDE w:val="0"/>
        <w:autoSpaceDN w:val="0"/>
        <w:adjustRightInd w:val="0"/>
        <w:spacing w:after="0" w:line="400" w:lineRule="atLeast"/>
        <w:rPr>
          <w:rFonts w:ascii="Times New Roman" w:hAnsi="Times New Roman" w:cs="Times New Roman"/>
          <w:sz w:val="24"/>
          <w:szCs w:val="24"/>
        </w:rPr>
      </w:pPr>
    </w:p>
    <w:p w14:paraId="180C3C8E" w14:textId="6A42A20B" w:rsidR="00BC58CC" w:rsidRDefault="00BC58CC" w:rsidP="00BC58CC">
      <w:pPr>
        <w:autoSpaceDE w:val="0"/>
        <w:autoSpaceDN w:val="0"/>
        <w:adjustRightInd w:val="0"/>
        <w:spacing w:after="0" w:line="240" w:lineRule="auto"/>
        <w:rPr>
          <w:rFonts w:ascii="Times New Roman" w:hAnsi="Times New Roman" w:cs="Times New Roman"/>
          <w:sz w:val="24"/>
          <w:szCs w:val="24"/>
        </w:rPr>
      </w:pPr>
    </w:p>
    <w:p w14:paraId="287BD18E" w14:textId="62BC57DB" w:rsidR="00BC58CC" w:rsidRDefault="00BC58CC" w:rsidP="00BC58CC">
      <w:pPr>
        <w:autoSpaceDE w:val="0"/>
        <w:autoSpaceDN w:val="0"/>
        <w:adjustRightInd w:val="0"/>
        <w:spacing w:after="0" w:line="240" w:lineRule="auto"/>
        <w:rPr>
          <w:rFonts w:ascii="Times New Roman" w:hAnsi="Times New Roman" w:cs="Times New Roman"/>
          <w:sz w:val="24"/>
          <w:szCs w:val="24"/>
        </w:rPr>
      </w:pPr>
    </w:p>
    <w:p w14:paraId="3122F061" w14:textId="66428303" w:rsidR="00BC58CC" w:rsidRDefault="00BC58CC" w:rsidP="00BC58CC">
      <w:pPr>
        <w:autoSpaceDE w:val="0"/>
        <w:autoSpaceDN w:val="0"/>
        <w:adjustRightInd w:val="0"/>
        <w:spacing w:after="0" w:line="400" w:lineRule="atLeast"/>
        <w:rPr>
          <w:rFonts w:ascii="Times New Roman" w:hAnsi="Times New Roman" w:cs="Times New Roman"/>
          <w:sz w:val="24"/>
          <w:szCs w:val="24"/>
        </w:rPr>
      </w:pPr>
    </w:p>
    <w:p w14:paraId="43CDD7E4" w14:textId="59B6178F" w:rsidR="00C065AB" w:rsidRDefault="00C065AB" w:rsidP="00BC58CC">
      <w:pPr>
        <w:autoSpaceDE w:val="0"/>
        <w:autoSpaceDN w:val="0"/>
        <w:adjustRightInd w:val="0"/>
        <w:spacing w:after="0" w:line="240" w:lineRule="auto"/>
      </w:pPr>
    </w:p>
    <w:p w14:paraId="11544A01" w14:textId="61AE168E" w:rsidR="00C065AB" w:rsidRDefault="00C065AB" w:rsidP="00BC58CC">
      <w:pPr>
        <w:autoSpaceDE w:val="0"/>
        <w:autoSpaceDN w:val="0"/>
        <w:adjustRightInd w:val="0"/>
        <w:spacing w:after="0" w:line="240" w:lineRule="auto"/>
      </w:pPr>
    </w:p>
    <w:p w14:paraId="665910AF" w14:textId="567BC254" w:rsidR="00C065AB" w:rsidRDefault="00C065AB" w:rsidP="00BC58CC">
      <w:pPr>
        <w:autoSpaceDE w:val="0"/>
        <w:autoSpaceDN w:val="0"/>
        <w:adjustRightInd w:val="0"/>
        <w:spacing w:after="0" w:line="240" w:lineRule="auto"/>
      </w:pPr>
    </w:p>
    <w:p w14:paraId="55D1FDA8" w14:textId="3D4458E9" w:rsidR="00C065AB" w:rsidRDefault="00C065AB" w:rsidP="00BC58CC">
      <w:pPr>
        <w:autoSpaceDE w:val="0"/>
        <w:autoSpaceDN w:val="0"/>
        <w:adjustRightInd w:val="0"/>
        <w:spacing w:after="0" w:line="240" w:lineRule="auto"/>
      </w:pPr>
    </w:p>
    <w:p w14:paraId="0213A543" w14:textId="2D74BFD8" w:rsidR="006F244F" w:rsidRDefault="006F244F" w:rsidP="00BC58CC">
      <w:pPr>
        <w:autoSpaceDE w:val="0"/>
        <w:autoSpaceDN w:val="0"/>
        <w:adjustRightInd w:val="0"/>
        <w:spacing w:after="0" w:line="240" w:lineRule="auto"/>
      </w:pPr>
    </w:p>
    <w:p w14:paraId="78E66F9F" w14:textId="77AB59A6" w:rsidR="00BC58CC" w:rsidRPr="006555FF" w:rsidRDefault="00F13F38" w:rsidP="00BC58CC">
      <w:pPr>
        <w:autoSpaceDE w:val="0"/>
        <w:autoSpaceDN w:val="0"/>
        <w:adjustRightInd w:val="0"/>
        <w:spacing w:after="0" w:line="240" w:lineRule="auto"/>
      </w:pPr>
      <w:r>
        <w:rPr>
          <w:rFonts w:ascii="Times New Roman" w:hAnsi="Times New Roman" w:cs="Times New Roman"/>
          <w:noProof/>
          <w:sz w:val="24"/>
          <w:szCs w:val="24"/>
          <w:lang w:val="en-US"/>
        </w:rPr>
        <w:drawing>
          <wp:anchor distT="0" distB="0" distL="114300" distR="114300" simplePos="0" relativeHeight="255238656" behindDoc="1" locked="0" layoutInCell="1" allowOverlap="1" wp14:anchorId="477F78B3" wp14:editId="7D8B4BE6">
            <wp:simplePos x="0" y="0"/>
            <wp:positionH relativeFrom="margin">
              <wp:posOffset>3630295</wp:posOffset>
            </wp:positionH>
            <wp:positionV relativeFrom="page">
              <wp:posOffset>1727835</wp:posOffset>
            </wp:positionV>
            <wp:extent cx="3225800" cy="3021965"/>
            <wp:effectExtent l="0" t="0" r="0" b="6985"/>
            <wp:wrapTight wrapText="bothSides">
              <wp:wrapPolygon edited="0">
                <wp:start x="0" y="0"/>
                <wp:lineTo x="0" y="21514"/>
                <wp:lineTo x="21430" y="21514"/>
                <wp:lineTo x="214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2">
                      <a:extLst>
                        <a:ext uri="{28A0092B-C50C-407E-A947-70E740481C1C}">
                          <a14:useLocalDpi xmlns:a14="http://schemas.microsoft.com/office/drawing/2010/main" val="0"/>
                        </a:ext>
                      </a:extLst>
                    </a:blip>
                    <a:srcRect l="29591" t="13748" r="28898" b="20117"/>
                    <a:stretch/>
                  </pic:blipFill>
                  <pic:spPr bwMode="auto">
                    <a:xfrm>
                      <a:off x="0" y="0"/>
                      <a:ext cx="3225800" cy="3021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EC3">
        <w:t>O</w:t>
      </w:r>
      <w:r w:rsidR="00B95EC3" w:rsidRPr="0058740C">
        <w:t xml:space="preserve">verall, the overwhelming majority of attendees at </w:t>
      </w:r>
      <w:r w:rsidR="0089254A">
        <w:t xml:space="preserve">the </w:t>
      </w:r>
      <w:r w:rsidR="007952BD">
        <w:t>South</w:t>
      </w:r>
      <w:r w:rsidR="00B95EC3" w:rsidRPr="0058740C">
        <w:t xml:space="preserve"> </w:t>
      </w:r>
      <w:r w:rsidR="007952BD">
        <w:t>Traffic Court</w:t>
      </w:r>
      <w:r w:rsidR="0089254A">
        <w:t>s</w:t>
      </w:r>
      <w:r w:rsidR="00B95EC3" w:rsidRPr="0058740C">
        <w:t xml:space="preserve"> (</w:t>
      </w:r>
      <w:r w:rsidR="00B95EC3">
        <w:t>90</w:t>
      </w:r>
      <w:r w:rsidR="00B95EC3" w:rsidRPr="0058740C">
        <w:t xml:space="preserve">%) had one </w:t>
      </w:r>
      <w:r w:rsidR="00620910">
        <w:t>traffic offence</w:t>
      </w:r>
      <w:r w:rsidR="00B95EC3" w:rsidRPr="0058740C">
        <w:t xml:space="preserve"> (Figure </w:t>
      </w:r>
      <w:r w:rsidR="00D249EE">
        <w:t>74</w:t>
      </w:r>
      <w:r w:rsidR="00B95EC3" w:rsidRPr="0058740C">
        <w:t>), an observation that is true of individuals of all minority classifications. ‘Speeding’ represented the most frequent (</w:t>
      </w:r>
      <w:r w:rsidR="00B95EC3">
        <w:t>44.88</w:t>
      </w:r>
      <w:r w:rsidR="00B95EC3" w:rsidRPr="0058740C">
        <w:t xml:space="preserve">%) </w:t>
      </w:r>
      <w:r w:rsidR="00620910">
        <w:t>traffic offence</w:t>
      </w:r>
      <w:r w:rsidR="00B95EC3" w:rsidRPr="0058740C">
        <w:t xml:space="preserve"> overall (Figure </w:t>
      </w:r>
      <w:r w:rsidR="00D249EE">
        <w:t>75</w:t>
      </w:r>
      <w:r w:rsidR="00B95EC3" w:rsidRPr="0058740C">
        <w:t>)</w:t>
      </w:r>
      <w:r w:rsidR="00B95EC3">
        <w:t xml:space="preserve">. Owing to exceedingly small sample sizes, data analysis by minority group was not possible. </w:t>
      </w:r>
    </w:p>
    <w:p w14:paraId="71D9BA12" w14:textId="3DE461DE" w:rsidR="00B31592" w:rsidRDefault="00F13F38" w:rsidP="00B31592">
      <w:pPr>
        <w:autoSpaceDE w:val="0"/>
        <w:autoSpaceDN w:val="0"/>
        <w:adjustRightInd w:val="0"/>
        <w:spacing w:after="0" w:line="240" w:lineRule="auto"/>
        <w:rPr>
          <w:rFonts w:ascii="Times New Roman" w:hAnsi="Times New Roman" w:cs="Times New Roman"/>
          <w:sz w:val="24"/>
          <w:szCs w:val="24"/>
        </w:rPr>
      </w:pPr>
      <w:r w:rsidRPr="00926579">
        <w:rPr>
          <w:noProof/>
          <w:lang w:val="en-US"/>
        </w:rPr>
        <mc:AlternateContent>
          <mc:Choice Requires="wps">
            <w:drawing>
              <wp:anchor distT="0" distB="0" distL="114300" distR="114300" simplePos="0" relativeHeight="252298752" behindDoc="1" locked="0" layoutInCell="1" allowOverlap="1" wp14:anchorId="66929DCE" wp14:editId="155F44C2">
                <wp:simplePos x="0" y="0"/>
                <wp:positionH relativeFrom="margin">
                  <wp:posOffset>8890</wp:posOffset>
                </wp:positionH>
                <wp:positionV relativeFrom="page">
                  <wp:posOffset>1941904</wp:posOffset>
                </wp:positionV>
                <wp:extent cx="3581400" cy="762000"/>
                <wp:effectExtent l="0" t="0" r="0" b="0"/>
                <wp:wrapTight wrapText="bothSides">
                  <wp:wrapPolygon edited="0">
                    <wp:start x="0" y="0"/>
                    <wp:lineTo x="0" y="21060"/>
                    <wp:lineTo x="21485" y="21060"/>
                    <wp:lineTo x="21485" y="0"/>
                    <wp:lineTo x="0" y="0"/>
                  </wp:wrapPolygon>
                </wp:wrapTight>
                <wp:docPr id="537" name="Text Box 537"/>
                <wp:cNvGraphicFramePr/>
                <a:graphic xmlns:a="http://schemas.openxmlformats.org/drawingml/2006/main">
                  <a:graphicData uri="http://schemas.microsoft.com/office/word/2010/wordprocessingShape">
                    <wps:wsp>
                      <wps:cNvSpPr txBox="1"/>
                      <wps:spPr>
                        <a:xfrm>
                          <a:off x="0" y="0"/>
                          <a:ext cx="3581400" cy="762000"/>
                        </a:xfrm>
                        <a:prstGeom prst="rect">
                          <a:avLst/>
                        </a:prstGeom>
                        <a:solidFill>
                          <a:prstClr val="white"/>
                        </a:solidFill>
                        <a:ln>
                          <a:noFill/>
                        </a:ln>
                      </wps:spPr>
                      <wps:txbx>
                        <w:txbxContent>
                          <w:p w14:paraId="0AC85B15" w14:textId="3230B578" w:rsidR="00A56EB4" w:rsidRPr="00701EC7" w:rsidRDefault="00A56EB4" w:rsidP="00762B69">
                            <w:pPr>
                              <w:pStyle w:val="Caption"/>
                              <w:rPr>
                                <w:rFonts w:ascii="Times New Roman" w:hAnsi="Times New Roman" w:cs="Times New Roman"/>
                                <w:noProof/>
                                <w:sz w:val="24"/>
                                <w:szCs w:val="24"/>
                              </w:rPr>
                            </w:pPr>
                            <w:r w:rsidRPr="00B63B81">
                              <w:rPr>
                                <w:b/>
                                <w:bCs/>
                              </w:rPr>
                              <w:t xml:space="preserve">Figure </w:t>
                            </w:r>
                            <w:r>
                              <w:rPr>
                                <w:b/>
                                <w:bCs/>
                              </w:rPr>
                              <w:t>74</w:t>
                            </w:r>
                            <w:r w:rsidRPr="00B63B81">
                              <w:rPr>
                                <w:b/>
                                <w:bCs/>
                              </w:rPr>
                              <w:t>.</w:t>
                            </w:r>
                            <w:r>
                              <w:t xml:space="preserve"> A pie chart of the number of types of charges per individual as observed in the South Traffic Courts between January 2017 and December 2018, from a sample size of 536. Slice size represents the relative proportion of respondents with a given number of charges. </w:t>
                            </w:r>
                          </w:p>
                          <w:p w14:paraId="435AFA76" w14:textId="77777777" w:rsidR="00A56EB4" w:rsidRPr="00572B34" w:rsidRDefault="00A56EB4" w:rsidP="00762B69">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9DCE" id="Text Box 537" o:spid="_x0000_s1144" type="#_x0000_t202" style="position:absolute;margin-left:.7pt;margin-top:152.9pt;width:282pt;height:60pt;z-index:-25101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" stroked="f">
                <v:textbox inset="0,0,0,0">
                  <w:txbxContent>
                    <w:p w14:paraId="0AC85B15" w14:textId="3230B578" w:rsidR="00A56EB4" w:rsidRPr="00701EC7" w:rsidRDefault="00A56EB4" w:rsidP="00762B69">
                      <w:pPr>
                        <w:pStyle w:val="Caption"/>
                        <w:rPr>
                          <w:rFonts w:ascii="Times New Roman" w:hAnsi="Times New Roman" w:cs="Times New Roman"/>
                          <w:noProof/>
                          <w:sz w:val="24"/>
                          <w:szCs w:val="24"/>
                        </w:rPr>
                      </w:pPr>
                      <w:r w:rsidRPr="00B63B81">
                        <w:rPr>
                          <w:b/>
                          <w:bCs/>
                        </w:rPr>
                        <w:t xml:space="preserve">Figure </w:t>
                      </w:r>
                      <w:r>
                        <w:rPr>
                          <w:b/>
                          <w:bCs/>
                        </w:rPr>
                        <w:t>74</w:t>
                      </w:r>
                      <w:r w:rsidRPr="00B63B81">
                        <w:rPr>
                          <w:b/>
                          <w:bCs/>
                        </w:rPr>
                        <w:t>.</w:t>
                      </w:r>
                      <w:r>
                        <w:t xml:space="preserve"> A pie chart of the number of types of charges per individual as observed in the South Traffic Courts between January 2017 and December 2018, from a sample size of 536. Slice size represents the relative proportion of respondents with a given number of charges. </w:t>
                      </w:r>
                    </w:p>
                    <w:p w14:paraId="435AFA76" w14:textId="77777777" w:rsidR="00A56EB4" w:rsidRPr="00572B34" w:rsidRDefault="00A56EB4" w:rsidP="00762B69">
                      <w:pPr>
                        <w:pStyle w:val="Caption"/>
                        <w:rPr>
                          <w:rFonts w:ascii="Times New Roman" w:hAnsi="Times New Roman" w:cs="Times New Roman"/>
                          <w:noProof/>
                          <w:sz w:val="24"/>
                          <w:szCs w:val="24"/>
                        </w:rPr>
                      </w:pPr>
                    </w:p>
                  </w:txbxContent>
                </v:textbox>
                <w10:wrap type="tight" anchorx="margin" anchory="page"/>
              </v:shape>
            </w:pict>
          </mc:Fallback>
        </mc:AlternateContent>
      </w:r>
    </w:p>
    <w:p w14:paraId="572085CF" w14:textId="6D9D2D0F"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2327FD6D" w14:textId="4F14BD56"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2B8761E1" w14:textId="28DCFB5C"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62C99D74" w14:textId="60686F55"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01DF77EC" w14:textId="1092CE15" w:rsidR="00F13F38" w:rsidRDefault="00F13F38" w:rsidP="00526D31">
      <w:pPr>
        <w:autoSpaceDE w:val="0"/>
        <w:autoSpaceDN w:val="0"/>
        <w:adjustRightInd w:val="0"/>
        <w:spacing w:after="0" w:line="240" w:lineRule="auto"/>
        <w:rPr>
          <w:rFonts w:asciiTheme="majorHAnsi" w:hAnsiTheme="majorHAnsi" w:cstheme="majorHAnsi"/>
          <w:sz w:val="24"/>
          <w:szCs w:val="24"/>
        </w:rPr>
      </w:pPr>
      <w:r>
        <w:rPr>
          <w:rFonts w:ascii="Times New Roman" w:hAnsi="Times New Roman" w:cs="Times New Roman"/>
          <w:noProof/>
          <w:sz w:val="24"/>
          <w:szCs w:val="24"/>
          <w:lang w:val="en-US"/>
        </w:rPr>
        <w:drawing>
          <wp:anchor distT="0" distB="0" distL="114300" distR="114300" simplePos="0" relativeHeight="255299072" behindDoc="1" locked="0" layoutInCell="1" allowOverlap="1" wp14:anchorId="6508D58F" wp14:editId="617F93F9">
            <wp:simplePos x="0" y="0"/>
            <wp:positionH relativeFrom="margin">
              <wp:posOffset>11430</wp:posOffset>
            </wp:positionH>
            <wp:positionV relativeFrom="page">
              <wp:posOffset>4760158</wp:posOffset>
            </wp:positionV>
            <wp:extent cx="6819900" cy="4010025"/>
            <wp:effectExtent l="0" t="0" r="0" b="9525"/>
            <wp:wrapTight wrapText="bothSides">
              <wp:wrapPolygon edited="0">
                <wp:start x="0" y="0"/>
                <wp:lineTo x="0" y="21549"/>
                <wp:lineTo x="21540" y="21549"/>
                <wp:lineTo x="21540"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19900"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2357120" behindDoc="1" locked="0" layoutInCell="1" allowOverlap="1" wp14:anchorId="6AC983BE" wp14:editId="436DD206">
                <wp:simplePos x="0" y="0"/>
                <wp:positionH relativeFrom="margin">
                  <wp:posOffset>17590</wp:posOffset>
                </wp:positionH>
                <wp:positionV relativeFrom="page">
                  <wp:posOffset>3823335</wp:posOffset>
                </wp:positionV>
                <wp:extent cx="3619500" cy="866775"/>
                <wp:effectExtent l="0" t="0" r="0" b="9525"/>
                <wp:wrapTight wrapText="bothSides">
                  <wp:wrapPolygon edited="0">
                    <wp:start x="0" y="0"/>
                    <wp:lineTo x="0" y="21363"/>
                    <wp:lineTo x="21486" y="21363"/>
                    <wp:lineTo x="21486" y="0"/>
                    <wp:lineTo x="0" y="0"/>
                  </wp:wrapPolygon>
                </wp:wrapTight>
                <wp:docPr id="538" name="Text Box 538"/>
                <wp:cNvGraphicFramePr/>
                <a:graphic xmlns:a="http://schemas.openxmlformats.org/drawingml/2006/main">
                  <a:graphicData uri="http://schemas.microsoft.com/office/word/2010/wordprocessingShape">
                    <wps:wsp>
                      <wps:cNvSpPr txBox="1"/>
                      <wps:spPr>
                        <a:xfrm>
                          <a:off x="0" y="0"/>
                          <a:ext cx="3619500" cy="866775"/>
                        </a:xfrm>
                        <a:prstGeom prst="rect">
                          <a:avLst/>
                        </a:prstGeom>
                        <a:solidFill>
                          <a:prstClr val="white"/>
                        </a:solidFill>
                        <a:ln>
                          <a:noFill/>
                        </a:ln>
                      </wps:spPr>
                      <wps:txbx>
                        <w:txbxContent>
                          <w:p w14:paraId="56020962" w14:textId="3B5BB841" w:rsidR="00A56EB4" w:rsidRPr="00E04F82" w:rsidRDefault="00A56EB4" w:rsidP="00C55158">
                            <w:pPr>
                              <w:pStyle w:val="Caption"/>
                              <w:rPr>
                                <w:highlight w:val="yellow"/>
                              </w:rPr>
                            </w:pPr>
                            <w:r w:rsidRPr="00B63B81">
                              <w:rPr>
                                <w:b/>
                                <w:bCs/>
                              </w:rPr>
                              <w:t xml:space="preserve">Figure </w:t>
                            </w:r>
                            <w:r>
                              <w:rPr>
                                <w:b/>
                                <w:bCs/>
                              </w:rPr>
                              <w:t>75</w:t>
                            </w:r>
                            <w:r w:rsidRPr="00E04F82">
                              <w:t xml:space="preserve">. A bar graph of </w:t>
                            </w:r>
                            <w:r>
                              <w:t>the frequency of various types of traffic charges,</w:t>
                            </w:r>
                            <w:r w:rsidRPr="00E04F82">
                              <w:t xml:space="preserve"> as observed in </w:t>
                            </w:r>
                            <w:r>
                              <w:t>the South Traffic Courts</w:t>
                            </w:r>
                            <w:r w:rsidRPr="00E04F82">
                              <w:t xml:space="preserve"> between January 2017 and December 201</w:t>
                            </w:r>
                            <w:r>
                              <w:t>8</w:t>
                            </w:r>
                            <w:r w:rsidRPr="00E04F82">
                              <w:t xml:space="preserve">, from a sample size of </w:t>
                            </w:r>
                            <w:r>
                              <w:t>586</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983BE" id="Text Box 538" o:spid="_x0000_s1145" type="#_x0000_t202" style="position:absolute;margin-left:1.4pt;margin-top:301.05pt;width:285pt;height:68.25pt;z-index:-250959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" stroked="f">
                <v:textbox inset="0,0,0,0">
                  <w:txbxContent>
                    <w:p w14:paraId="56020962" w14:textId="3B5BB841" w:rsidR="00A56EB4" w:rsidRPr="00E04F82" w:rsidRDefault="00A56EB4" w:rsidP="00C55158">
                      <w:pPr>
                        <w:pStyle w:val="Caption"/>
                        <w:rPr>
                          <w:highlight w:val="yellow"/>
                        </w:rPr>
                      </w:pPr>
                      <w:r w:rsidRPr="00B63B81">
                        <w:rPr>
                          <w:b/>
                          <w:bCs/>
                        </w:rPr>
                        <w:t xml:space="preserve">Figure </w:t>
                      </w:r>
                      <w:r>
                        <w:rPr>
                          <w:b/>
                          <w:bCs/>
                        </w:rPr>
                        <w:t>75</w:t>
                      </w:r>
                      <w:r w:rsidRPr="00E04F82">
                        <w:t xml:space="preserve">. A bar graph of </w:t>
                      </w:r>
                      <w:r>
                        <w:t>the frequency of various types of traffic charges,</w:t>
                      </w:r>
                      <w:r w:rsidRPr="00E04F82">
                        <w:t xml:space="preserve"> as observed in </w:t>
                      </w:r>
                      <w:r>
                        <w:t>the South Traffic Courts</w:t>
                      </w:r>
                      <w:r w:rsidRPr="00E04F82">
                        <w:t xml:space="preserve"> between January 2017 and December 201</w:t>
                      </w:r>
                      <w:r>
                        <w:t>8</w:t>
                      </w:r>
                      <w:r w:rsidRPr="00E04F82">
                        <w:t xml:space="preserve">, from a sample size of </w:t>
                      </w:r>
                      <w:r>
                        <w:t>586</w:t>
                      </w:r>
                      <w:r w:rsidRPr="00E04F82">
                        <w:t xml:space="preserve">. Bar height corresponds to the number of respondents </w:t>
                      </w:r>
                      <w:r>
                        <w:t>with a given charge</w:t>
                      </w:r>
                      <w:r w:rsidRPr="00E04F82">
                        <w:t xml:space="preserve"> (y-axis), with relative proportions of </w:t>
                      </w:r>
                      <w:r>
                        <w:t>charge type</w:t>
                      </w:r>
                      <w:r w:rsidRPr="00E04F82">
                        <w:t xml:space="preserve"> categories indicated within the bar.</w:t>
                      </w:r>
                    </w:p>
                  </w:txbxContent>
                </v:textbox>
                <w10:wrap type="tight" anchorx="margin" anchory="page"/>
              </v:shape>
            </w:pict>
          </mc:Fallback>
        </mc:AlternateContent>
      </w:r>
    </w:p>
    <w:p w14:paraId="5C436F90" w14:textId="7CDC615A"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20ECE2E4" w14:textId="0362B402"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4BA291BB" w14:textId="3097EBF6"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2175121A" w14:textId="367100E1"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0C57D73B" w14:textId="77777777" w:rsidR="00F13F38" w:rsidRDefault="00F13F38" w:rsidP="00526D31">
      <w:pPr>
        <w:autoSpaceDE w:val="0"/>
        <w:autoSpaceDN w:val="0"/>
        <w:adjustRightInd w:val="0"/>
        <w:spacing w:after="0" w:line="240" w:lineRule="auto"/>
        <w:rPr>
          <w:rFonts w:asciiTheme="majorHAnsi" w:hAnsiTheme="majorHAnsi" w:cstheme="majorHAnsi"/>
          <w:sz w:val="24"/>
          <w:szCs w:val="24"/>
        </w:rPr>
      </w:pPr>
    </w:p>
    <w:p w14:paraId="11F1F6E3" w14:textId="0F2B771A" w:rsidR="00F00E70" w:rsidRPr="00B4590D" w:rsidRDefault="00F00E70" w:rsidP="00526D31">
      <w:pPr>
        <w:autoSpaceDE w:val="0"/>
        <w:autoSpaceDN w:val="0"/>
        <w:adjustRightInd w:val="0"/>
        <w:spacing w:after="0" w:line="240" w:lineRule="auto"/>
      </w:pPr>
      <w:r w:rsidRPr="00F64463">
        <w:rPr>
          <w:rFonts w:asciiTheme="majorHAnsi" w:hAnsiTheme="majorHAnsi" w:cstheme="majorHAnsi"/>
          <w:sz w:val="24"/>
          <w:szCs w:val="24"/>
        </w:rPr>
        <w:t>I</w:t>
      </w:r>
      <w:r w:rsidRPr="00D766D4">
        <w:t xml:space="preserve">t was observed that the overwhelming majority of attendees (96.10%) of </w:t>
      </w:r>
      <w:r w:rsidR="00F13F38">
        <w:t xml:space="preserve">the </w:t>
      </w:r>
      <w:r w:rsidR="007952BD">
        <w:t>South</w:t>
      </w:r>
      <w:r w:rsidRPr="00D766D4">
        <w:t xml:space="preserve"> </w:t>
      </w:r>
      <w:r w:rsidR="007952BD">
        <w:t>Traffic Court</w:t>
      </w:r>
      <w:r w:rsidR="00F13F38">
        <w:t>s</w:t>
      </w:r>
      <w:r w:rsidRPr="00D766D4">
        <w:t xml:space="preserve">, for which data was available, reported having no legal representation at court (Table </w:t>
      </w:r>
      <w:r w:rsidR="00526D31" w:rsidRPr="00D766D4">
        <w:t>29</w:t>
      </w:r>
      <w:r w:rsidRPr="00D766D4">
        <w:t xml:space="preserve">). Most (62.15%) of the attendees received services through the organization of a duration of 0-4 minutes, with an inverse relationship apparent between increasing service length and attendee count (Table </w:t>
      </w:r>
      <w:r w:rsidR="00526D31" w:rsidRPr="00D766D4">
        <w:t>30</w:t>
      </w:r>
      <w:r w:rsidRPr="00D766D4">
        <w:t xml:space="preserve">). </w:t>
      </w:r>
      <w:r w:rsidR="003F602C">
        <w:t xml:space="preserve">Only </w:t>
      </w:r>
      <w:r w:rsidR="00B91B6B">
        <w:t>2.50</w:t>
      </w:r>
      <w:r w:rsidR="003F602C">
        <w:t>% of defendants required support exceeding 15 minutes (Table 30).</w:t>
      </w:r>
    </w:p>
    <w:p w14:paraId="571DB5E1" w14:textId="48677CD2" w:rsidR="00CB2D96" w:rsidRDefault="004F64F8">
      <w:pPr>
        <w:rPr>
          <w:rFonts w:asciiTheme="majorHAnsi" w:hAnsiTheme="majorHAnsi" w:cstheme="majorHAnsi"/>
          <w:b/>
          <w:bCs/>
        </w:rPr>
      </w:pPr>
      <w:r>
        <w:rPr>
          <w:noProof/>
          <w:lang w:val="en-US"/>
        </w:rPr>
        <mc:AlternateContent>
          <mc:Choice Requires="wps">
            <w:drawing>
              <wp:anchor distT="0" distB="0" distL="114300" distR="114300" simplePos="0" relativeHeight="256484864" behindDoc="1" locked="0" layoutInCell="1" allowOverlap="1" wp14:anchorId="12E41FA0" wp14:editId="59E7B575">
                <wp:simplePos x="0" y="0"/>
                <wp:positionH relativeFrom="margin">
                  <wp:posOffset>635</wp:posOffset>
                </wp:positionH>
                <wp:positionV relativeFrom="margin">
                  <wp:posOffset>3448058</wp:posOffset>
                </wp:positionV>
                <wp:extent cx="3302000" cy="419100"/>
                <wp:effectExtent l="0" t="0" r="0" b="0"/>
                <wp:wrapTight wrapText="bothSides">
                  <wp:wrapPolygon edited="0">
                    <wp:start x="0" y="0"/>
                    <wp:lineTo x="0" y="20618"/>
                    <wp:lineTo x="21434" y="20618"/>
                    <wp:lineTo x="21434" y="0"/>
                    <wp:lineTo x="0" y="0"/>
                  </wp:wrapPolygon>
                </wp:wrapTight>
                <wp:docPr id="133" name="Text Box 133"/>
                <wp:cNvGraphicFramePr/>
                <a:graphic xmlns:a="http://schemas.openxmlformats.org/drawingml/2006/main">
                  <a:graphicData uri="http://schemas.microsoft.com/office/word/2010/wordprocessingShape">
                    <wps:wsp>
                      <wps:cNvSpPr txBox="1"/>
                      <wps:spPr>
                        <a:xfrm>
                          <a:off x="0" y="0"/>
                          <a:ext cx="3302000" cy="419100"/>
                        </a:xfrm>
                        <a:prstGeom prst="rect">
                          <a:avLst/>
                        </a:prstGeom>
                        <a:solidFill>
                          <a:prstClr val="white"/>
                        </a:solidFill>
                        <a:ln>
                          <a:noFill/>
                        </a:ln>
                      </wps:spPr>
                      <wps:txbx>
                        <w:txbxContent>
                          <w:p w14:paraId="32C27387" w14:textId="77777777" w:rsidR="00A56EB4" w:rsidRPr="0063408E" w:rsidRDefault="00A56EB4" w:rsidP="004F64F8">
                            <w:pPr>
                              <w:pStyle w:val="Caption"/>
                            </w:pPr>
                            <w:r>
                              <w:rPr>
                                <w:b/>
                                <w:bCs/>
                              </w:rPr>
                              <w:t>Table 30</w:t>
                            </w:r>
                            <w:r w:rsidRPr="00B63B81">
                              <w:rPr>
                                <w:b/>
                                <w:bCs/>
                              </w:rPr>
                              <w:t>.</w:t>
                            </w:r>
                            <w:r>
                              <w:t xml:space="preserve"> Frequency and proportion of service length for South traffic court attendees,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1FA0" id="Text Box 133" o:spid="_x0000_s1146" type="#_x0000_t202" style="position:absolute;margin-left:.05pt;margin-top:271.5pt;width:260pt;height:33pt;z-index:-2468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" stroked="f">
                <v:textbox inset="0,0,0,0">
                  <w:txbxContent>
                    <w:p w14:paraId="32C27387" w14:textId="77777777" w:rsidR="00A56EB4" w:rsidRPr="0063408E" w:rsidRDefault="00A56EB4" w:rsidP="004F64F8">
                      <w:pPr>
                        <w:pStyle w:val="Caption"/>
                      </w:pPr>
                      <w:r>
                        <w:rPr>
                          <w:b/>
                          <w:bCs/>
                        </w:rPr>
                        <w:t>Table 30</w:t>
                      </w:r>
                      <w:r w:rsidRPr="00B63B81">
                        <w:rPr>
                          <w:b/>
                          <w:bCs/>
                        </w:rPr>
                        <w:t>.</w:t>
                      </w:r>
                      <w:r>
                        <w:t xml:space="preserve"> Frequency and proportion of service length for South traffic court attendees, between January 2017 and December 2018</w:t>
                      </w:r>
                    </w:p>
                  </w:txbxContent>
                </v:textbox>
                <w10:wrap type="tight" anchorx="margin" anchory="margin"/>
              </v:shape>
            </w:pict>
          </mc:Fallback>
        </mc:AlternateContent>
      </w:r>
      <w:r>
        <w:rPr>
          <w:noProof/>
          <w:lang w:val="en-US"/>
        </w:rPr>
        <w:drawing>
          <wp:anchor distT="0" distB="0" distL="114300" distR="114300" simplePos="0" relativeHeight="255431168" behindDoc="1" locked="0" layoutInCell="1" allowOverlap="1" wp14:anchorId="0CFCB58A" wp14:editId="649FF9A2">
            <wp:simplePos x="0" y="0"/>
            <wp:positionH relativeFrom="margin">
              <wp:posOffset>7620</wp:posOffset>
            </wp:positionH>
            <wp:positionV relativeFrom="margin">
              <wp:posOffset>3827029</wp:posOffset>
            </wp:positionV>
            <wp:extent cx="3324225" cy="1733550"/>
            <wp:effectExtent l="0" t="0" r="9525" b="0"/>
            <wp:wrapTight wrapText="bothSides">
              <wp:wrapPolygon edited="0">
                <wp:start x="0" y="0"/>
                <wp:lineTo x="0" y="21363"/>
                <wp:lineTo x="21538" y="21363"/>
                <wp:lineTo x="21538"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324225" cy="1733550"/>
                    </a:xfrm>
                    <a:prstGeom prst="rect">
                      <a:avLst/>
                    </a:prstGeom>
                  </pic:spPr>
                </pic:pic>
              </a:graphicData>
            </a:graphic>
          </wp:anchor>
        </w:drawing>
      </w:r>
      <w:r w:rsidR="00F13F38">
        <w:rPr>
          <w:noProof/>
          <w:lang w:val="en-US"/>
        </w:rPr>
        <w:drawing>
          <wp:anchor distT="0" distB="0" distL="114300" distR="114300" simplePos="0" relativeHeight="255365632" behindDoc="1" locked="0" layoutInCell="1" allowOverlap="1" wp14:anchorId="58897121" wp14:editId="63B52091">
            <wp:simplePos x="0" y="0"/>
            <wp:positionH relativeFrom="margin">
              <wp:posOffset>10911</wp:posOffset>
            </wp:positionH>
            <wp:positionV relativeFrom="page">
              <wp:posOffset>2157730</wp:posOffset>
            </wp:positionV>
            <wp:extent cx="3295650" cy="1685925"/>
            <wp:effectExtent l="0" t="0" r="0" b="9525"/>
            <wp:wrapTight wrapText="bothSides">
              <wp:wrapPolygon edited="0">
                <wp:start x="0" y="0"/>
                <wp:lineTo x="0" y="21478"/>
                <wp:lineTo x="21475" y="21478"/>
                <wp:lineTo x="21475"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3295650" cy="1685925"/>
                    </a:xfrm>
                    <a:prstGeom prst="rect">
                      <a:avLst/>
                    </a:prstGeom>
                  </pic:spPr>
                </pic:pic>
              </a:graphicData>
            </a:graphic>
          </wp:anchor>
        </w:drawing>
      </w:r>
      <w:r w:rsidR="00F13F38">
        <w:rPr>
          <w:noProof/>
          <w:lang w:val="en-US"/>
        </w:rPr>
        <mc:AlternateContent>
          <mc:Choice Requires="wps">
            <w:drawing>
              <wp:anchor distT="0" distB="0" distL="114300" distR="114300" simplePos="0" relativeHeight="255544832" behindDoc="1" locked="0" layoutInCell="1" allowOverlap="1" wp14:anchorId="14386ABA" wp14:editId="45F7A5FF">
                <wp:simplePos x="0" y="0"/>
                <wp:positionH relativeFrom="margin">
                  <wp:posOffset>10861</wp:posOffset>
                </wp:positionH>
                <wp:positionV relativeFrom="margin">
                  <wp:posOffset>1095853</wp:posOffset>
                </wp:positionV>
                <wp:extent cx="3505200" cy="419100"/>
                <wp:effectExtent l="0" t="0" r="0" b="0"/>
                <wp:wrapTight wrapText="bothSides">
                  <wp:wrapPolygon edited="0">
                    <wp:start x="0" y="0"/>
                    <wp:lineTo x="0" y="20618"/>
                    <wp:lineTo x="21483" y="20618"/>
                    <wp:lineTo x="21483" y="0"/>
                    <wp:lineTo x="0" y="0"/>
                  </wp:wrapPolygon>
                </wp:wrapTight>
                <wp:docPr id="553" name="Text Box 553"/>
                <wp:cNvGraphicFramePr/>
                <a:graphic xmlns:a="http://schemas.openxmlformats.org/drawingml/2006/main">
                  <a:graphicData uri="http://schemas.microsoft.com/office/word/2010/wordprocessingShape">
                    <wps:wsp>
                      <wps:cNvSpPr txBox="1"/>
                      <wps:spPr>
                        <a:xfrm>
                          <a:off x="0" y="0"/>
                          <a:ext cx="3505200" cy="419100"/>
                        </a:xfrm>
                        <a:prstGeom prst="rect">
                          <a:avLst/>
                        </a:prstGeom>
                        <a:solidFill>
                          <a:prstClr val="white"/>
                        </a:solidFill>
                        <a:ln>
                          <a:noFill/>
                        </a:ln>
                      </wps:spPr>
                      <wps:txbx>
                        <w:txbxContent>
                          <w:p w14:paraId="7119BF5D" w14:textId="771BC748" w:rsidR="00A56EB4" w:rsidRPr="0063408E" w:rsidRDefault="00A56EB4" w:rsidP="00470591">
                            <w:pPr>
                              <w:pStyle w:val="Caption"/>
                            </w:pPr>
                            <w:r>
                              <w:rPr>
                                <w:b/>
                                <w:bCs/>
                              </w:rPr>
                              <w:t>Table 29</w:t>
                            </w:r>
                            <w:r w:rsidRPr="00B63B81">
                              <w:rPr>
                                <w:b/>
                                <w:bCs/>
                              </w:rPr>
                              <w:t>.</w:t>
                            </w:r>
                            <w:r>
                              <w:t xml:space="preserve"> Frequency and proportion of South Traffic Court attendees with legal representation,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6ABA" id="Text Box 553" o:spid="_x0000_s1147" type="#_x0000_t202" style="position:absolute;margin-left:.85pt;margin-top:86.3pt;width:276pt;height:33pt;z-index:-247771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" stroked="f">
                <v:textbox inset="0,0,0,0">
                  <w:txbxContent>
                    <w:p w14:paraId="7119BF5D" w14:textId="771BC748" w:rsidR="00A56EB4" w:rsidRPr="0063408E" w:rsidRDefault="00A56EB4" w:rsidP="00470591">
                      <w:pPr>
                        <w:pStyle w:val="Caption"/>
                      </w:pPr>
                      <w:r>
                        <w:rPr>
                          <w:b/>
                          <w:bCs/>
                        </w:rPr>
                        <w:t>Table 29</w:t>
                      </w:r>
                      <w:r w:rsidRPr="00B63B81">
                        <w:rPr>
                          <w:b/>
                          <w:bCs/>
                        </w:rPr>
                        <w:t>.</w:t>
                      </w:r>
                      <w:r>
                        <w:t xml:space="preserve"> Frequency and proportion of South Traffic Court attendees with legal representation, between January 2017 and December 2018.</w:t>
                      </w:r>
                    </w:p>
                  </w:txbxContent>
                </v:textbox>
                <w10:wrap type="tight" anchorx="margin" anchory="margin"/>
              </v:shape>
            </w:pict>
          </mc:Fallback>
        </mc:AlternateContent>
      </w:r>
      <w:r w:rsidR="00A80FEE">
        <w:rPr>
          <w:rFonts w:asciiTheme="majorHAnsi" w:hAnsiTheme="majorHAnsi" w:cstheme="majorHAnsi"/>
          <w:b/>
          <w:bCs/>
        </w:rPr>
        <w:br w:type="page"/>
      </w:r>
    </w:p>
    <w:p w14:paraId="591D0C0B" w14:textId="58462BC6" w:rsidR="0052533F" w:rsidRDefault="0052533F" w:rsidP="00DE39AC">
      <w:pPr>
        <w:rPr>
          <w:rFonts w:asciiTheme="majorHAnsi" w:hAnsiTheme="majorHAnsi" w:cstheme="majorHAnsi"/>
          <w:b/>
          <w:bCs/>
        </w:rPr>
      </w:pPr>
    </w:p>
    <w:p w14:paraId="70DB7180" w14:textId="71FAD1EB" w:rsidR="0052533F" w:rsidRPr="009E60BB" w:rsidRDefault="00CB2D96" w:rsidP="00CF5FD1">
      <w:pPr>
        <w:pStyle w:val="Heading2"/>
      </w:pPr>
      <w:bookmarkStart w:id="42" w:name="_Toc16262354"/>
      <w:r>
        <w:rPr>
          <w:noProof/>
          <w:lang w:val="en-US"/>
        </w:rPr>
        <mc:AlternateContent>
          <mc:Choice Requires="wps">
            <w:drawing>
              <wp:anchor distT="0" distB="0" distL="114300" distR="114300" simplePos="0" relativeHeight="249340416" behindDoc="1" locked="0" layoutInCell="1" allowOverlap="1" wp14:anchorId="5E12C367" wp14:editId="1AADC899">
                <wp:simplePos x="0" y="0"/>
                <wp:positionH relativeFrom="margin">
                  <wp:posOffset>3807526</wp:posOffset>
                </wp:positionH>
                <wp:positionV relativeFrom="page">
                  <wp:posOffset>4021776</wp:posOffset>
                </wp:positionV>
                <wp:extent cx="2705100" cy="790575"/>
                <wp:effectExtent l="0" t="0" r="0" b="9525"/>
                <wp:wrapTight wrapText="bothSides">
                  <wp:wrapPolygon edited="0">
                    <wp:start x="0" y="0"/>
                    <wp:lineTo x="0" y="21340"/>
                    <wp:lineTo x="21448" y="21340"/>
                    <wp:lineTo x="21448" y="0"/>
                    <wp:lineTo x="0" y="0"/>
                  </wp:wrapPolygon>
                </wp:wrapTight>
                <wp:docPr id="494" name="Text Box 494"/>
                <wp:cNvGraphicFramePr/>
                <a:graphic xmlns:a="http://schemas.openxmlformats.org/drawingml/2006/main">
                  <a:graphicData uri="http://schemas.microsoft.com/office/word/2010/wordprocessingShape">
                    <wps:wsp>
                      <wps:cNvSpPr txBox="1"/>
                      <wps:spPr>
                        <a:xfrm>
                          <a:off x="0" y="0"/>
                          <a:ext cx="2705100" cy="790575"/>
                        </a:xfrm>
                        <a:prstGeom prst="rect">
                          <a:avLst/>
                        </a:prstGeom>
                        <a:solidFill>
                          <a:prstClr val="white"/>
                        </a:solidFill>
                        <a:ln>
                          <a:noFill/>
                        </a:ln>
                      </wps:spPr>
                      <wps:txbx>
                        <w:txbxContent>
                          <w:p w14:paraId="004A02EA" w14:textId="1C3CF800"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77</w:t>
                            </w:r>
                            <w:r w:rsidRPr="00B63B81">
                              <w:rPr>
                                <w:b/>
                                <w:bCs/>
                              </w:rPr>
                              <w:t>.</w:t>
                            </w:r>
                            <w:r>
                              <w:t xml:space="preserve"> A pie chart of age distribution as observed in Domestic Court between January 2017 and December 2018, from a sample size of 5778. Slice size represents the relative proportion of respondents within an age category.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C367" id="Text Box 494" o:spid="_x0000_s1148" type="#_x0000_t202" style="position:absolute;left:0;text-align:left;margin-left:299.8pt;margin-top:316.7pt;width:213pt;height:62.25pt;z-index:-25397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" stroked="f">
                <v:textbox inset="0,0,0,0">
                  <w:txbxContent>
                    <w:p w14:paraId="004A02EA" w14:textId="1C3CF800" w:rsidR="00A56EB4" w:rsidRPr="00701EC7" w:rsidRDefault="00A56EB4" w:rsidP="00F2233B">
                      <w:pPr>
                        <w:pStyle w:val="Caption"/>
                        <w:rPr>
                          <w:rFonts w:ascii="Times New Roman" w:hAnsi="Times New Roman" w:cs="Times New Roman"/>
                          <w:noProof/>
                          <w:sz w:val="24"/>
                          <w:szCs w:val="24"/>
                        </w:rPr>
                      </w:pPr>
                      <w:r w:rsidRPr="00B63B81">
                        <w:rPr>
                          <w:b/>
                          <w:bCs/>
                        </w:rPr>
                        <w:t xml:space="preserve">Figure </w:t>
                      </w:r>
                      <w:r>
                        <w:rPr>
                          <w:b/>
                          <w:bCs/>
                        </w:rPr>
                        <w:t>77</w:t>
                      </w:r>
                      <w:r w:rsidRPr="00B63B81">
                        <w:rPr>
                          <w:b/>
                          <w:bCs/>
                        </w:rPr>
                        <w:t>.</w:t>
                      </w:r>
                      <w:r>
                        <w:t xml:space="preserve"> A pie chart of age distribution as observed in Domestic Court between January 2017 and December 2018, from a sample size of 5778. Slice size represents the relative proportion of respondents within an age category. </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5593984" behindDoc="1" locked="0" layoutInCell="1" allowOverlap="1" wp14:anchorId="23747E86" wp14:editId="70D473E5">
            <wp:simplePos x="0" y="0"/>
            <wp:positionH relativeFrom="margin">
              <wp:posOffset>3518279</wp:posOffset>
            </wp:positionH>
            <wp:positionV relativeFrom="page">
              <wp:posOffset>1335569</wp:posOffset>
            </wp:positionV>
            <wp:extent cx="3409315" cy="2635885"/>
            <wp:effectExtent l="0" t="0" r="635" b="0"/>
            <wp:wrapTight wrapText="bothSides">
              <wp:wrapPolygon edited="0">
                <wp:start x="0" y="0"/>
                <wp:lineTo x="0" y="21387"/>
                <wp:lineTo x="21483" y="21387"/>
                <wp:lineTo x="2148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6">
                      <a:extLst>
                        <a:ext uri="{28A0092B-C50C-407E-A947-70E740481C1C}">
                          <a14:useLocalDpi xmlns:a14="http://schemas.microsoft.com/office/drawing/2010/main" val="0"/>
                        </a:ext>
                      </a:extLst>
                    </a:blip>
                    <a:srcRect l="27426" t="17426" r="25360" b="22965"/>
                    <a:stretch/>
                  </pic:blipFill>
                  <pic:spPr bwMode="auto">
                    <a:xfrm>
                      <a:off x="0" y="0"/>
                      <a:ext cx="3409315" cy="263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2BD">
        <w:t>Domestic Court</w:t>
      </w:r>
      <w:bookmarkEnd w:id="42"/>
      <w:r w:rsidR="0052533F">
        <w:t xml:space="preserve"> </w:t>
      </w:r>
    </w:p>
    <w:p w14:paraId="58ADBAF5" w14:textId="32A1665D" w:rsidR="00145395" w:rsidRDefault="00CB2D96" w:rsidP="0014539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5481344" behindDoc="1" locked="0" layoutInCell="1" allowOverlap="1" wp14:anchorId="0EA71651" wp14:editId="7104C390">
            <wp:simplePos x="0" y="0"/>
            <wp:positionH relativeFrom="margin">
              <wp:posOffset>-23685</wp:posOffset>
            </wp:positionH>
            <wp:positionV relativeFrom="page">
              <wp:posOffset>1318185</wp:posOffset>
            </wp:positionV>
            <wp:extent cx="3606800" cy="2819400"/>
            <wp:effectExtent l="0" t="0" r="0" b="0"/>
            <wp:wrapTight wrapText="bothSides">
              <wp:wrapPolygon edited="0">
                <wp:start x="0" y="0"/>
                <wp:lineTo x="0" y="21454"/>
                <wp:lineTo x="21448" y="21454"/>
                <wp:lineTo x="2144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17">
                      <a:extLst>
                        <a:ext uri="{28A0092B-C50C-407E-A947-70E740481C1C}">
                          <a14:useLocalDpi xmlns:a14="http://schemas.microsoft.com/office/drawing/2010/main" val="0"/>
                        </a:ext>
                      </a:extLst>
                    </a:blip>
                    <a:srcRect l="26523" t="18304" r="25844" b="18382"/>
                    <a:stretch/>
                  </pic:blipFill>
                  <pic:spPr bwMode="auto">
                    <a:xfrm>
                      <a:off x="0" y="0"/>
                      <a:ext cx="360680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A2E62" w14:textId="226A02C4" w:rsidR="00145395" w:rsidRDefault="00CB2D96" w:rsidP="00145395">
      <w:pPr>
        <w:autoSpaceDE w:val="0"/>
        <w:autoSpaceDN w:val="0"/>
        <w:adjustRightInd w:val="0"/>
        <w:spacing w:after="0" w:line="240" w:lineRule="auto"/>
        <w:rPr>
          <w:rFonts w:ascii="Times New Roman" w:hAnsi="Times New Roman" w:cs="Times New Roman"/>
          <w:sz w:val="24"/>
          <w:szCs w:val="24"/>
        </w:rPr>
      </w:pPr>
      <w:r w:rsidRPr="00AC0A7E">
        <w:rPr>
          <w:rFonts w:ascii="Times New Roman" w:hAnsi="Times New Roman" w:cs="Times New Roman"/>
          <w:noProof/>
          <w:sz w:val="24"/>
          <w:szCs w:val="24"/>
          <w:lang w:val="en-US"/>
        </w:rPr>
        <mc:AlternateContent>
          <mc:Choice Requires="wps">
            <w:drawing>
              <wp:anchor distT="45720" distB="45720" distL="114300" distR="114300" simplePos="0" relativeHeight="249016832" behindDoc="1" locked="0" layoutInCell="1" allowOverlap="1" wp14:anchorId="1E733341" wp14:editId="019CC0AF">
                <wp:simplePos x="0" y="0"/>
                <wp:positionH relativeFrom="margin">
                  <wp:posOffset>396487</wp:posOffset>
                </wp:positionH>
                <wp:positionV relativeFrom="page">
                  <wp:posOffset>4143301</wp:posOffset>
                </wp:positionV>
                <wp:extent cx="2743200" cy="918210"/>
                <wp:effectExtent l="0" t="0" r="0" b="0"/>
                <wp:wrapTight wrapText="bothSides">
                  <wp:wrapPolygon edited="0">
                    <wp:start x="0" y="0"/>
                    <wp:lineTo x="0" y="21062"/>
                    <wp:lineTo x="21450" y="21062"/>
                    <wp:lineTo x="21450" y="0"/>
                    <wp:lineTo x="0" y="0"/>
                  </wp:wrapPolygon>
                </wp:wrapTight>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8210"/>
                        </a:xfrm>
                        <a:prstGeom prst="rect">
                          <a:avLst/>
                        </a:prstGeom>
                        <a:solidFill>
                          <a:srgbClr val="FFFFFF"/>
                        </a:solidFill>
                        <a:ln w="9525">
                          <a:noFill/>
                          <a:miter lim="800000"/>
                          <a:headEnd/>
                          <a:tailEnd/>
                        </a:ln>
                      </wps:spPr>
                      <wps:txbx>
                        <w:txbxContent>
                          <w:p w14:paraId="6C89B503" w14:textId="0B473656" w:rsidR="00A56EB4" w:rsidRPr="00AC0A7E" w:rsidRDefault="00A56EB4" w:rsidP="00691544">
                            <w:pPr>
                              <w:pStyle w:val="Caption"/>
                            </w:pPr>
                            <w:r w:rsidRPr="00AC0A7E">
                              <w:rPr>
                                <w:b/>
                                <w:bCs/>
                              </w:rPr>
                              <w:t xml:space="preserve">Figure </w:t>
                            </w:r>
                            <w:r>
                              <w:rPr>
                                <w:b/>
                                <w:bCs/>
                              </w:rPr>
                              <w:t>76</w:t>
                            </w:r>
                            <w:r w:rsidRPr="00AC0A7E">
                              <w:rPr>
                                <w:b/>
                                <w:bCs/>
                              </w:rPr>
                              <w:t xml:space="preserve">. </w:t>
                            </w:r>
                            <w:r w:rsidRPr="00AC0A7E">
                              <w:t xml:space="preserve"> A pie chart of gender distribution as observed in </w:t>
                            </w:r>
                            <w:r>
                              <w:t>Calgary’s Domestic Court</w:t>
                            </w:r>
                            <w:r w:rsidRPr="00AC0A7E">
                              <w:t xml:space="preserve"> between January 2017 and December 2018, from a sample size of </w:t>
                            </w:r>
                            <w:r>
                              <w:t>5715</w:t>
                            </w:r>
                            <w:r w:rsidRPr="00AC0A7E">
                              <w:t>. Slice sizes represent the proportion of attendees identifying as a specific gender.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733341" id="_x0000_s1149" type="#_x0000_t202" style="position:absolute;margin-left:31.2pt;margin-top:326.25pt;width:3in;height:72.3pt;z-index:-254299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" stroked="f">
                <v:textbox style="mso-fit-shape-to-text:t">
                  <w:txbxContent>
                    <w:p w14:paraId="6C89B503" w14:textId="0B473656" w:rsidR="00A56EB4" w:rsidRPr="00AC0A7E" w:rsidRDefault="00A56EB4" w:rsidP="00691544">
                      <w:pPr>
                        <w:pStyle w:val="Caption"/>
                      </w:pPr>
                      <w:r w:rsidRPr="00AC0A7E">
                        <w:rPr>
                          <w:b/>
                          <w:bCs/>
                        </w:rPr>
                        <w:t xml:space="preserve">Figure </w:t>
                      </w:r>
                      <w:r>
                        <w:rPr>
                          <w:b/>
                          <w:bCs/>
                        </w:rPr>
                        <w:t>76</w:t>
                      </w:r>
                      <w:r w:rsidRPr="00AC0A7E">
                        <w:rPr>
                          <w:b/>
                          <w:bCs/>
                        </w:rPr>
                        <w:t xml:space="preserve">. </w:t>
                      </w:r>
                      <w:r w:rsidRPr="00AC0A7E">
                        <w:t xml:space="preserve"> A pie chart of gender distribution as observed in </w:t>
                      </w:r>
                      <w:r>
                        <w:t>Calgary’s Domestic Court</w:t>
                      </w:r>
                      <w:r w:rsidRPr="00AC0A7E">
                        <w:t xml:space="preserve"> between January 2017 and December 2018, from a sample size of </w:t>
                      </w:r>
                      <w:r>
                        <w:t>5715</w:t>
                      </w:r>
                      <w:r w:rsidRPr="00AC0A7E">
                        <w:t>. Slice sizes represent the proportion of attendees identifying as a specific gender.</w:t>
                      </w:r>
                    </w:p>
                  </w:txbxContent>
                </v:textbox>
                <w10:wrap type="tight" anchorx="margin" anchory="page"/>
              </v:shape>
            </w:pict>
          </mc:Fallback>
        </mc:AlternateContent>
      </w:r>
    </w:p>
    <w:p w14:paraId="0202363A" w14:textId="3F452238" w:rsidR="00145395" w:rsidRDefault="00145395" w:rsidP="00145395">
      <w:pPr>
        <w:autoSpaceDE w:val="0"/>
        <w:autoSpaceDN w:val="0"/>
        <w:adjustRightInd w:val="0"/>
        <w:spacing w:after="0" w:line="400" w:lineRule="atLeast"/>
        <w:rPr>
          <w:rFonts w:ascii="Times New Roman" w:hAnsi="Times New Roman" w:cs="Times New Roman"/>
          <w:sz w:val="24"/>
          <w:szCs w:val="24"/>
        </w:rPr>
      </w:pPr>
    </w:p>
    <w:p w14:paraId="47269785" w14:textId="60E1AF29" w:rsidR="00145395" w:rsidRDefault="00CB2D96" w:rsidP="00145395">
      <w:pPr>
        <w:autoSpaceDE w:val="0"/>
        <w:autoSpaceDN w:val="0"/>
        <w:adjustRightInd w:val="0"/>
        <w:spacing w:after="0" w:line="24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49664000" behindDoc="1" locked="0" layoutInCell="1" allowOverlap="1" wp14:anchorId="098C678C" wp14:editId="147230BF">
                <wp:simplePos x="0" y="0"/>
                <wp:positionH relativeFrom="margin">
                  <wp:posOffset>-4445</wp:posOffset>
                </wp:positionH>
                <wp:positionV relativeFrom="page">
                  <wp:posOffset>8974645</wp:posOffset>
                </wp:positionV>
                <wp:extent cx="6862445" cy="381000"/>
                <wp:effectExtent l="0" t="0" r="0" b="0"/>
                <wp:wrapTight wrapText="bothSides">
                  <wp:wrapPolygon edited="0">
                    <wp:start x="0" y="0"/>
                    <wp:lineTo x="0" y="20520"/>
                    <wp:lineTo x="21526" y="20520"/>
                    <wp:lineTo x="21526" y="0"/>
                    <wp:lineTo x="0" y="0"/>
                  </wp:wrapPolygon>
                </wp:wrapTight>
                <wp:docPr id="502" name="Text Box 502"/>
                <wp:cNvGraphicFramePr/>
                <a:graphic xmlns:a="http://schemas.openxmlformats.org/drawingml/2006/main">
                  <a:graphicData uri="http://schemas.microsoft.com/office/word/2010/wordprocessingShape">
                    <wps:wsp>
                      <wps:cNvSpPr txBox="1"/>
                      <wps:spPr>
                        <a:xfrm>
                          <a:off x="0" y="0"/>
                          <a:ext cx="6862445" cy="381000"/>
                        </a:xfrm>
                        <a:prstGeom prst="rect">
                          <a:avLst/>
                        </a:prstGeom>
                        <a:solidFill>
                          <a:prstClr val="white"/>
                        </a:solidFill>
                        <a:ln>
                          <a:noFill/>
                        </a:ln>
                      </wps:spPr>
                      <wps:txbx>
                        <w:txbxContent>
                          <w:p w14:paraId="25954C6F" w14:textId="78A47B52" w:rsidR="00A56EB4" w:rsidRPr="00F2233B" w:rsidRDefault="00A56EB4" w:rsidP="00F2233B">
                            <w:pPr>
                              <w:pStyle w:val="Caption"/>
                            </w:pPr>
                            <w:r w:rsidRPr="00B63B81">
                              <w:rPr>
                                <w:b/>
                                <w:bCs/>
                              </w:rPr>
                              <w:t xml:space="preserve">Figure </w:t>
                            </w:r>
                            <w:r>
                              <w:rPr>
                                <w:b/>
                                <w:bCs/>
                              </w:rPr>
                              <w:t>78</w:t>
                            </w:r>
                            <w:r>
                              <w:t>. A population pyramid representing the frequency (x-axis) of attendee gender (split), stratified by age (y-axis), at Calgary’s Domestic Court between January 2017 and December 2018, from a sample size of 5651.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678C" id="Text Box 502" o:spid="_x0000_s1150" type="#_x0000_t202" style="position:absolute;margin-left:-.35pt;margin-top:706.65pt;width:540.35pt;height:30pt;z-index:-253652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" stroked="f">
                <v:textbox inset="0,0,0,0">
                  <w:txbxContent>
                    <w:p w14:paraId="25954C6F" w14:textId="78A47B52" w:rsidR="00A56EB4" w:rsidRPr="00F2233B" w:rsidRDefault="00A56EB4" w:rsidP="00F2233B">
                      <w:pPr>
                        <w:pStyle w:val="Caption"/>
                      </w:pPr>
                      <w:r w:rsidRPr="00B63B81">
                        <w:rPr>
                          <w:b/>
                          <w:bCs/>
                        </w:rPr>
                        <w:t xml:space="preserve">Figure </w:t>
                      </w:r>
                      <w:r>
                        <w:rPr>
                          <w:b/>
                          <w:bCs/>
                        </w:rPr>
                        <w:t>78</w:t>
                      </w:r>
                      <w:r>
                        <w:t>. A population pyramid representing the frequency (x-axis) of attendee gender (split), stratified by age (y-axis), at Calgary’s Domestic Court between January 2017 and December 2018, from a sample size of 5651.</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5642112" behindDoc="1" locked="0" layoutInCell="1" allowOverlap="1" wp14:anchorId="57F9AE09" wp14:editId="455BFB5F">
            <wp:simplePos x="0" y="0"/>
            <wp:positionH relativeFrom="margin">
              <wp:posOffset>5715</wp:posOffset>
            </wp:positionH>
            <wp:positionV relativeFrom="paragraph">
              <wp:posOffset>187325</wp:posOffset>
            </wp:positionV>
            <wp:extent cx="6845300" cy="4025265"/>
            <wp:effectExtent l="0" t="0" r="0" b="0"/>
            <wp:wrapTight wrapText="bothSides">
              <wp:wrapPolygon edited="0">
                <wp:start x="0" y="0"/>
                <wp:lineTo x="0" y="21467"/>
                <wp:lineTo x="21520" y="21467"/>
                <wp:lineTo x="2152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45300" cy="402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C08EF" w14:textId="3DCCB720" w:rsidR="00CB51EF" w:rsidRDefault="00CB51EF" w:rsidP="00DB25CA">
      <w:pPr>
        <w:autoSpaceDE w:val="0"/>
        <w:autoSpaceDN w:val="0"/>
        <w:adjustRightInd w:val="0"/>
        <w:spacing w:after="0" w:line="240" w:lineRule="auto"/>
        <w:rPr>
          <w:rFonts w:ascii="Times New Roman" w:hAnsi="Times New Roman" w:cs="Times New Roman"/>
          <w:sz w:val="24"/>
          <w:szCs w:val="24"/>
        </w:rPr>
      </w:pPr>
    </w:p>
    <w:p w14:paraId="14DF1160" w14:textId="1E9DCFA9" w:rsidR="009D580F" w:rsidRDefault="009D580F" w:rsidP="009D580F">
      <w:pPr>
        <w:pStyle w:val="NoSpacing"/>
        <w:rPr>
          <w:rFonts w:ascii="Times New Roman" w:hAnsi="Times New Roman" w:cs="Times New Roman"/>
          <w:sz w:val="24"/>
          <w:szCs w:val="24"/>
        </w:rPr>
      </w:pPr>
      <w:r>
        <w:t xml:space="preserve">It was observed that in defendants receiving services from the Elizabeth Fry Society of Calgary in </w:t>
      </w:r>
      <w:r w:rsidR="007952BD">
        <w:t>Domestic Court</w:t>
      </w:r>
      <w:r>
        <w:t xml:space="preserve">, distribution was </w:t>
      </w:r>
      <w:r w:rsidR="00E91EE0">
        <w:t>markedly</w:t>
      </w:r>
      <w:r>
        <w:t xml:space="preserve"> concentrated in younger age groups, and in men. This is reflected in the population pyramid (Figure </w:t>
      </w:r>
      <w:r w:rsidR="003C7A90">
        <w:t>78</w:t>
      </w:r>
      <w:r>
        <w:t xml:space="preserve">), which is demonstrably bottom-heavy, suggesting a trend towards younger age groups, and left-leaning, suggesting substantial representation of male defendants. </w:t>
      </w:r>
      <w:r w:rsidR="00EC4279">
        <w:t>84.50</w:t>
      </w:r>
      <w:r>
        <w:t>%</w:t>
      </w:r>
      <w:r w:rsidR="00EC4279">
        <w:t xml:space="preserve"> of </w:t>
      </w:r>
      <w:r>
        <w:t xml:space="preserve">defendants identified as male (Figure </w:t>
      </w:r>
      <w:r w:rsidR="003C7A90">
        <w:t>76</w:t>
      </w:r>
      <w:r>
        <w:t xml:space="preserve">), while </w:t>
      </w:r>
      <w:r w:rsidR="00EC4279">
        <w:t>33.03%</w:t>
      </w:r>
      <w:r>
        <w:t xml:space="preserve"> reported being under the age of 30 and </w:t>
      </w:r>
      <w:r w:rsidR="00EC4279">
        <w:t>35.46</w:t>
      </w:r>
      <w:r>
        <w:t xml:space="preserve">% being 30-39 (Figure </w:t>
      </w:r>
      <w:r w:rsidR="003C7A90">
        <w:t>77</w:t>
      </w:r>
      <w:r>
        <w:t>). Men under 30, and between 30-39, represent the most common demographics supported by the organization</w:t>
      </w:r>
      <w:r w:rsidR="003C7A90">
        <w:t xml:space="preserve">, </w:t>
      </w:r>
      <w:r>
        <w:t xml:space="preserve">making up </w:t>
      </w:r>
      <w:r w:rsidR="00EC4279">
        <w:t>26.47</w:t>
      </w:r>
      <w:r>
        <w:t xml:space="preserve">% and </w:t>
      </w:r>
      <w:r w:rsidR="00EC4279">
        <w:t>30.96</w:t>
      </w:r>
      <w:r>
        <w:t xml:space="preserve">% of all defendants, with a prevalence </w:t>
      </w:r>
      <w:r w:rsidR="00EC4279">
        <w:t>4.01</w:t>
      </w:r>
      <w:r>
        <w:t xml:space="preserve">X and </w:t>
      </w:r>
      <w:r w:rsidR="00EC4279">
        <w:t>6.94</w:t>
      </w:r>
      <w:r>
        <w:t>X that of their age-matched female peers</w:t>
      </w:r>
      <w:r w:rsidR="00EC4279">
        <w:t>,</w:t>
      </w:r>
      <w:r>
        <w:t xml:space="preserve"> respectively (Figure </w:t>
      </w:r>
      <w:r w:rsidR="003C7A90">
        <w:t>78</w:t>
      </w:r>
      <w:r>
        <w:t xml:space="preserve">). Progressively reduced proportions are observed in subsequent age groups of both gender categories (Figure </w:t>
      </w:r>
      <w:r w:rsidR="003C7A90">
        <w:t>78</w:t>
      </w:r>
      <w:r>
        <w:t xml:space="preserve">). </w:t>
      </w:r>
    </w:p>
    <w:p w14:paraId="31ADB3DA" w14:textId="27CCD727" w:rsidR="00665343" w:rsidRDefault="00665343" w:rsidP="00665343">
      <w:pPr>
        <w:keepNext/>
        <w:autoSpaceDE w:val="0"/>
        <w:autoSpaceDN w:val="0"/>
        <w:adjustRightInd w:val="0"/>
        <w:spacing w:after="0" w:line="240" w:lineRule="auto"/>
      </w:pPr>
      <w:r>
        <w:t>It was observed that the majority (81.95%) of defendants receiving services from the Elizabeth Fry Society of Ca</w:t>
      </w:r>
      <w:r w:rsidR="00E645BC">
        <w:t>l</w:t>
      </w:r>
      <w:r>
        <w:t xml:space="preserve">gary in Calgary’s </w:t>
      </w:r>
      <w:r w:rsidR="007952BD">
        <w:t>Domestic Court</w:t>
      </w:r>
      <w:r>
        <w:t xml:space="preserve"> had no minority status (Figure </w:t>
      </w:r>
      <w:r w:rsidR="00E645BC">
        <w:t>79</w:t>
      </w:r>
      <w:r>
        <w:t>). When stratified by minority status, distribution was heavily concentrated in younger age categories, and in men, across all groupings.</w:t>
      </w:r>
    </w:p>
    <w:p w14:paraId="0305749F" w14:textId="5DE8440D" w:rsidR="0004707D" w:rsidRDefault="00BE2CB4" w:rsidP="00665343">
      <w:pPr>
        <w:keepNext/>
        <w:autoSpaceDE w:val="0"/>
        <w:autoSpaceDN w:val="0"/>
        <w:adjustRightInd w:val="0"/>
        <w:spacing w:after="0" w:line="240" w:lineRule="auto"/>
      </w:pPr>
      <w:r w:rsidRPr="00926579">
        <w:rPr>
          <w:noProof/>
          <w:lang w:val="en-US"/>
        </w:rPr>
        <mc:AlternateContent>
          <mc:Choice Requires="wps">
            <w:drawing>
              <wp:anchor distT="0" distB="0" distL="114300" distR="114300" simplePos="0" relativeHeight="250016256" behindDoc="1" locked="0" layoutInCell="1" allowOverlap="1" wp14:anchorId="369BCFE8" wp14:editId="1BC524FB">
                <wp:simplePos x="0" y="0"/>
                <wp:positionH relativeFrom="margin">
                  <wp:posOffset>4052570</wp:posOffset>
                </wp:positionH>
                <wp:positionV relativeFrom="page">
                  <wp:posOffset>3355480</wp:posOffset>
                </wp:positionV>
                <wp:extent cx="2628900" cy="850900"/>
                <wp:effectExtent l="0" t="0" r="0" b="6350"/>
                <wp:wrapTight wrapText="bothSides">
                  <wp:wrapPolygon edited="0">
                    <wp:start x="0" y="0"/>
                    <wp:lineTo x="0" y="21278"/>
                    <wp:lineTo x="21443" y="21278"/>
                    <wp:lineTo x="21443" y="0"/>
                    <wp:lineTo x="0" y="0"/>
                  </wp:wrapPolygon>
                </wp:wrapTight>
                <wp:docPr id="515" name="Text Box 515"/>
                <wp:cNvGraphicFramePr/>
                <a:graphic xmlns:a="http://schemas.openxmlformats.org/drawingml/2006/main">
                  <a:graphicData uri="http://schemas.microsoft.com/office/word/2010/wordprocessingShape">
                    <wps:wsp>
                      <wps:cNvSpPr txBox="1"/>
                      <wps:spPr>
                        <a:xfrm>
                          <a:off x="0" y="0"/>
                          <a:ext cx="2628900" cy="850900"/>
                        </a:xfrm>
                        <a:prstGeom prst="rect">
                          <a:avLst/>
                        </a:prstGeom>
                        <a:solidFill>
                          <a:prstClr val="white"/>
                        </a:solidFill>
                        <a:ln>
                          <a:noFill/>
                        </a:ln>
                      </wps:spPr>
                      <wps:txbx>
                        <w:txbxContent>
                          <w:p w14:paraId="5C3DCEE3" w14:textId="32A4F5B2"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79</w:t>
                            </w:r>
                            <w:r w:rsidRPr="00B63B81">
                              <w:rPr>
                                <w:b/>
                                <w:bCs/>
                              </w:rPr>
                              <w:t>.</w:t>
                            </w:r>
                            <w:r>
                              <w:t xml:space="preserve"> A pie chart of minority status as observed in Calgary’s Domestic Court between January 2017 and December 2018, from a sample size of 5934. Slice size represents the relative proportion of respondents identifying as part of a minority group. </w:t>
                            </w:r>
                          </w:p>
                          <w:p w14:paraId="4A36B3DB" w14:textId="77777777" w:rsidR="00A56EB4" w:rsidRPr="00572B34" w:rsidRDefault="00A56EB4" w:rsidP="00926579">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BCFE8" id="Text Box 515" o:spid="_x0000_s1151" type="#_x0000_t202" style="position:absolute;margin-left:319.1pt;margin-top:264.2pt;width:207pt;height:67pt;z-index:-2533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" stroked="f">
                <v:textbox inset="0,0,0,0">
                  <w:txbxContent>
                    <w:p w14:paraId="5C3DCEE3" w14:textId="32A4F5B2" w:rsidR="00A56EB4" w:rsidRPr="00701EC7" w:rsidRDefault="00A56EB4" w:rsidP="00926579">
                      <w:pPr>
                        <w:pStyle w:val="Caption"/>
                        <w:rPr>
                          <w:rFonts w:ascii="Times New Roman" w:hAnsi="Times New Roman" w:cs="Times New Roman"/>
                          <w:noProof/>
                          <w:sz w:val="24"/>
                          <w:szCs w:val="24"/>
                        </w:rPr>
                      </w:pPr>
                      <w:r w:rsidRPr="00B63B81">
                        <w:rPr>
                          <w:b/>
                          <w:bCs/>
                        </w:rPr>
                        <w:t xml:space="preserve">Figure </w:t>
                      </w:r>
                      <w:r>
                        <w:rPr>
                          <w:b/>
                          <w:bCs/>
                        </w:rPr>
                        <w:t>79</w:t>
                      </w:r>
                      <w:r w:rsidRPr="00B63B81">
                        <w:rPr>
                          <w:b/>
                          <w:bCs/>
                        </w:rPr>
                        <w:t>.</w:t>
                      </w:r>
                      <w:r>
                        <w:t xml:space="preserve"> A pie chart of minority status as observed in Calgary’s Domestic Court between January 2017 and December 2018, from a sample size of 5934. Slice size represents the relative proportion of respondents identifying as part of a minority group. </w:t>
                      </w:r>
                    </w:p>
                    <w:p w14:paraId="4A36B3DB" w14:textId="77777777" w:rsidR="00A56EB4" w:rsidRPr="00572B34" w:rsidRDefault="00A56EB4" w:rsidP="00926579">
                      <w:pPr>
                        <w:pStyle w:val="Caption"/>
                        <w:rPr>
                          <w:rFonts w:ascii="Times New Roman" w:hAnsi="Times New Roman" w:cs="Times New Roman"/>
                          <w:noProof/>
                          <w:sz w:val="24"/>
                          <w:szCs w:val="24"/>
                        </w:rPr>
                      </w:pPr>
                    </w:p>
                  </w:txbxContent>
                </v:textbox>
                <w10:wrap type="tight" anchorx="margin" anchory="page"/>
              </v:shape>
            </w:pict>
          </mc:Fallback>
        </mc:AlternateContent>
      </w:r>
      <w:r w:rsidR="00665343">
        <w:t xml:space="preserve">This is reflected in the population pyramids (Figure </w:t>
      </w:r>
      <w:r w:rsidR="00E645BC">
        <w:t>80</w:t>
      </w:r>
      <w:r w:rsidR="00665343">
        <w:t xml:space="preserve">), which are demonstrably bottom-heavy, suggesting a trend towards younger age groups, and left-leaning, suggesting substantial representation of male defendants. </w:t>
      </w:r>
    </w:p>
    <w:p w14:paraId="551D2266" w14:textId="68EA8524" w:rsidR="00156AD7" w:rsidRDefault="00BE2CB4" w:rsidP="00665343">
      <w:pPr>
        <w:keepNext/>
        <w:autoSpaceDE w:val="0"/>
        <w:autoSpaceDN w:val="0"/>
        <w:adjustRightInd w:val="0"/>
        <w:spacing w:after="0" w:line="240" w:lineRule="auto"/>
      </w:pPr>
      <w:r>
        <w:rPr>
          <w:rFonts w:ascii="Times New Roman" w:hAnsi="Times New Roman" w:cs="Times New Roman"/>
          <w:noProof/>
          <w:sz w:val="24"/>
          <w:szCs w:val="24"/>
          <w:lang w:val="en-US"/>
        </w:rPr>
        <w:drawing>
          <wp:anchor distT="0" distB="0" distL="114300" distR="114300" simplePos="0" relativeHeight="255701504" behindDoc="1" locked="0" layoutInCell="1" allowOverlap="1" wp14:anchorId="570CA41A" wp14:editId="6AF53B61">
            <wp:simplePos x="0" y="0"/>
            <wp:positionH relativeFrom="margin">
              <wp:posOffset>10795</wp:posOffset>
            </wp:positionH>
            <wp:positionV relativeFrom="page">
              <wp:posOffset>3333511</wp:posOffset>
            </wp:positionV>
            <wp:extent cx="4006850" cy="2603500"/>
            <wp:effectExtent l="0" t="0" r="0" b="6350"/>
            <wp:wrapTight wrapText="bothSides">
              <wp:wrapPolygon edited="0">
                <wp:start x="0" y="0"/>
                <wp:lineTo x="0" y="21495"/>
                <wp:lineTo x="21463" y="21495"/>
                <wp:lineTo x="2146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19">
                      <a:extLst>
                        <a:ext uri="{28A0092B-C50C-407E-A947-70E740481C1C}">
                          <a14:useLocalDpi xmlns:a14="http://schemas.microsoft.com/office/drawing/2010/main" val="0"/>
                        </a:ext>
                      </a:extLst>
                    </a:blip>
                    <a:srcRect l="23120" t="19967" r="23006" b="20511"/>
                    <a:stretch/>
                  </pic:blipFill>
                  <pic:spPr bwMode="auto">
                    <a:xfrm>
                      <a:off x="0" y="0"/>
                      <a:ext cx="4006850" cy="260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4F314" w14:textId="643C8510" w:rsidR="00BE2CB4" w:rsidRDefault="00BE2CB4" w:rsidP="00665343">
      <w:pPr>
        <w:keepNext/>
        <w:autoSpaceDE w:val="0"/>
        <w:autoSpaceDN w:val="0"/>
        <w:adjustRightInd w:val="0"/>
        <w:spacing w:after="0" w:line="240" w:lineRule="auto"/>
      </w:pPr>
      <w:r>
        <w:rPr>
          <w:rFonts w:ascii="Times New Roman" w:hAnsi="Times New Roman" w:cs="Times New Roman"/>
          <w:noProof/>
          <w:sz w:val="24"/>
          <w:szCs w:val="24"/>
          <w:lang w:val="en-US"/>
        </w:rPr>
        <w:drawing>
          <wp:anchor distT="0" distB="0" distL="114300" distR="114300" simplePos="0" relativeHeight="255764992" behindDoc="1" locked="0" layoutInCell="1" allowOverlap="1" wp14:anchorId="3A964A6A" wp14:editId="2C1BA493">
            <wp:simplePos x="0" y="0"/>
            <wp:positionH relativeFrom="margin">
              <wp:posOffset>21995</wp:posOffset>
            </wp:positionH>
            <wp:positionV relativeFrom="page">
              <wp:posOffset>5959624</wp:posOffset>
            </wp:positionV>
            <wp:extent cx="6858000" cy="3810000"/>
            <wp:effectExtent l="0" t="0" r="0" b="0"/>
            <wp:wrapTight wrapText="bothSides">
              <wp:wrapPolygon edited="0">
                <wp:start x="0" y="0"/>
                <wp:lineTo x="0" y="21492"/>
                <wp:lineTo x="21540" y="21492"/>
                <wp:lineTo x="2154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20">
                      <a:extLst>
                        <a:ext uri="{28A0092B-C50C-407E-A947-70E740481C1C}">
                          <a14:useLocalDpi xmlns:a14="http://schemas.microsoft.com/office/drawing/2010/main" val="0"/>
                        </a:ext>
                      </a:extLst>
                    </a:blip>
                    <a:srcRect b="5512"/>
                    <a:stretch/>
                  </pic:blipFill>
                  <pic:spPr bwMode="auto">
                    <a:xfrm>
                      <a:off x="0" y="0"/>
                      <a:ext cx="6858000"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0355200" behindDoc="1" locked="0" layoutInCell="1" allowOverlap="1" wp14:anchorId="2AAD6BCE" wp14:editId="1770528B">
                <wp:simplePos x="0" y="0"/>
                <wp:positionH relativeFrom="margin">
                  <wp:posOffset>4185111</wp:posOffset>
                </wp:positionH>
                <wp:positionV relativeFrom="paragraph">
                  <wp:posOffset>199068</wp:posOffset>
                </wp:positionV>
                <wp:extent cx="2671445" cy="1341755"/>
                <wp:effectExtent l="0" t="0" r="0" b="0"/>
                <wp:wrapTight wrapText="bothSides">
                  <wp:wrapPolygon edited="0">
                    <wp:start x="0" y="0"/>
                    <wp:lineTo x="0" y="21160"/>
                    <wp:lineTo x="21410" y="21160"/>
                    <wp:lineTo x="21410" y="0"/>
                    <wp:lineTo x="0" y="0"/>
                  </wp:wrapPolygon>
                </wp:wrapTight>
                <wp:docPr id="523" name="Text Box 523"/>
                <wp:cNvGraphicFramePr/>
                <a:graphic xmlns:a="http://schemas.openxmlformats.org/drawingml/2006/main">
                  <a:graphicData uri="http://schemas.microsoft.com/office/word/2010/wordprocessingShape">
                    <wps:wsp>
                      <wps:cNvSpPr txBox="1"/>
                      <wps:spPr>
                        <a:xfrm>
                          <a:off x="0" y="0"/>
                          <a:ext cx="2671445" cy="1341755"/>
                        </a:xfrm>
                        <a:prstGeom prst="rect">
                          <a:avLst/>
                        </a:prstGeom>
                        <a:solidFill>
                          <a:prstClr val="white"/>
                        </a:solidFill>
                        <a:ln>
                          <a:noFill/>
                        </a:ln>
                      </wps:spPr>
                      <wps:txbx>
                        <w:txbxContent>
                          <w:p w14:paraId="2DF146AA" w14:textId="2159F7F4" w:rsidR="00A56EB4" w:rsidRPr="00E25FCA" w:rsidRDefault="00A56EB4" w:rsidP="009D0478">
                            <w:pPr>
                              <w:pStyle w:val="Caption"/>
                            </w:pPr>
                            <w:r w:rsidRPr="00B63B81">
                              <w:rPr>
                                <w:b/>
                                <w:bCs/>
                              </w:rPr>
                              <w:t xml:space="preserve">Figure </w:t>
                            </w:r>
                            <w:r>
                              <w:rPr>
                                <w:b/>
                                <w:bCs/>
                              </w:rPr>
                              <w:t>80</w:t>
                            </w:r>
                            <w:r w:rsidRPr="00B63B81">
                              <w:rPr>
                                <w:b/>
                                <w:bCs/>
                              </w:rPr>
                              <w:t>.</w:t>
                            </w:r>
                            <w:r>
                              <w:t xml:space="preserve"> A population pyramid representing frequency (x-axis) of attendee gender (split), stratified by age (y-axis), and grouped by minority status at Calgary’s Domestic Court between January 2017 and December 2018, from a sample size of 5626 (neither: 4586, Indigenous: 779, newcomers: 261). Values exceeding the scale of the count have been indicated on their respective bar, to allow for ease of observing minority group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6BCE" id="Text Box 523" o:spid="_x0000_s1152" type="#_x0000_t202" style="position:absolute;margin-left:329.55pt;margin-top:15.65pt;width:210.35pt;height:105.65pt;z-index:-25296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" stroked="f">
                <v:textbox inset="0,0,0,0">
                  <w:txbxContent>
                    <w:p w14:paraId="2DF146AA" w14:textId="2159F7F4" w:rsidR="00A56EB4" w:rsidRPr="00E25FCA" w:rsidRDefault="00A56EB4" w:rsidP="009D0478">
                      <w:pPr>
                        <w:pStyle w:val="Caption"/>
                      </w:pPr>
                      <w:r w:rsidRPr="00B63B81">
                        <w:rPr>
                          <w:b/>
                          <w:bCs/>
                        </w:rPr>
                        <w:t xml:space="preserve">Figure </w:t>
                      </w:r>
                      <w:r>
                        <w:rPr>
                          <w:b/>
                          <w:bCs/>
                        </w:rPr>
                        <w:t>80</w:t>
                      </w:r>
                      <w:r w:rsidRPr="00B63B81">
                        <w:rPr>
                          <w:b/>
                          <w:bCs/>
                        </w:rPr>
                        <w:t>.</w:t>
                      </w:r>
                      <w:r>
                        <w:t xml:space="preserve"> A population pyramid representing frequency (x-axis) of attendee gender (split), stratified by age (y-axis), and grouped by minority status at Calgary’s Domestic Court between January 2017 and December 2018, from a sample size of 5626 (neither: 4586, Indigenous: 779, newcomers: 261). Values exceeding the scale of the count have been indicated on their respective bar, to allow for ease of observing minority group data. </w:t>
                      </w:r>
                    </w:p>
                  </w:txbxContent>
                </v:textbox>
                <w10:wrap type="tight" anchorx="margin"/>
              </v:shape>
            </w:pict>
          </mc:Fallback>
        </mc:AlternateContent>
      </w:r>
    </w:p>
    <w:p w14:paraId="65F7FCE8" w14:textId="4D2A1B80" w:rsidR="00BE2CB4" w:rsidRDefault="00BE2CB4" w:rsidP="00665343">
      <w:pPr>
        <w:keepNext/>
        <w:autoSpaceDE w:val="0"/>
        <w:autoSpaceDN w:val="0"/>
        <w:adjustRightInd w:val="0"/>
        <w:spacing w:after="0" w:line="240" w:lineRule="auto"/>
      </w:pPr>
    </w:p>
    <w:p w14:paraId="361CB2BA" w14:textId="7165CD89" w:rsidR="00BE2CB4" w:rsidRDefault="00BE2CB4" w:rsidP="00665343">
      <w:pPr>
        <w:keepNext/>
        <w:autoSpaceDE w:val="0"/>
        <w:autoSpaceDN w:val="0"/>
        <w:adjustRightInd w:val="0"/>
        <w:spacing w:after="0" w:line="240" w:lineRule="auto"/>
      </w:pPr>
      <w:r>
        <w:rPr>
          <w:rFonts w:ascii="Times New Roman" w:hAnsi="Times New Roman" w:cs="Times New Roman"/>
          <w:noProof/>
          <w:sz w:val="24"/>
          <w:szCs w:val="24"/>
          <w:lang w:val="en-US"/>
        </w:rPr>
        <w:drawing>
          <wp:anchor distT="0" distB="0" distL="114300" distR="114300" simplePos="0" relativeHeight="255869440" behindDoc="1" locked="0" layoutInCell="1" allowOverlap="1" wp14:anchorId="0670CF64" wp14:editId="03A83624">
            <wp:simplePos x="0" y="0"/>
            <wp:positionH relativeFrom="margin">
              <wp:posOffset>3171462</wp:posOffset>
            </wp:positionH>
            <wp:positionV relativeFrom="page">
              <wp:posOffset>829879</wp:posOffset>
            </wp:positionV>
            <wp:extent cx="3695700" cy="2363470"/>
            <wp:effectExtent l="0" t="0" r="0" b="0"/>
            <wp:wrapTight wrapText="bothSides">
              <wp:wrapPolygon edited="0">
                <wp:start x="0" y="0"/>
                <wp:lineTo x="0" y="21414"/>
                <wp:lineTo x="21489" y="21414"/>
                <wp:lineTo x="2148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21">
                      <a:extLst>
                        <a:ext uri="{28A0092B-C50C-407E-A947-70E740481C1C}">
                          <a14:useLocalDpi xmlns:a14="http://schemas.microsoft.com/office/drawing/2010/main" val="0"/>
                        </a:ext>
                      </a:extLst>
                    </a:blip>
                    <a:srcRect l="24765" t="20290" r="22490" b="22321"/>
                    <a:stretch/>
                  </pic:blipFill>
                  <pic:spPr bwMode="auto">
                    <a:xfrm>
                      <a:off x="0" y="0"/>
                      <a:ext cx="3695700" cy="236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9727B" w14:textId="3E7F74DC" w:rsidR="00665343" w:rsidRPr="00205610" w:rsidRDefault="005A5D0A" w:rsidP="00665343">
      <w:pPr>
        <w:keepNext/>
        <w:autoSpaceDE w:val="0"/>
        <w:autoSpaceDN w:val="0"/>
        <w:adjustRightInd w:val="0"/>
        <w:spacing w:after="0" w:line="240" w:lineRule="auto"/>
      </w:pPr>
      <w:r w:rsidRPr="00FA005F">
        <w:rPr>
          <w:noProof/>
          <w:lang w:val="en-US"/>
        </w:rPr>
        <mc:AlternateContent>
          <mc:Choice Requires="wps">
            <w:drawing>
              <wp:anchor distT="0" distB="0" distL="114300" distR="114300" simplePos="0" relativeHeight="256004608" behindDoc="1" locked="0" layoutInCell="1" allowOverlap="1" wp14:anchorId="30BEDC2A" wp14:editId="2E30BA3C">
                <wp:simplePos x="0" y="0"/>
                <wp:positionH relativeFrom="margin">
                  <wp:posOffset>5715</wp:posOffset>
                </wp:positionH>
                <wp:positionV relativeFrom="page">
                  <wp:posOffset>8253054</wp:posOffset>
                </wp:positionV>
                <wp:extent cx="6839585" cy="421005"/>
                <wp:effectExtent l="0" t="0" r="0" b="0"/>
                <wp:wrapTight wrapText="bothSides">
                  <wp:wrapPolygon edited="0">
                    <wp:start x="0" y="0"/>
                    <wp:lineTo x="0" y="20525"/>
                    <wp:lineTo x="21538" y="20525"/>
                    <wp:lineTo x="21538" y="0"/>
                    <wp:lineTo x="0" y="0"/>
                  </wp:wrapPolygon>
                </wp:wrapTight>
                <wp:docPr id="555" name="Text Box 555"/>
                <wp:cNvGraphicFramePr/>
                <a:graphic xmlns:a="http://schemas.openxmlformats.org/drawingml/2006/main">
                  <a:graphicData uri="http://schemas.microsoft.com/office/word/2010/wordprocessingShape">
                    <wps:wsp>
                      <wps:cNvSpPr txBox="1"/>
                      <wps:spPr>
                        <a:xfrm>
                          <a:off x="0" y="0"/>
                          <a:ext cx="6839585" cy="421005"/>
                        </a:xfrm>
                        <a:prstGeom prst="rect">
                          <a:avLst/>
                        </a:prstGeom>
                        <a:solidFill>
                          <a:prstClr val="white"/>
                        </a:solidFill>
                        <a:ln>
                          <a:noFill/>
                        </a:ln>
                      </wps:spPr>
                      <wps:txbx>
                        <w:txbxContent>
                          <w:p w14:paraId="179CD19E" w14:textId="24246B0A" w:rsidR="00A56EB4" w:rsidRPr="00FA005F" w:rsidRDefault="00A56EB4" w:rsidP="00FA005F">
                            <w:pPr>
                              <w:pStyle w:val="Caption"/>
                            </w:pPr>
                            <w:r w:rsidRPr="00B63B81">
                              <w:rPr>
                                <w:b/>
                                <w:bCs/>
                              </w:rPr>
                              <w:t xml:space="preserve">Figure </w:t>
                            </w:r>
                            <w:r>
                              <w:rPr>
                                <w:b/>
                                <w:bCs/>
                              </w:rPr>
                              <w:t>82</w:t>
                            </w:r>
                            <w:r w:rsidRPr="00E04F82">
                              <w:t xml:space="preserve">. A bar graph of </w:t>
                            </w:r>
                            <w:r>
                              <w:t xml:space="preserve">the frequency of various </w:t>
                            </w:r>
                            <w:r w:rsidRPr="00457DAB">
                              <w:t xml:space="preserve">appearance types, as observed in Calgary’s </w:t>
                            </w:r>
                            <w:r>
                              <w:t>Domestic Court</w:t>
                            </w:r>
                            <w:r w:rsidRPr="00457DAB">
                              <w:t xml:space="preserve"> between January 2017 and December 2018, from a sample size of 6743. Bar height corresponds to the number of respondents present for a given appearance (y-axis), with relative proportions of appearance type categories indicated within the bar</w:t>
                            </w:r>
                            <w:r w:rsidRPr="00E04F8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DC2A" id="Text Box 555" o:spid="_x0000_s1153" type="#_x0000_t202" style="position:absolute;margin-left:.45pt;margin-top:649.85pt;width:538.55pt;height:33.15pt;z-index:-247311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" stroked="f">
                <v:textbox inset="0,0,0,0">
                  <w:txbxContent>
                    <w:p w14:paraId="179CD19E" w14:textId="24246B0A" w:rsidR="00A56EB4" w:rsidRPr="00FA005F" w:rsidRDefault="00A56EB4" w:rsidP="00FA005F">
                      <w:pPr>
                        <w:pStyle w:val="Caption"/>
                      </w:pPr>
                      <w:r w:rsidRPr="00B63B81">
                        <w:rPr>
                          <w:b/>
                          <w:bCs/>
                        </w:rPr>
                        <w:t xml:space="preserve">Figure </w:t>
                      </w:r>
                      <w:r>
                        <w:rPr>
                          <w:b/>
                          <w:bCs/>
                        </w:rPr>
                        <w:t>82</w:t>
                      </w:r>
                      <w:r w:rsidRPr="00E04F82">
                        <w:t xml:space="preserve">. A bar graph of </w:t>
                      </w:r>
                      <w:r>
                        <w:t xml:space="preserve">the frequency of various </w:t>
                      </w:r>
                      <w:r w:rsidRPr="00457DAB">
                        <w:t xml:space="preserve">appearance types, as observed in Calgary’s </w:t>
                      </w:r>
                      <w:r>
                        <w:t>Domestic Court</w:t>
                      </w:r>
                      <w:r w:rsidRPr="00457DAB">
                        <w:t xml:space="preserve"> between January 2017 and December 2018, from a sample size of 6743. Bar height corresponds to the number of respondents present for a given appearance (y-axis), with relative proportions of appearance type categories indicated within the bar</w:t>
                      </w:r>
                      <w:r w:rsidRPr="00E04F82">
                        <w:t>.</w:t>
                      </w:r>
                    </w:p>
                  </w:txbxContent>
                </v:textbox>
                <w10:wrap type="tight" anchorx="margin" anchory="page"/>
              </v:shape>
            </w:pict>
          </mc:Fallback>
        </mc:AlternateContent>
      </w:r>
      <w:r>
        <w:rPr>
          <w:rFonts w:ascii="Times New Roman" w:hAnsi="Times New Roman" w:cs="Times New Roman"/>
          <w:noProof/>
          <w:sz w:val="24"/>
          <w:szCs w:val="24"/>
          <w:lang w:val="en-US"/>
        </w:rPr>
        <w:drawing>
          <wp:anchor distT="0" distB="0" distL="114300" distR="114300" simplePos="0" relativeHeight="255797760" behindDoc="1" locked="0" layoutInCell="1" allowOverlap="1" wp14:anchorId="41CD4749" wp14:editId="393D0294">
            <wp:simplePos x="0" y="0"/>
            <wp:positionH relativeFrom="margin">
              <wp:posOffset>36450</wp:posOffset>
            </wp:positionH>
            <wp:positionV relativeFrom="page">
              <wp:posOffset>4300046</wp:posOffset>
            </wp:positionV>
            <wp:extent cx="6845300" cy="3844925"/>
            <wp:effectExtent l="0" t="0" r="0" b="3175"/>
            <wp:wrapTight wrapText="bothSides">
              <wp:wrapPolygon edited="0">
                <wp:start x="0" y="0"/>
                <wp:lineTo x="0" y="21511"/>
                <wp:lineTo x="21520" y="21511"/>
                <wp:lineTo x="2152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45300" cy="384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CB4" w:rsidRPr="00926579">
        <w:rPr>
          <w:noProof/>
          <w:lang w:val="en-US"/>
        </w:rPr>
        <mc:AlternateContent>
          <mc:Choice Requires="wps">
            <w:drawing>
              <wp:anchor distT="0" distB="0" distL="114300" distR="114300" simplePos="0" relativeHeight="255957504" behindDoc="1" locked="0" layoutInCell="1" allowOverlap="1" wp14:anchorId="64927374" wp14:editId="1497B782">
                <wp:simplePos x="0" y="0"/>
                <wp:positionH relativeFrom="margin">
                  <wp:posOffset>3259455</wp:posOffset>
                </wp:positionH>
                <wp:positionV relativeFrom="page">
                  <wp:posOffset>3277235</wp:posOffset>
                </wp:positionV>
                <wp:extent cx="3538220" cy="664845"/>
                <wp:effectExtent l="0" t="0" r="5080" b="1905"/>
                <wp:wrapTight wrapText="bothSides">
                  <wp:wrapPolygon edited="0">
                    <wp:start x="0" y="0"/>
                    <wp:lineTo x="0" y="21043"/>
                    <wp:lineTo x="21515" y="21043"/>
                    <wp:lineTo x="21515" y="0"/>
                    <wp:lineTo x="0" y="0"/>
                  </wp:wrapPolygon>
                </wp:wrapTight>
                <wp:docPr id="554" name="Text Box 554"/>
                <wp:cNvGraphicFramePr/>
                <a:graphic xmlns:a="http://schemas.openxmlformats.org/drawingml/2006/main">
                  <a:graphicData uri="http://schemas.microsoft.com/office/word/2010/wordprocessingShape">
                    <wps:wsp>
                      <wps:cNvSpPr txBox="1"/>
                      <wps:spPr>
                        <a:xfrm>
                          <a:off x="0" y="0"/>
                          <a:ext cx="3538220" cy="664845"/>
                        </a:xfrm>
                        <a:prstGeom prst="rect">
                          <a:avLst/>
                        </a:prstGeom>
                        <a:solidFill>
                          <a:prstClr val="white"/>
                        </a:solidFill>
                        <a:ln>
                          <a:noFill/>
                        </a:ln>
                      </wps:spPr>
                      <wps:txbx>
                        <w:txbxContent>
                          <w:p w14:paraId="25106786" w14:textId="2EC50607" w:rsidR="00A56EB4" w:rsidRPr="00701EC7" w:rsidRDefault="00A56EB4" w:rsidP="00BF68BC">
                            <w:pPr>
                              <w:pStyle w:val="Caption"/>
                              <w:rPr>
                                <w:rFonts w:ascii="Times New Roman" w:hAnsi="Times New Roman" w:cs="Times New Roman"/>
                                <w:noProof/>
                                <w:sz w:val="24"/>
                                <w:szCs w:val="24"/>
                              </w:rPr>
                            </w:pPr>
                            <w:r w:rsidRPr="00B63B81">
                              <w:rPr>
                                <w:b/>
                                <w:bCs/>
                              </w:rPr>
                              <w:t xml:space="preserve">Figure </w:t>
                            </w:r>
                            <w:r>
                              <w:rPr>
                                <w:b/>
                                <w:bCs/>
                              </w:rPr>
                              <w:t>81</w:t>
                            </w:r>
                            <w:r w:rsidRPr="00B63B81">
                              <w:rPr>
                                <w:b/>
                                <w:bCs/>
                              </w:rPr>
                              <w:t>.</w:t>
                            </w:r>
                            <w:r>
                              <w:t xml:space="preserve"> A pie chart of Calgary Domestic Court attendees’ appearance number, between January 2017 and December 2018, from a sample size of 5934. Slice size represents the relative proportion of respondents present for a given appearance number. </w:t>
                            </w:r>
                          </w:p>
                          <w:p w14:paraId="016043A5" w14:textId="77777777" w:rsidR="00A56EB4" w:rsidRPr="00572B34" w:rsidRDefault="00A56EB4" w:rsidP="00BF68BC">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27374" id="Text Box 554" o:spid="_x0000_s1154" type="#_x0000_t202" style="position:absolute;margin-left:256.65pt;margin-top:258.05pt;width:278.6pt;height:52.35pt;z-index:-24735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" stroked="f">
                <v:textbox inset="0,0,0,0">
                  <w:txbxContent>
                    <w:p w14:paraId="25106786" w14:textId="2EC50607" w:rsidR="00A56EB4" w:rsidRPr="00701EC7" w:rsidRDefault="00A56EB4" w:rsidP="00BF68BC">
                      <w:pPr>
                        <w:pStyle w:val="Caption"/>
                        <w:rPr>
                          <w:rFonts w:ascii="Times New Roman" w:hAnsi="Times New Roman" w:cs="Times New Roman"/>
                          <w:noProof/>
                          <w:sz w:val="24"/>
                          <w:szCs w:val="24"/>
                        </w:rPr>
                      </w:pPr>
                      <w:r w:rsidRPr="00B63B81">
                        <w:rPr>
                          <w:b/>
                          <w:bCs/>
                        </w:rPr>
                        <w:t xml:space="preserve">Figure </w:t>
                      </w:r>
                      <w:r>
                        <w:rPr>
                          <w:b/>
                          <w:bCs/>
                        </w:rPr>
                        <w:t>81</w:t>
                      </w:r>
                      <w:r w:rsidRPr="00B63B81">
                        <w:rPr>
                          <w:b/>
                          <w:bCs/>
                        </w:rPr>
                        <w:t>.</w:t>
                      </w:r>
                      <w:r>
                        <w:t xml:space="preserve"> A pie chart of Calgary Domestic Court attendees’ appearance number, between January 2017 and December 2018, from a sample size of 5934. Slice size represents the relative proportion of respondents present for a given appearance number. </w:t>
                      </w:r>
                    </w:p>
                    <w:p w14:paraId="016043A5" w14:textId="77777777" w:rsidR="00A56EB4" w:rsidRPr="00572B34" w:rsidRDefault="00A56EB4" w:rsidP="00BF68BC">
                      <w:pPr>
                        <w:pStyle w:val="Caption"/>
                        <w:rPr>
                          <w:rFonts w:ascii="Times New Roman" w:hAnsi="Times New Roman" w:cs="Times New Roman"/>
                          <w:noProof/>
                          <w:sz w:val="24"/>
                          <w:szCs w:val="24"/>
                        </w:rPr>
                      </w:pPr>
                    </w:p>
                  </w:txbxContent>
                </v:textbox>
                <w10:wrap type="tight" anchorx="margin" anchory="page"/>
              </v:shape>
            </w:pict>
          </mc:Fallback>
        </mc:AlternateContent>
      </w:r>
      <w:r w:rsidR="006E4F4E">
        <w:t xml:space="preserve">Of </w:t>
      </w:r>
      <w:r w:rsidR="00156AD7">
        <w:t xml:space="preserve">defendants without minority status, men under 30, and 30-39, represent the most common demographics supported by the organization, making up </w:t>
      </w:r>
      <w:r w:rsidR="00BF504E">
        <w:t>25.62</w:t>
      </w:r>
      <w:r w:rsidR="00156AD7">
        <w:t xml:space="preserve">% and 30.92%, with a prevalence </w:t>
      </w:r>
      <w:r w:rsidR="00BF504E">
        <w:t>4.72</w:t>
      </w:r>
      <w:r w:rsidR="00156AD7">
        <w:t xml:space="preserve">X and 7.38X those of their age-matched female peers, respectively (Figure </w:t>
      </w:r>
      <w:r w:rsidR="00E645BC">
        <w:t>80</w:t>
      </w:r>
      <w:r w:rsidR="00156AD7">
        <w:t xml:space="preserve">). These demographic groups encompass the majority of defendants of Indigenous and newcomer status. In Indigenous defendants, they </w:t>
      </w:r>
      <w:r w:rsidR="001F49E9">
        <w:t>account</w:t>
      </w:r>
      <w:r w:rsidR="00156AD7">
        <w:t xml:space="preserve"> for </w:t>
      </w:r>
      <w:r w:rsidR="001F49E9">
        <w:t>31.07%</w:t>
      </w:r>
      <w:r w:rsidR="00156AD7">
        <w:t xml:space="preserve"> and </w:t>
      </w:r>
      <w:r w:rsidR="00AF568E">
        <w:t>28.50%</w:t>
      </w:r>
      <w:r w:rsidR="00156AD7">
        <w:t xml:space="preserve"> of the sample, with a prevalence </w:t>
      </w:r>
      <w:r w:rsidR="001F49E9">
        <w:t>2.03</w:t>
      </w:r>
      <w:r w:rsidR="00156AD7">
        <w:t xml:space="preserve">X and </w:t>
      </w:r>
      <w:r w:rsidR="00AF568E">
        <w:t>4.11</w:t>
      </w:r>
      <w:r w:rsidR="00156AD7">
        <w:t xml:space="preserve">X that of their age-matched female peers, respectively (Figure </w:t>
      </w:r>
      <w:r w:rsidR="00E645BC">
        <w:t>80</w:t>
      </w:r>
      <w:r w:rsidR="00156AD7">
        <w:t xml:space="preserve">). In defendants who are newcomers, they account for </w:t>
      </w:r>
      <w:r w:rsidR="00205610">
        <w:t xml:space="preserve">30.23% </w:t>
      </w:r>
      <w:r w:rsidR="00156AD7">
        <w:t xml:space="preserve">and </w:t>
      </w:r>
      <w:r w:rsidR="001F49E9">
        <w:t>42.15%</w:t>
      </w:r>
      <w:r w:rsidR="00156AD7">
        <w:t xml:space="preserve"> of the sample</w:t>
      </w:r>
      <w:r w:rsidR="001F49E9">
        <w:t xml:space="preserve"> </w:t>
      </w:r>
      <w:r w:rsidR="00156AD7">
        <w:t xml:space="preserve">(Figure </w:t>
      </w:r>
      <w:r w:rsidR="00E645BC">
        <w:t>80</w:t>
      </w:r>
      <w:r w:rsidR="00156AD7">
        <w:t>)</w:t>
      </w:r>
      <w:r w:rsidR="001F49E9">
        <w:t xml:space="preserve">. There are no female defendants who are newcomers. </w:t>
      </w:r>
      <w:r w:rsidR="00665343">
        <w:t>Reflecting these differences in prevalence ratios</w:t>
      </w:r>
      <w:r w:rsidR="001F49E9">
        <w:t xml:space="preserve"> and population distribution</w:t>
      </w:r>
      <w:r w:rsidR="00665343">
        <w:t xml:space="preserve">, male: female representation is visibly </w:t>
      </w:r>
      <w:r w:rsidR="00205610">
        <w:t>the</w:t>
      </w:r>
      <w:r w:rsidR="00665343">
        <w:t xml:space="preserve"> most</w:t>
      </w:r>
      <w:r w:rsidR="00205610">
        <w:t xml:space="preserve"> </w:t>
      </w:r>
      <w:r w:rsidR="00665343">
        <w:t xml:space="preserve">divergent in </w:t>
      </w:r>
      <w:r w:rsidR="00205610">
        <w:t>the</w:t>
      </w:r>
      <w:r w:rsidR="00156AD7">
        <w:t xml:space="preserve"> </w:t>
      </w:r>
      <w:r w:rsidR="001F49E9">
        <w:t>newcomer</w:t>
      </w:r>
      <w:r w:rsidR="00156AD7">
        <w:t xml:space="preserve"> </w:t>
      </w:r>
      <w:r w:rsidR="00665343">
        <w:t xml:space="preserve">grouping (Figure </w:t>
      </w:r>
      <w:r w:rsidR="00E645BC">
        <w:t>80</w:t>
      </w:r>
      <w:r w:rsidR="00665343">
        <w:t xml:space="preserve">). </w:t>
      </w:r>
    </w:p>
    <w:p w14:paraId="641FE1FA" w14:textId="169FD837" w:rsidR="005B463B" w:rsidRDefault="005B463B" w:rsidP="005B463B">
      <w:pPr>
        <w:autoSpaceDE w:val="0"/>
        <w:autoSpaceDN w:val="0"/>
        <w:adjustRightInd w:val="0"/>
        <w:spacing w:after="0" w:line="240" w:lineRule="auto"/>
        <w:rPr>
          <w:rFonts w:ascii="Times New Roman" w:hAnsi="Times New Roman" w:cs="Times New Roman"/>
          <w:sz w:val="24"/>
          <w:szCs w:val="24"/>
        </w:rPr>
      </w:pPr>
    </w:p>
    <w:p w14:paraId="362D0D96" w14:textId="4DFDAE7D" w:rsidR="005B463B" w:rsidRDefault="005B463B" w:rsidP="005B463B">
      <w:pPr>
        <w:autoSpaceDE w:val="0"/>
        <w:autoSpaceDN w:val="0"/>
        <w:adjustRightInd w:val="0"/>
        <w:spacing w:after="0" w:line="400" w:lineRule="atLeast"/>
        <w:rPr>
          <w:rFonts w:ascii="Times New Roman" w:hAnsi="Times New Roman" w:cs="Times New Roman"/>
          <w:sz w:val="24"/>
          <w:szCs w:val="24"/>
        </w:rPr>
      </w:pPr>
    </w:p>
    <w:p w14:paraId="66ED16B1" w14:textId="59F8C173" w:rsidR="003359F2" w:rsidRDefault="00D17F36" w:rsidP="003359F2">
      <w:pPr>
        <w:autoSpaceDE w:val="0"/>
        <w:autoSpaceDN w:val="0"/>
        <w:adjustRightInd w:val="0"/>
        <w:spacing w:after="0" w:line="400" w:lineRule="atLeast"/>
        <w:rPr>
          <w:rFonts w:ascii="Times New Roman" w:hAnsi="Times New Roman" w:cs="Times New Roman"/>
          <w:sz w:val="24"/>
          <w:szCs w:val="24"/>
        </w:rPr>
      </w:pPr>
      <w:r w:rsidRPr="00D17F36">
        <w:rPr>
          <w:noProof/>
          <w:lang w:val="en-US"/>
        </w:rPr>
        <w:lastRenderedPageBreak/>
        <mc:AlternateContent>
          <mc:Choice Requires="wps">
            <w:drawing>
              <wp:anchor distT="0" distB="0" distL="114300" distR="114300" simplePos="0" relativeHeight="256093696" behindDoc="1" locked="0" layoutInCell="1" allowOverlap="1" wp14:anchorId="096B22FA" wp14:editId="3516BD73">
                <wp:simplePos x="0" y="0"/>
                <wp:positionH relativeFrom="margin">
                  <wp:align>right</wp:align>
                </wp:positionH>
                <wp:positionV relativeFrom="margin">
                  <wp:posOffset>8178165</wp:posOffset>
                </wp:positionV>
                <wp:extent cx="6845300" cy="421005"/>
                <wp:effectExtent l="0" t="0" r="0" b="0"/>
                <wp:wrapTight wrapText="bothSides">
                  <wp:wrapPolygon edited="0">
                    <wp:start x="0" y="0"/>
                    <wp:lineTo x="0" y="20525"/>
                    <wp:lineTo x="21520" y="20525"/>
                    <wp:lineTo x="21520" y="0"/>
                    <wp:lineTo x="0" y="0"/>
                  </wp:wrapPolygon>
                </wp:wrapTight>
                <wp:docPr id="558" name="Text Box 558"/>
                <wp:cNvGraphicFramePr/>
                <a:graphic xmlns:a="http://schemas.openxmlformats.org/drawingml/2006/main">
                  <a:graphicData uri="http://schemas.microsoft.com/office/word/2010/wordprocessingShape">
                    <wps:wsp>
                      <wps:cNvSpPr txBox="1"/>
                      <wps:spPr>
                        <a:xfrm>
                          <a:off x="0" y="0"/>
                          <a:ext cx="6845300" cy="421005"/>
                        </a:xfrm>
                        <a:prstGeom prst="rect">
                          <a:avLst/>
                        </a:prstGeom>
                        <a:solidFill>
                          <a:prstClr val="white"/>
                        </a:solidFill>
                        <a:ln>
                          <a:noFill/>
                        </a:ln>
                      </wps:spPr>
                      <wps:txbx>
                        <w:txbxContent>
                          <w:p w14:paraId="42C69A89" w14:textId="256DB64F" w:rsidR="00A56EB4" w:rsidRPr="00FA005F" w:rsidRDefault="00A56EB4" w:rsidP="00D17F36">
                            <w:pPr>
                              <w:pStyle w:val="Caption"/>
                            </w:pPr>
                            <w:r w:rsidRPr="00B63B81">
                              <w:rPr>
                                <w:b/>
                                <w:bCs/>
                              </w:rPr>
                              <w:t xml:space="preserve">Figure </w:t>
                            </w:r>
                            <w:r>
                              <w:rPr>
                                <w:b/>
                                <w:bCs/>
                              </w:rPr>
                              <w:t>84</w:t>
                            </w:r>
                            <w:r w:rsidRPr="00E04F82">
                              <w:t xml:space="preserve">. A bar graph of </w:t>
                            </w:r>
                            <w:r>
                              <w:t xml:space="preserve">the frequency of various </w:t>
                            </w:r>
                            <w:r w:rsidRPr="00457DAB">
                              <w:t>appearance types</w:t>
                            </w:r>
                            <w:r>
                              <w:t xml:space="preserve"> in Indigenous defendants</w:t>
                            </w:r>
                            <w:r w:rsidRPr="00457DAB">
                              <w:t xml:space="preserve">, as observed in Calgary’s </w:t>
                            </w:r>
                            <w:r>
                              <w:t>Domestic Court</w:t>
                            </w:r>
                            <w:r w:rsidRPr="00457DAB">
                              <w:t xml:space="preserve"> between January 2017 and December 2018, from a sample size of </w:t>
                            </w:r>
                            <w:r>
                              <w:t>934</w:t>
                            </w:r>
                            <w:r w:rsidRPr="00457DAB">
                              <w:t>. Bar height corresponds to the number of respondents present for a given appearance (y-axis), with relative proportions of appearance type categories indicated within the bar</w:t>
                            </w:r>
                            <w:r w:rsidRPr="00E04F8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22FA" id="Text Box 558" o:spid="_x0000_s1155" type="#_x0000_t202" style="position:absolute;margin-left:487.8pt;margin-top:643.95pt;width:539pt;height:33.15pt;z-index:-2472227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" stroked="f">
                <v:textbox inset="0,0,0,0">
                  <w:txbxContent>
                    <w:p w14:paraId="42C69A89" w14:textId="256DB64F" w:rsidR="00A56EB4" w:rsidRPr="00FA005F" w:rsidRDefault="00A56EB4" w:rsidP="00D17F36">
                      <w:pPr>
                        <w:pStyle w:val="Caption"/>
                      </w:pPr>
                      <w:r w:rsidRPr="00B63B81">
                        <w:rPr>
                          <w:b/>
                          <w:bCs/>
                        </w:rPr>
                        <w:t xml:space="preserve">Figure </w:t>
                      </w:r>
                      <w:r>
                        <w:rPr>
                          <w:b/>
                          <w:bCs/>
                        </w:rPr>
                        <w:t>84</w:t>
                      </w:r>
                      <w:r w:rsidRPr="00E04F82">
                        <w:t xml:space="preserve">. A bar graph of </w:t>
                      </w:r>
                      <w:r>
                        <w:t xml:space="preserve">the frequency of various </w:t>
                      </w:r>
                      <w:r w:rsidRPr="00457DAB">
                        <w:t>appearance types</w:t>
                      </w:r>
                      <w:r>
                        <w:t xml:space="preserve"> in Indigenous defendants</w:t>
                      </w:r>
                      <w:r w:rsidRPr="00457DAB">
                        <w:t xml:space="preserve">, as observed in Calgary’s </w:t>
                      </w:r>
                      <w:r>
                        <w:t>Domestic Court</w:t>
                      </w:r>
                      <w:r w:rsidRPr="00457DAB">
                        <w:t xml:space="preserve"> between January 2017 and December 2018, from a sample size of </w:t>
                      </w:r>
                      <w:r>
                        <w:t>934</w:t>
                      </w:r>
                      <w:r w:rsidRPr="00457DAB">
                        <w:t>. Bar height corresponds to the number of respondents present for a given appearance (y-axis), with relative proportions of appearance type categories indicated within the bar</w:t>
                      </w:r>
                      <w:r w:rsidRPr="00E04F82">
                        <w:t>.</w:t>
                      </w:r>
                    </w:p>
                  </w:txbxContent>
                </v:textbox>
                <w10:wrap type="tight" anchorx="margin" anchory="margin"/>
              </v:shape>
            </w:pict>
          </mc:Fallback>
        </mc:AlternateContent>
      </w:r>
      <w:r>
        <w:rPr>
          <w:rFonts w:ascii="Times New Roman" w:hAnsi="Times New Roman" w:cs="Times New Roman"/>
          <w:noProof/>
          <w:sz w:val="24"/>
          <w:szCs w:val="24"/>
          <w:lang w:val="en-US"/>
        </w:rPr>
        <w:drawing>
          <wp:anchor distT="0" distB="0" distL="114300" distR="114300" simplePos="0" relativeHeight="255899136" behindDoc="1" locked="0" layoutInCell="1" allowOverlap="1" wp14:anchorId="41673434" wp14:editId="446EAF2E">
            <wp:simplePos x="0" y="0"/>
            <wp:positionH relativeFrom="margin">
              <wp:align>left</wp:align>
            </wp:positionH>
            <wp:positionV relativeFrom="paragraph">
              <wp:posOffset>4342765</wp:posOffset>
            </wp:positionV>
            <wp:extent cx="6807200" cy="3913505"/>
            <wp:effectExtent l="0" t="0" r="0" b="0"/>
            <wp:wrapTight wrapText="bothSides">
              <wp:wrapPolygon edited="0">
                <wp:start x="0" y="0"/>
                <wp:lineTo x="0" y="21449"/>
                <wp:lineTo x="21519" y="21449"/>
                <wp:lineTo x="21519"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23">
                      <a:extLst>
                        <a:ext uri="{28A0092B-C50C-407E-A947-70E740481C1C}">
                          <a14:useLocalDpi xmlns:a14="http://schemas.microsoft.com/office/drawing/2010/main" val="0"/>
                        </a:ext>
                      </a:extLst>
                    </a:blip>
                    <a:srcRect t="2222"/>
                    <a:stretch/>
                  </pic:blipFill>
                  <pic:spPr bwMode="auto">
                    <a:xfrm>
                      <a:off x="0" y="0"/>
                      <a:ext cx="6807200" cy="3913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005F">
        <w:rPr>
          <w:noProof/>
          <w:lang w:val="en-US"/>
        </w:rPr>
        <mc:AlternateContent>
          <mc:Choice Requires="wps">
            <w:drawing>
              <wp:anchor distT="0" distB="0" distL="114300" distR="114300" simplePos="0" relativeHeight="256064000" behindDoc="1" locked="0" layoutInCell="1" allowOverlap="1" wp14:anchorId="3FC87A11" wp14:editId="65435FB6">
                <wp:simplePos x="0" y="0"/>
                <wp:positionH relativeFrom="margin">
                  <wp:align>left</wp:align>
                </wp:positionH>
                <wp:positionV relativeFrom="margin">
                  <wp:posOffset>3774440</wp:posOffset>
                </wp:positionV>
                <wp:extent cx="6845300" cy="584200"/>
                <wp:effectExtent l="0" t="0" r="0" b="6350"/>
                <wp:wrapTight wrapText="bothSides">
                  <wp:wrapPolygon edited="0">
                    <wp:start x="0" y="0"/>
                    <wp:lineTo x="0" y="21130"/>
                    <wp:lineTo x="21520" y="21130"/>
                    <wp:lineTo x="21520" y="0"/>
                    <wp:lineTo x="0" y="0"/>
                  </wp:wrapPolygon>
                </wp:wrapTight>
                <wp:docPr id="557" name="Text Box 557"/>
                <wp:cNvGraphicFramePr/>
                <a:graphic xmlns:a="http://schemas.openxmlformats.org/drawingml/2006/main">
                  <a:graphicData uri="http://schemas.microsoft.com/office/word/2010/wordprocessingShape">
                    <wps:wsp>
                      <wps:cNvSpPr txBox="1"/>
                      <wps:spPr>
                        <a:xfrm>
                          <a:off x="0" y="0"/>
                          <a:ext cx="6845300" cy="584200"/>
                        </a:xfrm>
                        <a:prstGeom prst="rect">
                          <a:avLst/>
                        </a:prstGeom>
                        <a:solidFill>
                          <a:prstClr val="white"/>
                        </a:solidFill>
                        <a:ln>
                          <a:noFill/>
                        </a:ln>
                      </wps:spPr>
                      <wps:txbx>
                        <w:txbxContent>
                          <w:p w14:paraId="3502B9A9" w14:textId="467F7B0D" w:rsidR="00A56EB4" w:rsidRPr="00FA005F" w:rsidRDefault="00A56EB4" w:rsidP="00D17F36">
                            <w:pPr>
                              <w:pStyle w:val="Caption"/>
                            </w:pPr>
                            <w:r w:rsidRPr="00B63B81">
                              <w:rPr>
                                <w:b/>
                                <w:bCs/>
                              </w:rPr>
                              <w:t xml:space="preserve">Figure </w:t>
                            </w:r>
                            <w:r>
                              <w:rPr>
                                <w:b/>
                                <w:bCs/>
                              </w:rPr>
                              <w:t>83</w:t>
                            </w:r>
                            <w:r w:rsidRPr="00E04F82">
                              <w:t xml:space="preserve">. A bar graph of </w:t>
                            </w:r>
                            <w:r>
                              <w:t xml:space="preserve">the frequency of various </w:t>
                            </w:r>
                            <w:r w:rsidRPr="00457DAB">
                              <w:t>appearance types</w:t>
                            </w:r>
                            <w:r>
                              <w:t xml:space="preserve"> in defendants without minority status</w:t>
                            </w:r>
                            <w:r w:rsidRPr="00457DAB">
                              <w:t xml:space="preserve">, as observed in Calgary’s </w:t>
                            </w:r>
                            <w:r>
                              <w:t>Domestic Court</w:t>
                            </w:r>
                            <w:r w:rsidRPr="00457DAB">
                              <w:t xml:space="preserve"> between January 2017 and December 2018, from a sample size of </w:t>
                            </w:r>
                            <w:r>
                              <w:t>5455</w:t>
                            </w:r>
                            <w:r w:rsidRPr="00457DAB">
                              <w:t>. Bar height corresponds to the number of respondents present for a given appearance (y-axis), with relative proportions of appearance type categories indicated within the bar</w:t>
                            </w:r>
                            <w:r w:rsidRPr="00E04F8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87A11" id="Text Box 557" o:spid="_x0000_s1156" type="#_x0000_t202" style="position:absolute;margin-left:0;margin-top:297.2pt;width:539pt;height:46pt;z-index:-247252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" stroked="f">
                <v:textbox inset="0,0,0,0">
                  <w:txbxContent>
                    <w:p w14:paraId="3502B9A9" w14:textId="467F7B0D" w:rsidR="00A56EB4" w:rsidRPr="00FA005F" w:rsidRDefault="00A56EB4" w:rsidP="00D17F36">
                      <w:pPr>
                        <w:pStyle w:val="Caption"/>
                      </w:pPr>
                      <w:r w:rsidRPr="00B63B81">
                        <w:rPr>
                          <w:b/>
                          <w:bCs/>
                        </w:rPr>
                        <w:t xml:space="preserve">Figure </w:t>
                      </w:r>
                      <w:r>
                        <w:rPr>
                          <w:b/>
                          <w:bCs/>
                        </w:rPr>
                        <w:t>83</w:t>
                      </w:r>
                      <w:r w:rsidRPr="00E04F82">
                        <w:t xml:space="preserve">. A bar graph of </w:t>
                      </w:r>
                      <w:r>
                        <w:t xml:space="preserve">the frequency of various </w:t>
                      </w:r>
                      <w:r w:rsidRPr="00457DAB">
                        <w:t>appearance types</w:t>
                      </w:r>
                      <w:r>
                        <w:t xml:space="preserve"> in defendants without minority status</w:t>
                      </w:r>
                      <w:r w:rsidRPr="00457DAB">
                        <w:t xml:space="preserve">, as observed in Calgary’s </w:t>
                      </w:r>
                      <w:r>
                        <w:t>Domestic Court</w:t>
                      </w:r>
                      <w:r w:rsidRPr="00457DAB">
                        <w:t xml:space="preserve"> between January 2017 and December 2018, from a sample size of </w:t>
                      </w:r>
                      <w:r>
                        <w:t>5455</w:t>
                      </w:r>
                      <w:r w:rsidRPr="00457DAB">
                        <w:t>. Bar height corresponds to the number of respondents present for a given appearance (y-axis), with relative proportions of appearance type categories indicated within the bar</w:t>
                      </w:r>
                      <w:r w:rsidRPr="00E04F82">
                        <w:t>.</w:t>
                      </w:r>
                    </w:p>
                  </w:txbxContent>
                </v:textbox>
                <w10:wrap type="tight" anchorx="margin" anchory="margin"/>
              </v:shape>
            </w:pict>
          </mc:Fallback>
        </mc:AlternateContent>
      </w:r>
      <w:r>
        <w:rPr>
          <w:rFonts w:ascii="Times New Roman" w:hAnsi="Times New Roman" w:cs="Times New Roman"/>
          <w:noProof/>
          <w:sz w:val="24"/>
          <w:szCs w:val="24"/>
          <w:lang w:val="en-US"/>
        </w:rPr>
        <w:drawing>
          <wp:anchor distT="0" distB="0" distL="114300" distR="114300" simplePos="0" relativeHeight="255827456" behindDoc="1" locked="0" layoutInCell="1" allowOverlap="1" wp14:anchorId="5FBCA835" wp14:editId="64BBA773">
            <wp:simplePos x="0" y="0"/>
            <wp:positionH relativeFrom="margin">
              <wp:align>left</wp:align>
            </wp:positionH>
            <wp:positionV relativeFrom="page">
              <wp:posOffset>721360</wp:posOffset>
            </wp:positionV>
            <wp:extent cx="6845935" cy="3860800"/>
            <wp:effectExtent l="0" t="0" r="0" b="6350"/>
            <wp:wrapTight wrapText="bothSides">
              <wp:wrapPolygon edited="0">
                <wp:start x="0" y="0"/>
                <wp:lineTo x="0" y="21529"/>
                <wp:lineTo x="21518" y="21529"/>
                <wp:lineTo x="21518"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24">
                      <a:extLst>
                        <a:ext uri="{28A0092B-C50C-407E-A947-70E740481C1C}">
                          <a14:useLocalDpi xmlns:a14="http://schemas.microsoft.com/office/drawing/2010/main" val="0"/>
                        </a:ext>
                      </a:extLst>
                    </a:blip>
                    <a:srcRect t="1894" b="2208"/>
                    <a:stretch/>
                  </pic:blipFill>
                  <pic:spPr bwMode="auto">
                    <a:xfrm>
                      <a:off x="0" y="0"/>
                      <a:ext cx="6845935" cy="386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DD87C" w14:textId="71355260" w:rsidR="00B2467D" w:rsidRDefault="001C711B" w:rsidP="00B2467D">
      <w:pPr>
        <w:autoSpaceDE w:val="0"/>
        <w:autoSpaceDN w:val="0"/>
        <w:adjustRightInd w:val="0"/>
        <w:spacing w:after="0" w:line="240" w:lineRule="auto"/>
        <w:rPr>
          <w:rFonts w:ascii="Times New Roman" w:hAnsi="Times New Roman" w:cs="Times New Roman"/>
          <w:sz w:val="24"/>
          <w:szCs w:val="24"/>
        </w:rPr>
      </w:pPr>
      <w:r w:rsidRPr="00D17F36">
        <w:rPr>
          <w:noProof/>
          <w:lang w:val="en-US"/>
        </w:rPr>
        <w:lastRenderedPageBreak/>
        <mc:AlternateContent>
          <mc:Choice Requires="wps">
            <w:drawing>
              <wp:anchor distT="0" distB="0" distL="114300" distR="114300" simplePos="0" relativeHeight="256123392" behindDoc="1" locked="0" layoutInCell="1" allowOverlap="1" wp14:anchorId="1AD4B229" wp14:editId="0E13DAEB">
                <wp:simplePos x="0" y="0"/>
                <wp:positionH relativeFrom="margin">
                  <wp:align>left</wp:align>
                </wp:positionH>
                <wp:positionV relativeFrom="margin">
                  <wp:posOffset>3999865</wp:posOffset>
                </wp:positionV>
                <wp:extent cx="6845300" cy="520700"/>
                <wp:effectExtent l="0" t="0" r="0" b="0"/>
                <wp:wrapTight wrapText="bothSides">
                  <wp:wrapPolygon edited="0">
                    <wp:start x="0" y="0"/>
                    <wp:lineTo x="0" y="20546"/>
                    <wp:lineTo x="21520" y="20546"/>
                    <wp:lineTo x="21520" y="0"/>
                    <wp:lineTo x="0" y="0"/>
                  </wp:wrapPolygon>
                </wp:wrapTight>
                <wp:docPr id="559" name="Text Box 559"/>
                <wp:cNvGraphicFramePr/>
                <a:graphic xmlns:a="http://schemas.openxmlformats.org/drawingml/2006/main">
                  <a:graphicData uri="http://schemas.microsoft.com/office/word/2010/wordprocessingShape">
                    <wps:wsp>
                      <wps:cNvSpPr txBox="1"/>
                      <wps:spPr>
                        <a:xfrm>
                          <a:off x="0" y="0"/>
                          <a:ext cx="6845300" cy="520700"/>
                        </a:xfrm>
                        <a:prstGeom prst="rect">
                          <a:avLst/>
                        </a:prstGeom>
                        <a:solidFill>
                          <a:prstClr val="white"/>
                        </a:solidFill>
                        <a:ln>
                          <a:noFill/>
                        </a:ln>
                      </wps:spPr>
                      <wps:txbx>
                        <w:txbxContent>
                          <w:p w14:paraId="09D31454" w14:textId="5E4999A3" w:rsidR="00A56EB4" w:rsidRPr="00FA005F" w:rsidRDefault="00A56EB4" w:rsidP="001C711B">
                            <w:pPr>
                              <w:pStyle w:val="Caption"/>
                            </w:pPr>
                            <w:r w:rsidRPr="00B63B81">
                              <w:rPr>
                                <w:b/>
                                <w:bCs/>
                              </w:rPr>
                              <w:t xml:space="preserve">Figure </w:t>
                            </w:r>
                            <w:r>
                              <w:rPr>
                                <w:b/>
                                <w:bCs/>
                              </w:rPr>
                              <w:t>85</w:t>
                            </w:r>
                            <w:r w:rsidRPr="00E04F82">
                              <w:t xml:space="preserve">. A bar graph of </w:t>
                            </w:r>
                            <w:r>
                              <w:t xml:space="preserve">the frequency of various </w:t>
                            </w:r>
                            <w:r w:rsidRPr="00457DAB">
                              <w:t>appearance types</w:t>
                            </w:r>
                            <w:r>
                              <w:t xml:space="preserve"> in defendants with newcomer status</w:t>
                            </w:r>
                            <w:r w:rsidRPr="00457DAB">
                              <w:t xml:space="preserve">, as observed in Calgary’s </w:t>
                            </w:r>
                            <w:r>
                              <w:t>Domestic Court</w:t>
                            </w:r>
                            <w:r w:rsidRPr="00457DAB">
                              <w:t xml:space="preserve"> between January 2017 and December 2018, from a sample size of </w:t>
                            </w:r>
                            <w:r>
                              <w:t>334</w:t>
                            </w:r>
                            <w:r w:rsidRPr="00457DAB">
                              <w:t>. Bar height corresponds to the number of respondents present for a given appearance (y-axis), with relative proportions of appearance type categories indicated within the bar</w:t>
                            </w:r>
                            <w:r w:rsidRPr="00E04F8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B229" id="Text Box 559" o:spid="_x0000_s1157" type="#_x0000_t202" style="position:absolute;margin-left:0;margin-top:314.95pt;width:539pt;height:41pt;z-index:-2471930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" stroked="f">
                <v:textbox inset="0,0,0,0">
                  <w:txbxContent>
                    <w:p w14:paraId="09D31454" w14:textId="5E4999A3" w:rsidR="00A56EB4" w:rsidRPr="00FA005F" w:rsidRDefault="00A56EB4" w:rsidP="001C711B">
                      <w:pPr>
                        <w:pStyle w:val="Caption"/>
                      </w:pPr>
                      <w:r w:rsidRPr="00B63B81">
                        <w:rPr>
                          <w:b/>
                          <w:bCs/>
                        </w:rPr>
                        <w:t xml:space="preserve">Figure </w:t>
                      </w:r>
                      <w:r>
                        <w:rPr>
                          <w:b/>
                          <w:bCs/>
                        </w:rPr>
                        <w:t>85</w:t>
                      </w:r>
                      <w:r w:rsidRPr="00E04F82">
                        <w:t xml:space="preserve">. A bar graph of </w:t>
                      </w:r>
                      <w:r>
                        <w:t xml:space="preserve">the frequency of various </w:t>
                      </w:r>
                      <w:r w:rsidRPr="00457DAB">
                        <w:t>appearance types</w:t>
                      </w:r>
                      <w:r>
                        <w:t xml:space="preserve"> in defendants with newcomer status</w:t>
                      </w:r>
                      <w:r w:rsidRPr="00457DAB">
                        <w:t xml:space="preserve">, as observed in Calgary’s </w:t>
                      </w:r>
                      <w:r>
                        <w:t>Domestic Court</w:t>
                      </w:r>
                      <w:r w:rsidRPr="00457DAB">
                        <w:t xml:space="preserve"> between January 2017 and December 2018, from a sample size of </w:t>
                      </w:r>
                      <w:r>
                        <w:t>334</w:t>
                      </w:r>
                      <w:r w:rsidRPr="00457DAB">
                        <w:t>. Bar height corresponds to the number of respondents present for a given appearance (y-axis), with relative proportions of appearance type categories indicated within the bar</w:t>
                      </w:r>
                      <w:r w:rsidRPr="00E04F82">
                        <w:t>.</w:t>
                      </w:r>
                    </w:p>
                  </w:txbxContent>
                </v:textbox>
                <w10:wrap type="tight" anchorx="margin" anchory="margin"/>
              </v:shape>
            </w:pict>
          </mc:Fallback>
        </mc:AlternateContent>
      </w:r>
      <w:r w:rsidR="00290533">
        <w:rPr>
          <w:rFonts w:ascii="Times New Roman" w:hAnsi="Times New Roman" w:cs="Times New Roman"/>
          <w:noProof/>
          <w:sz w:val="24"/>
          <w:szCs w:val="24"/>
          <w:lang w:val="en-US"/>
        </w:rPr>
        <w:drawing>
          <wp:anchor distT="0" distB="0" distL="114300" distR="114300" simplePos="0" relativeHeight="256034304" behindDoc="1" locked="0" layoutInCell="1" allowOverlap="1" wp14:anchorId="1C2E1EC5" wp14:editId="2AC231AE">
            <wp:simplePos x="0" y="0"/>
            <wp:positionH relativeFrom="margin">
              <wp:align>right</wp:align>
            </wp:positionH>
            <wp:positionV relativeFrom="page">
              <wp:posOffset>787400</wp:posOffset>
            </wp:positionV>
            <wp:extent cx="6845300" cy="4036695"/>
            <wp:effectExtent l="0" t="0" r="0" b="1905"/>
            <wp:wrapTight wrapText="bothSides">
              <wp:wrapPolygon edited="0">
                <wp:start x="0" y="0"/>
                <wp:lineTo x="0" y="21508"/>
                <wp:lineTo x="21520" y="21508"/>
                <wp:lineTo x="21520" y="0"/>
                <wp:lineTo x="0" y="0"/>
              </wp:wrapPolygon>
            </wp:wrapTight>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45300" cy="40366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31"/>
        <w:tblpPr w:leftFromText="180" w:rightFromText="180" w:vertAnchor="page" w:horzAnchor="margin" w:tblpY="10291"/>
        <w:tblW w:w="0" w:type="auto"/>
        <w:tblLook w:val="04A0" w:firstRow="1" w:lastRow="0" w:firstColumn="1" w:lastColumn="0" w:noHBand="0" w:noVBand="1"/>
      </w:tblPr>
      <w:tblGrid>
        <w:gridCol w:w="1870"/>
        <w:gridCol w:w="1870"/>
        <w:gridCol w:w="1870"/>
        <w:gridCol w:w="1558"/>
      </w:tblGrid>
      <w:tr w:rsidR="00EF3BDE" w14:paraId="0DA4DA16" w14:textId="77777777" w:rsidTr="00EF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8" w:type="dxa"/>
            <w:gridSpan w:val="4"/>
          </w:tcPr>
          <w:p w14:paraId="7924A397" w14:textId="77777777" w:rsidR="00EF3BDE" w:rsidRDefault="00EF3BDE" w:rsidP="00EF3BDE">
            <w:pPr>
              <w:jc w:val="center"/>
            </w:pPr>
            <w:r>
              <w:t>Court Attendees of Indigenous Status</w:t>
            </w:r>
          </w:p>
        </w:tc>
      </w:tr>
      <w:tr w:rsidR="00EF3BDE" w14:paraId="66DFBC1A" w14:textId="77777777" w:rsidTr="00EF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hemeFill="background1" w:themeFillShade="D9"/>
          </w:tcPr>
          <w:p w14:paraId="084F25C8" w14:textId="77777777" w:rsidR="00EF3BDE" w:rsidRDefault="00EF3BDE" w:rsidP="00EF3BDE">
            <w:pPr>
              <w:jc w:val="center"/>
            </w:pPr>
          </w:p>
        </w:tc>
        <w:tc>
          <w:tcPr>
            <w:tcW w:w="1870" w:type="dxa"/>
            <w:shd w:val="clear" w:color="auto" w:fill="D9D9D9" w:themeFill="background1" w:themeFillShade="D9"/>
          </w:tcPr>
          <w:p w14:paraId="5F692E70" w14:textId="77777777" w:rsidR="00EF3BDE" w:rsidRPr="00203D6F" w:rsidRDefault="00EF3BDE" w:rsidP="00EF3BDE">
            <w:pPr>
              <w:jc w:val="center"/>
              <w:cnfStyle w:val="000000100000" w:firstRow="0" w:lastRow="0" w:firstColumn="0" w:lastColumn="0" w:oddVBand="0" w:evenVBand="0" w:oddHBand="1" w:evenHBand="0" w:firstRowFirstColumn="0" w:firstRowLastColumn="0" w:lastRowFirstColumn="0" w:lastRowLastColumn="0"/>
              <w:rPr>
                <w:b/>
                <w:bCs/>
              </w:rPr>
            </w:pPr>
            <w:r w:rsidRPr="00203D6F">
              <w:rPr>
                <w:b/>
                <w:bCs/>
              </w:rPr>
              <w:t>X</w:t>
            </w:r>
            <w:r w:rsidRPr="00203D6F">
              <w:rPr>
                <w:b/>
                <w:bCs/>
                <w:vertAlign w:val="superscript"/>
              </w:rPr>
              <w:t>2</w:t>
            </w:r>
            <w:r w:rsidRPr="00203D6F">
              <w:rPr>
                <w:b/>
                <w:bCs/>
              </w:rPr>
              <w:t xml:space="preserve"> Value</w:t>
            </w:r>
          </w:p>
        </w:tc>
        <w:tc>
          <w:tcPr>
            <w:tcW w:w="1870" w:type="dxa"/>
            <w:shd w:val="clear" w:color="auto" w:fill="D9D9D9" w:themeFill="background1" w:themeFillShade="D9"/>
          </w:tcPr>
          <w:p w14:paraId="61277526" w14:textId="77777777" w:rsidR="00EF3BDE" w:rsidRPr="00203D6F" w:rsidRDefault="00EF3BDE" w:rsidP="00EF3BDE">
            <w:pPr>
              <w:jc w:val="center"/>
              <w:cnfStyle w:val="000000100000" w:firstRow="0" w:lastRow="0" w:firstColumn="0" w:lastColumn="0" w:oddVBand="0" w:evenVBand="0" w:oddHBand="1" w:evenHBand="0" w:firstRowFirstColumn="0" w:firstRowLastColumn="0" w:lastRowFirstColumn="0" w:lastRowLastColumn="0"/>
              <w:rPr>
                <w:b/>
                <w:bCs/>
              </w:rPr>
            </w:pPr>
            <w:r w:rsidRPr="00203D6F">
              <w:rPr>
                <w:b/>
                <w:bCs/>
              </w:rPr>
              <w:t>p-value</w:t>
            </w:r>
          </w:p>
        </w:tc>
        <w:tc>
          <w:tcPr>
            <w:tcW w:w="1558" w:type="dxa"/>
            <w:shd w:val="clear" w:color="auto" w:fill="D9D9D9" w:themeFill="background1" w:themeFillShade="D9"/>
          </w:tcPr>
          <w:p w14:paraId="41C61350" w14:textId="77777777" w:rsidR="00EF3BDE" w:rsidRPr="00203D6F" w:rsidRDefault="00EF3BDE" w:rsidP="00EF3BDE">
            <w:pPr>
              <w:jc w:val="center"/>
              <w:cnfStyle w:val="000000100000" w:firstRow="0" w:lastRow="0" w:firstColumn="0" w:lastColumn="0" w:oddVBand="0" w:evenVBand="0" w:oddHBand="1" w:evenHBand="0" w:firstRowFirstColumn="0" w:firstRowLastColumn="0" w:lastRowFirstColumn="0" w:lastRowLastColumn="0"/>
              <w:rPr>
                <w:b/>
                <w:bCs/>
              </w:rPr>
            </w:pPr>
            <w:r w:rsidRPr="00203D6F">
              <w:rPr>
                <w:b/>
                <w:bCs/>
              </w:rPr>
              <w:t>Odds Ratio</w:t>
            </w:r>
          </w:p>
        </w:tc>
      </w:tr>
      <w:tr w:rsidR="00EF3BDE" w14:paraId="5A60221B" w14:textId="77777777" w:rsidTr="00EF3BDE">
        <w:tc>
          <w:tcPr>
            <w:cnfStyle w:val="001000000000" w:firstRow="0" w:lastRow="0" w:firstColumn="1" w:lastColumn="0" w:oddVBand="0" w:evenVBand="0" w:oddHBand="0" w:evenHBand="0" w:firstRowFirstColumn="0" w:firstRowLastColumn="0" w:lastRowFirstColumn="0" w:lastRowLastColumn="0"/>
            <w:tcW w:w="1870" w:type="dxa"/>
          </w:tcPr>
          <w:p w14:paraId="30401BB2" w14:textId="77777777" w:rsidR="00EF3BDE" w:rsidRDefault="00EF3BDE" w:rsidP="00EF3BDE">
            <w:r>
              <w:t xml:space="preserve">Adjournment </w:t>
            </w:r>
          </w:p>
        </w:tc>
        <w:tc>
          <w:tcPr>
            <w:tcW w:w="1870" w:type="dxa"/>
          </w:tcPr>
          <w:p w14:paraId="267344DF" w14:textId="77777777" w:rsidR="00EF3BDE" w:rsidRDefault="00EF3BDE" w:rsidP="00EF3BDE">
            <w:pPr>
              <w:jc w:val="center"/>
              <w:cnfStyle w:val="000000000000" w:firstRow="0" w:lastRow="0" w:firstColumn="0" w:lastColumn="0" w:oddVBand="0" w:evenVBand="0" w:oddHBand="0" w:evenHBand="0" w:firstRowFirstColumn="0" w:firstRowLastColumn="0" w:lastRowFirstColumn="0" w:lastRowLastColumn="0"/>
            </w:pPr>
            <w:r>
              <w:t>8.67</w:t>
            </w:r>
          </w:p>
        </w:tc>
        <w:tc>
          <w:tcPr>
            <w:tcW w:w="1870" w:type="dxa"/>
          </w:tcPr>
          <w:p w14:paraId="2F25E43F" w14:textId="77777777" w:rsidR="00EF3BDE" w:rsidRDefault="00EF3BDE" w:rsidP="00EF3BDE">
            <w:pPr>
              <w:jc w:val="center"/>
              <w:cnfStyle w:val="000000000000" w:firstRow="0" w:lastRow="0" w:firstColumn="0" w:lastColumn="0" w:oddVBand="0" w:evenVBand="0" w:oddHBand="0" w:evenHBand="0" w:firstRowFirstColumn="0" w:firstRowLastColumn="0" w:lastRowFirstColumn="0" w:lastRowLastColumn="0"/>
            </w:pPr>
            <w:r>
              <w:t>&lt;0.01</w:t>
            </w:r>
          </w:p>
        </w:tc>
        <w:tc>
          <w:tcPr>
            <w:tcW w:w="1558" w:type="dxa"/>
          </w:tcPr>
          <w:p w14:paraId="5BB2186E" w14:textId="77777777" w:rsidR="00EF3BDE" w:rsidRDefault="00EF3BDE" w:rsidP="00EF3BDE">
            <w:pPr>
              <w:jc w:val="center"/>
              <w:cnfStyle w:val="000000000000" w:firstRow="0" w:lastRow="0" w:firstColumn="0" w:lastColumn="0" w:oddVBand="0" w:evenVBand="0" w:oddHBand="0" w:evenHBand="0" w:firstRowFirstColumn="0" w:firstRowLastColumn="0" w:lastRowFirstColumn="0" w:lastRowLastColumn="0"/>
            </w:pPr>
            <w:r>
              <w:t>0.13</w:t>
            </w:r>
          </w:p>
        </w:tc>
      </w:tr>
      <w:tr w:rsidR="00EF3BDE" w14:paraId="3EECD433" w14:textId="77777777" w:rsidTr="00EF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8" w:type="dxa"/>
            <w:gridSpan w:val="4"/>
            <w:shd w:val="clear" w:color="auto" w:fill="336699" w:themeFill="accent4"/>
          </w:tcPr>
          <w:p w14:paraId="35094019" w14:textId="77777777" w:rsidR="00EF3BDE" w:rsidRDefault="00EF3BDE" w:rsidP="00EF3BDE">
            <w:pPr>
              <w:tabs>
                <w:tab w:val="left" w:pos="705"/>
                <w:tab w:val="center" w:pos="3476"/>
              </w:tabs>
            </w:pPr>
            <w:r>
              <w:rPr>
                <w:color w:val="FFFFFF" w:themeColor="background1"/>
              </w:rPr>
              <w:tab/>
            </w:r>
            <w:r>
              <w:rPr>
                <w:color w:val="FFFFFF" w:themeColor="background1"/>
              </w:rPr>
              <w:tab/>
            </w:r>
            <w:r w:rsidRPr="00203D6F">
              <w:rPr>
                <w:color w:val="FFFFFF" w:themeColor="background1"/>
              </w:rPr>
              <w:t>Court Attendees of Newcomer Status</w:t>
            </w:r>
          </w:p>
        </w:tc>
      </w:tr>
      <w:tr w:rsidR="00EF3BDE" w14:paraId="192BA063" w14:textId="77777777" w:rsidTr="00EF3BDE">
        <w:tc>
          <w:tcPr>
            <w:cnfStyle w:val="001000000000" w:firstRow="0" w:lastRow="0" w:firstColumn="1" w:lastColumn="0" w:oddVBand="0" w:evenVBand="0" w:oddHBand="0" w:evenHBand="0" w:firstRowFirstColumn="0" w:firstRowLastColumn="0" w:lastRowFirstColumn="0" w:lastRowLastColumn="0"/>
            <w:tcW w:w="1870" w:type="dxa"/>
            <w:shd w:val="clear" w:color="auto" w:fill="D9D9D9" w:themeFill="background1" w:themeFillShade="D9"/>
          </w:tcPr>
          <w:p w14:paraId="1E958F8E" w14:textId="77777777" w:rsidR="00EF3BDE" w:rsidRDefault="00EF3BDE" w:rsidP="00EF3BDE"/>
        </w:tc>
        <w:tc>
          <w:tcPr>
            <w:tcW w:w="1870" w:type="dxa"/>
            <w:shd w:val="clear" w:color="auto" w:fill="D9D9D9" w:themeFill="background1" w:themeFillShade="D9"/>
          </w:tcPr>
          <w:p w14:paraId="6AB10B0F" w14:textId="77777777" w:rsidR="00EF3BDE" w:rsidRPr="00203D6F" w:rsidRDefault="00EF3BDE" w:rsidP="00EF3BDE">
            <w:pPr>
              <w:jc w:val="center"/>
              <w:cnfStyle w:val="000000000000" w:firstRow="0" w:lastRow="0" w:firstColumn="0" w:lastColumn="0" w:oddVBand="0" w:evenVBand="0" w:oddHBand="0" w:evenHBand="0" w:firstRowFirstColumn="0" w:firstRowLastColumn="0" w:lastRowFirstColumn="0" w:lastRowLastColumn="0"/>
              <w:rPr>
                <w:b/>
                <w:bCs/>
              </w:rPr>
            </w:pPr>
            <w:r w:rsidRPr="00203D6F">
              <w:rPr>
                <w:b/>
                <w:bCs/>
              </w:rPr>
              <w:t>X</w:t>
            </w:r>
            <w:r w:rsidRPr="00203D6F">
              <w:rPr>
                <w:b/>
                <w:bCs/>
                <w:vertAlign w:val="superscript"/>
              </w:rPr>
              <w:t>2</w:t>
            </w:r>
            <w:r w:rsidRPr="00203D6F">
              <w:rPr>
                <w:b/>
                <w:bCs/>
              </w:rPr>
              <w:t xml:space="preserve"> Value</w:t>
            </w:r>
          </w:p>
        </w:tc>
        <w:tc>
          <w:tcPr>
            <w:tcW w:w="1870" w:type="dxa"/>
            <w:shd w:val="clear" w:color="auto" w:fill="D9D9D9" w:themeFill="background1" w:themeFillShade="D9"/>
          </w:tcPr>
          <w:p w14:paraId="25021B70" w14:textId="77777777" w:rsidR="00EF3BDE" w:rsidRPr="00203D6F" w:rsidRDefault="00EF3BDE" w:rsidP="00EF3BDE">
            <w:pPr>
              <w:jc w:val="center"/>
              <w:cnfStyle w:val="000000000000" w:firstRow="0" w:lastRow="0" w:firstColumn="0" w:lastColumn="0" w:oddVBand="0" w:evenVBand="0" w:oddHBand="0" w:evenHBand="0" w:firstRowFirstColumn="0" w:firstRowLastColumn="0" w:lastRowFirstColumn="0" w:lastRowLastColumn="0"/>
              <w:rPr>
                <w:b/>
                <w:bCs/>
              </w:rPr>
            </w:pPr>
            <w:r w:rsidRPr="00203D6F">
              <w:rPr>
                <w:b/>
                <w:bCs/>
              </w:rPr>
              <w:t>p-value</w:t>
            </w:r>
          </w:p>
        </w:tc>
        <w:tc>
          <w:tcPr>
            <w:tcW w:w="1558" w:type="dxa"/>
            <w:shd w:val="clear" w:color="auto" w:fill="D9D9D9" w:themeFill="background1" w:themeFillShade="D9"/>
          </w:tcPr>
          <w:p w14:paraId="5CE35B1F" w14:textId="77777777" w:rsidR="00EF3BDE" w:rsidRPr="00203D6F" w:rsidRDefault="00EF3BDE" w:rsidP="00EF3BDE">
            <w:pPr>
              <w:jc w:val="center"/>
              <w:cnfStyle w:val="000000000000" w:firstRow="0" w:lastRow="0" w:firstColumn="0" w:lastColumn="0" w:oddVBand="0" w:evenVBand="0" w:oddHBand="0" w:evenHBand="0" w:firstRowFirstColumn="0" w:firstRowLastColumn="0" w:lastRowFirstColumn="0" w:lastRowLastColumn="0"/>
              <w:rPr>
                <w:b/>
                <w:bCs/>
              </w:rPr>
            </w:pPr>
            <w:r w:rsidRPr="00203D6F">
              <w:rPr>
                <w:b/>
                <w:bCs/>
              </w:rPr>
              <w:t>Odds Ratio</w:t>
            </w:r>
          </w:p>
        </w:tc>
      </w:tr>
      <w:tr w:rsidR="00EF3BDE" w14:paraId="582D603F" w14:textId="77777777" w:rsidTr="00EF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9B4AD90" w14:textId="77777777" w:rsidR="00EF3BDE" w:rsidRDefault="00EF3BDE" w:rsidP="00EF3BDE">
            <w:r>
              <w:t>Adjournment</w:t>
            </w:r>
          </w:p>
        </w:tc>
        <w:tc>
          <w:tcPr>
            <w:tcW w:w="1870" w:type="dxa"/>
          </w:tcPr>
          <w:p w14:paraId="63733E9C" w14:textId="77777777" w:rsidR="00EF3BDE" w:rsidRDefault="00EF3BDE" w:rsidP="00EF3BDE">
            <w:pPr>
              <w:jc w:val="center"/>
              <w:cnfStyle w:val="000000100000" w:firstRow="0" w:lastRow="0" w:firstColumn="0" w:lastColumn="0" w:oddVBand="0" w:evenVBand="0" w:oddHBand="1" w:evenHBand="0" w:firstRowFirstColumn="0" w:firstRowLastColumn="0" w:lastRowFirstColumn="0" w:lastRowLastColumn="0"/>
            </w:pPr>
            <w:r>
              <w:t>15.81</w:t>
            </w:r>
          </w:p>
        </w:tc>
        <w:tc>
          <w:tcPr>
            <w:tcW w:w="1870" w:type="dxa"/>
          </w:tcPr>
          <w:p w14:paraId="5735C395" w14:textId="77777777" w:rsidR="00EF3BDE" w:rsidRDefault="00EF3BDE" w:rsidP="00EF3BDE">
            <w:pPr>
              <w:jc w:val="center"/>
              <w:cnfStyle w:val="000000100000" w:firstRow="0" w:lastRow="0" w:firstColumn="0" w:lastColumn="0" w:oddVBand="0" w:evenVBand="0" w:oddHBand="1" w:evenHBand="0" w:firstRowFirstColumn="0" w:firstRowLastColumn="0" w:lastRowFirstColumn="0" w:lastRowLastColumn="0"/>
            </w:pPr>
            <w:r>
              <w:t>&lt;0.01</w:t>
            </w:r>
          </w:p>
        </w:tc>
        <w:tc>
          <w:tcPr>
            <w:tcW w:w="1558" w:type="dxa"/>
          </w:tcPr>
          <w:p w14:paraId="449D0DF6" w14:textId="77777777" w:rsidR="00EF3BDE" w:rsidRDefault="00EF3BDE" w:rsidP="00EF3BDE">
            <w:pPr>
              <w:jc w:val="center"/>
              <w:cnfStyle w:val="000000100000" w:firstRow="0" w:lastRow="0" w:firstColumn="0" w:lastColumn="0" w:oddVBand="0" w:evenVBand="0" w:oddHBand="1" w:evenHBand="0" w:firstRowFirstColumn="0" w:firstRowLastColumn="0" w:lastRowFirstColumn="0" w:lastRowLastColumn="0"/>
            </w:pPr>
            <w:r>
              <w:t>0.38</w:t>
            </w:r>
          </w:p>
        </w:tc>
      </w:tr>
      <w:tr w:rsidR="00EF3BDE" w14:paraId="59C416FF" w14:textId="77777777" w:rsidTr="00EF3BDE">
        <w:tc>
          <w:tcPr>
            <w:cnfStyle w:val="001000000000" w:firstRow="0" w:lastRow="0" w:firstColumn="1" w:lastColumn="0" w:oddVBand="0" w:evenVBand="0" w:oddHBand="0" w:evenHBand="0" w:firstRowFirstColumn="0" w:firstRowLastColumn="0" w:lastRowFirstColumn="0" w:lastRowLastColumn="0"/>
            <w:tcW w:w="1870" w:type="dxa"/>
          </w:tcPr>
          <w:p w14:paraId="5FD22E78" w14:textId="77777777" w:rsidR="00EF3BDE" w:rsidRDefault="00EF3BDE" w:rsidP="00EF3BDE">
            <w:r>
              <w:t xml:space="preserve">Legal Advice </w:t>
            </w:r>
          </w:p>
        </w:tc>
        <w:tc>
          <w:tcPr>
            <w:tcW w:w="1870" w:type="dxa"/>
          </w:tcPr>
          <w:p w14:paraId="1D4DACC7" w14:textId="77777777" w:rsidR="00EF3BDE" w:rsidRDefault="00EF3BDE" w:rsidP="00EF3BDE">
            <w:pPr>
              <w:jc w:val="center"/>
              <w:cnfStyle w:val="000000000000" w:firstRow="0" w:lastRow="0" w:firstColumn="0" w:lastColumn="0" w:oddVBand="0" w:evenVBand="0" w:oddHBand="0" w:evenHBand="0" w:firstRowFirstColumn="0" w:firstRowLastColumn="0" w:lastRowFirstColumn="0" w:lastRowLastColumn="0"/>
            </w:pPr>
            <w:r>
              <w:t>10.32</w:t>
            </w:r>
          </w:p>
        </w:tc>
        <w:tc>
          <w:tcPr>
            <w:tcW w:w="1870" w:type="dxa"/>
          </w:tcPr>
          <w:p w14:paraId="47EA1972" w14:textId="77777777" w:rsidR="00EF3BDE" w:rsidRDefault="00EF3BDE" w:rsidP="00EF3BDE">
            <w:pPr>
              <w:jc w:val="center"/>
              <w:cnfStyle w:val="000000000000" w:firstRow="0" w:lastRow="0" w:firstColumn="0" w:lastColumn="0" w:oddVBand="0" w:evenVBand="0" w:oddHBand="0" w:evenHBand="0" w:firstRowFirstColumn="0" w:firstRowLastColumn="0" w:lastRowFirstColumn="0" w:lastRowLastColumn="0"/>
            </w:pPr>
            <w:r>
              <w:t>&lt;0.01</w:t>
            </w:r>
          </w:p>
        </w:tc>
        <w:tc>
          <w:tcPr>
            <w:tcW w:w="1558" w:type="dxa"/>
          </w:tcPr>
          <w:p w14:paraId="7ADF0B5E" w14:textId="77777777" w:rsidR="00EF3BDE" w:rsidRDefault="00EF3BDE" w:rsidP="00EF3BDE">
            <w:pPr>
              <w:jc w:val="center"/>
              <w:cnfStyle w:val="000000000000" w:firstRow="0" w:lastRow="0" w:firstColumn="0" w:lastColumn="0" w:oddVBand="0" w:evenVBand="0" w:oddHBand="0" w:evenHBand="0" w:firstRowFirstColumn="0" w:firstRowLastColumn="0" w:lastRowFirstColumn="0" w:lastRowLastColumn="0"/>
            </w:pPr>
            <w:r>
              <w:t>1.44</w:t>
            </w:r>
          </w:p>
        </w:tc>
      </w:tr>
    </w:tbl>
    <w:p w14:paraId="14E2E948" w14:textId="1C708294" w:rsidR="00ED39B2" w:rsidRDefault="00EF3BDE" w:rsidP="00A35155">
      <w:r w:rsidRPr="0058740C">
        <w:rPr>
          <w:noProof/>
          <w:lang w:val="en-US"/>
        </w:rPr>
        <mc:AlternateContent>
          <mc:Choice Requires="wps">
            <w:drawing>
              <wp:anchor distT="0" distB="0" distL="114300" distR="114300" simplePos="0" relativeHeight="256153088" behindDoc="1" locked="0" layoutInCell="1" allowOverlap="1" wp14:anchorId="27D2B8EF" wp14:editId="4BEDFC14">
                <wp:simplePos x="0" y="0"/>
                <wp:positionH relativeFrom="margin">
                  <wp:posOffset>6350</wp:posOffset>
                </wp:positionH>
                <wp:positionV relativeFrom="margin">
                  <wp:posOffset>4733290</wp:posOffset>
                </wp:positionV>
                <wp:extent cx="4490085" cy="962025"/>
                <wp:effectExtent l="0" t="0" r="5715" b="9525"/>
                <wp:wrapTight wrapText="bothSides">
                  <wp:wrapPolygon edited="0">
                    <wp:start x="0" y="0"/>
                    <wp:lineTo x="0" y="21386"/>
                    <wp:lineTo x="21536" y="21386"/>
                    <wp:lineTo x="21536" y="0"/>
                    <wp:lineTo x="0" y="0"/>
                  </wp:wrapPolygon>
                </wp:wrapTight>
                <wp:docPr id="561" name="Text Box 561"/>
                <wp:cNvGraphicFramePr/>
                <a:graphic xmlns:a="http://schemas.openxmlformats.org/drawingml/2006/main">
                  <a:graphicData uri="http://schemas.microsoft.com/office/word/2010/wordprocessingShape">
                    <wps:wsp>
                      <wps:cNvSpPr txBox="1"/>
                      <wps:spPr>
                        <a:xfrm>
                          <a:off x="0" y="0"/>
                          <a:ext cx="4490085" cy="962025"/>
                        </a:xfrm>
                        <a:prstGeom prst="rect">
                          <a:avLst/>
                        </a:prstGeom>
                        <a:solidFill>
                          <a:prstClr val="white"/>
                        </a:solidFill>
                        <a:ln>
                          <a:noFill/>
                        </a:ln>
                      </wps:spPr>
                      <wps:txbx>
                        <w:txbxContent>
                          <w:p w14:paraId="0E4FB33C" w14:textId="112AB0B0" w:rsidR="00A56EB4" w:rsidRPr="00177D78" w:rsidRDefault="00A56EB4" w:rsidP="00EF3BDE">
                            <w:pPr>
                              <w:pStyle w:val="Caption"/>
                              <w:rPr>
                                <w:b/>
                                <w:bCs/>
                              </w:rPr>
                            </w:pPr>
                            <w:r>
                              <w:rPr>
                                <w:b/>
                                <w:bCs/>
                              </w:rPr>
                              <w:t>Table 31</w:t>
                            </w:r>
                            <w:r w:rsidRPr="00B63B81">
                              <w:rPr>
                                <w:b/>
                                <w:bCs/>
                              </w:rPr>
                              <w:t>.</w:t>
                            </w:r>
                            <w:r>
                              <w:t xml:space="preserve"> Statistically significant (p&lt;0.05) relationships observed between minority status and frequency of specific appearance types in Calgary’s Domestic Court, between January 2017 and December 2018. Chi-squared values of p&lt;0.05 indicate the presence of a relationship between minority status and an appearance type, using frequencies of individuals without minority status for a null hypothesis. Odds ratios indicate the odds of a minority status having a given appearance type in Calgary’s Domestic Court, relative to individuals without minority status.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2B8EF" id="Text Box 561" o:spid="_x0000_s1158" type="#_x0000_t202" style="position:absolute;margin-left:.5pt;margin-top:372.7pt;width:353.55pt;height:75.75pt;z-index:-24716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" stroked="f">
                <v:textbox inset="0,0,0,0">
                  <w:txbxContent>
                    <w:p w14:paraId="0E4FB33C" w14:textId="112AB0B0" w:rsidR="00A56EB4" w:rsidRPr="00177D78" w:rsidRDefault="00A56EB4" w:rsidP="00EF3BDE">
                      <w:pPr>
                        <w:pStyle w:val="Caption"/>
                        <w:rPr>
                          <w:b/>
                          <w:bCs/>
                        </w:rPr>
                      </w:pPr>
                      <w:r>
                        <w:rPr>
                          <w:b/>
                          <w:bCs/>
                        </w:rPr>
                        <w:t>Table 31</w:t>
                      </w:r>
                      <w:r w:rsidRPr="00B63B81">
                        <w:rPr>
                          <w:b/>
                          <w:bCs/>
                        </w:rPr>
                        <w:t>.</w:t>
                      </w:r>
                      <w:r>
                        <w:t xml:space="preserve"> Statistically significant (p&lt;0.05) relationships observed between minority status and frequency of specific appearance types in Calgary’s Domestic Court, between January 2017 and December 2018. Chi-squared values of p&lt;0.05 indicate the presence of a relationship between minority status and an appearance type, using frequencies of individuals without minority status for a null hypothesis. Odds ratios indicate the odds of a minority status having a given appearance type in Calgary’s Domestic Court, relative to individuals without minority status.  </w:t>
                      </w:r>
                    </w:p>
                  </w:txbxContent>
                </v:textbox>
                <w10:wrap type="tight" anchorx="margin" anchory="margin"/>
              </v:shape>
            </w:pict>
          </mc:Fallback>
        </mc:AlternateContent>
      </w:r>
      <w:r w:rsidR="00ED39B2" w:rsidRPr="00F64463">
        <w:t xml:space="preserve">It was observed that attendees </w:t>
      </w:r>
      <w:r w:rsidR="00BE32B1">
        <w:t xml:space="preserve">of Calgary’s </w:t>
      </w:r>
      <w:r w:rsidR="007952BD">
        <w:t>Domestic Court</w:t>
      </w:r>
      <w:r w:rsidR="00BE32B1">
        <w:t>, for which data was available, were most often (79.71</w:t>
      </w:r>
      <w:r w:rsidR="00C619BB">
        <w:t>%) present</w:t>
      </w:r>
      <w:r w:rsidR="00BE32B1">
        <w:t xml:space="preserve"> for their first appearance in court, with an inverse relationship between attendee count and increasing appearance number </w:t>
      </w:r>
      <w:r w:rsidR="00ED39B2" w:rsidRPr="00F64463">
        <w:t>(</w:t>
      </w:r>
      <w:r w:rsidR="00047052">
        <w:t>Figure 81</w:t>
      </w:r>
      <w:r w:rsidR="00ED39B2" w:rsidRPr="00F64463">
        <w:t xml:space="preserve">). </w:t>
      </w:r>
      <w:r w:rsidR="000A3897">
        <w:t>Across all minority status classifications, the most common appearance type amongst defendants was ‘legal advice’ (Figure 82, 83, 84</w:t>
      </w:r>
      <w:r w:rsidR="00C619BB">
        <w:t>, 85</w:t>
      </w:r>
      <w:r w:rsidR="000A3897">
        <w:t>); this is particularly true of newcomers, of which 58.38% sought legal advice (Figure 8</w:t>
      </w:r>
      <w:r w:rsidR="00C619BB">
        <w:t>5</w:t>
      </w:r>
      <w:r w:rsidR="000A3897">
        <w:t>).</w:t>
      </w:r>
      <w:r w:rsidR="00677513">
        <w:t xml:space="preserve"> </w:t>
      </w:r>
      <w:r w:rsidR="006B3EE3">
        <w:t xml:space="preserve">Statistically significant relationships between appearance type and minority status were noted. Indigenous defendants had 0.13X the odds of defendants without minority status of being present for adjournment in Calgary’s </w:t>
      </w:r>
      <w:r w:rsidR="007952BD">
        <w:t>Domestic Court</w:t>
      </w:r>
      <w:r w:rsidR="006B3EE3">
        <w:t xml:space="preserve"> (Table 31). Similarly, defendants who were newcomers had 0.38X, and 1.44X the odds of defendants without minority status of being present for adjournment or legal advice in Calgary’s </w:t>
      </w:r>
      <w:r w:rsidR="007952BD">
        <w:t>Domestic Court</w:t>
      </w:r>
      <w:r w:rsidR="006B3EE3">
        <w:t>, respectively (Table 31).</w:t>
      </w:r>
      <w:r w:rsidR="00ED39B2" w:rsidRPr="00F64463">
        <w:t>Most (</w:t>
      </w:r>
      <w:r w:rsidR="00ED39B2">
        <w:t>62.15</w:t>
      </w:r>
      <w:r w:rsidR="00ED39B2" w:rsidRPr="00F64463">
        <w:t xml:space="preserve">%) attendees received services through the organization </w:t>
      </w:r>
      <w:r w:rsidR="008E5977">
        <w:t>for</w:t>
      </w:r>
      <w:r w:rsidR="00ED39B2" w:rsidRPr="00F64463">
        <w:t xml:space="preserve"> a duration of 0-4 minutes</w:t>
      </w:r>
      <w:r w:rsidR="008E5977">
        <w:t xml:space="preserve">; </w:t>
      </w:r>
      <w:r w:rsidR="00ED39B2" w:rsidRPr="008E5977">
        <w:t>an inverse relationship</w:t>
      </w:r>
      <w:r w:rsidR="008E5977" w:rsidRPr="008E5977">
        <w:t xml:space="preserve"> </w:t>
      </w:r>
      <w:r w:rsidR="00ED39B2" w:rsidRPr="008E5977">
        <w:t>between in</w:t>
      </w:r>
      <w:r w:rsidR="00ED39B2" w:rsidRPr="00F64463">
        <w:t>creasing service length and attendee count</w:t>
      </w:r>
      <w:r w:rsidR="00ED39B2">
        <w:t xml:space="preserve"> was apparent (Table </w:t>
      </w:r>
      <w:r w:rsidR="00722F43">
        <w:t>3</w:t>
      </w:r>
      <w:r w:rsidR="001229AC">
        <w:t>2</w:t>
      </w:r>
      <w:r w:rsidR="00ED39B2">
        <w:t>)</w:t>
      </w:r>
      <w:r w:rsidR="00ED39B2" w:rsidRPr="00F64463">
        <w:t xml:space="preserve">. </w:t>
      </w:r>
      <w:r w:rsidR="008B414C">
        <w:t>Only 0.04% of defendants required support exceeding 15 minutes (Table 32).</w:t>
      </w:r>
    </w:p>
    <w:p w14:paraId="77FBA38C" w14:textId="5BD8B119" w:rsidR="00184A57" w:rsidRDefault="002C4860" w:rsidP="00A35155">
      <w:r>
        <w:rPr>
          <w:noProof/>
          <w:lang w:val="en-US"/>
        </w:rPr>
        <w:lastRenderedPageBreak/>
        <mc:AlternateContent>
          <mc:Choice Requires="wps">
            <w:drawing>
              <wp:anchor distT="0" distB="0" distL="114300" distR="114300" simplePos="0" relativeHeight="246905344" behindDoc="1" locked="0" layoutInCell="1" allowOverlap="1" wp14:anchorId="0A16F67F" wp14:editId="3AE765DC">
                <wp:simplePos x="0" y="0"/>
                <wp:positionH relativeFrom="margin">
                  <wp:align>left</wp:align>
                </wp:positionH>
                <wp:positionV relativeFrom="margin">
                  <wp:posOffset>11430</wp:posOffset>
                </wp:positionV>
                <wp:extent cx="3324225" cy="419100"/>
                <wp:effectExtent l="0" t="0" r="9525" b="0"/>
                <wp:wrapTight wrapText="bothSides">
                  <wp:wrapPolygon edited="0">
                    <wp:start x="0" y="0"/>
                    <wp:lineTo x="0" y="20618"/>
                    <wp:lineTo x="21538" y="20618"/>
                    <wp:lineTo x="21538" y="0"/>
                    <wp:lineTo x="0" y="0"/>
                  </wp:wrapPolygon>
                </wp:wrapTight>
                <wp:docPr id="560" name="Text Box 560"/>
                <wp:cNvGraphicFramePr/>
                <a:graphic xmlns:a="http://schemas.openxmlformats.org/drawingml/2006/main">
                  <a:graphicData uri="http://schemas.microsoft.com/office/word/2010/wordprocessingShape">
                    <wps:wsp>
                      <wps:cNvSpPr txBox="1"/>
                      <wps:spPr>
                        <a:xfrm>
                          <a:off x="0" y="0"/>
                          <a:ext cx="3324225" cy="419100"/>
                        </a:xfrm>
                        <a:prstGeom prst="rect">
                          <a:avLst/>
                        </a:prstGeom>
                        <a:solidFill>
                          <a:prstClr val="white"/>
                        </a:solidFill>
                        <a:ln>
                          <a:noFill/>
                        </a:ln>
                      </wps:spPr>
                      <wps:txbx>
                        <w:txbxContent>
                          <w:p w14:paraId="44F71CA6" w14:textId="16076EFD" w:rsidR="00A56EB4" w:rsidRPr="0063408E" w:rsidRDefault="00A56EB4" w:rsidP="00CE64CB">
                            <w:pPr>
                              <w:pStyle w:val="Caption"/>
                            </w:pPr>
                            <w:r>
                              <w:rPr>
                                <w:b/>
                                <w:bCs/>
                              </w:rPr>
                              <w:t>Table 32</w:t>
                            </w:r>
                            <w:r w:rsidRPr="00B63B81">
                              <w:rPr>
                                <w:b/>
                                <w:bCs/>
                              </w:rPr>
                              <w:t>.</w:t>
                            </w:r>
                            <w:r>
                              <w:t xml:space="preserve"> Frequency and proportion of service length for Calgary’s Domestic Court attendees, between January 2017 and December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F67F" id="Text Box 560" o:spid="_x0000_s1159" type="#_x0000_t202" style="position:absolute;margin-left:0;margin-top:.9pt;width:261.75pt;height:33pt;z-index:-2564111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" stroked="f">
                <v:textbox inset="0,0,0,0">
                  <w:txbxContent>
                    <w:p w14:paraId="44F71CA6" w14:textId="16076EFD" w:rsidR="00A56EB4" w:rsidRPr="0063408E" w:rsidRDefault="00A56EB4" w:rsidP="00CE64CB">
                      <w:pPr>
                        <w:pStyle w:val="Caption"/>
                      </w:pPr>
                      <w:r>
                        <w:rPr>
                          <w:b/>
                          <w:bCs/>
                        </w:rPr>
                        <w:t>Table 32</w:t>
                      </w:r>
                      <w:r w:rsidRPr="00B63B81">
                        <w:rPr>
                          <w:b/>
                          <w:bCs/>
                        </w:rPr>
                        <w:t>.</w:t>
                      </w:r>
                      <w:r>
                        <w:t xml:space="preserve"> Frequency and proportion of service length for Calgary’s Domestic Court attendees, between January 2017 and December 2018</w:t>
                      </w:r>
                    </w:p>
                  </w:txbxContent>
                </v:textbox>
                <w10:wrap type="tight" anchorx="margin" anchory="margin"/>
              </v:shape>
            </w:pict>
          </mc:Fallback>
        </mc:AlternateContent>
      </w:r>
    </w:p>
    <w:p w14:paraId="0301264C" w14:textId="3B48F40A" w:rsidR="00184A57" w:rsidRDefault="00E46617" w:rsidP="00A35155">
      <w:r>
        <w:rPr>
          <w:noProof/>
        </w:rPr>
        <w:drawing>
          <wp:anchor distT="0" distB="0" distL="114300" distR="114300" simplePos="0" relativeHeight="246936064" behindDoc="1" locked="0" layoutInCell="1" allowOverlap="1" wp14:anchorId="2C9F8A01" wp14:editId="0A065488">
            <wp:simplePos x="0" y="0"/>
            <wp:positionH relativeFrom="column">
              <wp:posOffset>-3418205</wp:posOffset>
            </wp:positionH>
            <wp:positionV relativeFrom="page">
              <wp:posOffset>1128414</wp:posOffset>
            </wp:positionV>
            <wp:extent cx="3324225" cy="1924050"/>
            <wp:effectExtent l="0" t="0" r="9525" b="0"/>
            <wp:wrapTight wrapText="bothSides">
              <wp:wrapPolygon edited="0">
                <wp:start x="0" y="0"/>
                <wp:lineTo x="0" y="21386"/>
                <wp:lineTo x="21538" y="21386"/>
                <wp:lineTo x="21538" y="0"/>
                <wp:lineTo x="0" y="0"/>
              </wp:wrapPolygon>
            </wp:wrapTight>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3324225" cy="1924050"/>
                    </a:xfrm>
                    <a:prstGeom prst="rect">
                      <a:avLst/>
                    </a:prstGeom>
                  </pic:spPr>
                </pic:pic>
              </a:graphicData>
            </a:graphic>
          </wp:anchor>
        </w:drawing>
      </w:r>
    </w:p>
    <w:p w14:paraId="13802211" w14:textId="155D6719" w:rsidR="00184A57" w:rsidRDefault="00184A57" w:rsidP="00A35155"/>
    <w:p w14:paraId="7DC65EE9" w14:textId="7FD01E54" w:rsidR="00184A57" w:rsidRDefault="00184A57" w:rsidP="00A35155"/>
    <w:p w14:paraId="6B272CA7" w14:textId="427A3D5B" w:rsidR="00184A57" w:rsidRDefault="00184A57" w:rsidP="00A35155"/>
    <w:p w14:paraId="7C45AC2B" w14:textId="4AF00A66" w:rsidR="00184A57" w:rsidRDefault="00184A57" w:rsidP="00A35155"/>
    <w:p w14:paraId="2B22A46F" w14:textId="154B505A" w:rsidR="00184A57" w:rsidRDefault="00184A57" w:rsidP="00A35155"/>
    <w:p w14:paraId="1DA6C46A" w14:textId="56CCBE03" w:rsidR="00184A57" w:rsidRDefault="00184A57" w:rsidP="00A35155"/>
    <w:p w14:paraId="55C3D54E" w14:textId="1EB00879" w:rsidR="00184A57" w:rsidRDefault="00184A57" w:rsidP="00A35155"/>
    <w:p w14:paraId="5C71B166" w14:textId="206491E6" w:rsidR="005A7CC9" w:rsidRPr="008235F0" w:rsidRDefault="008235F0" w:rsidP="002C4860">
      <w:pPr>
        <w:rPr>
          <w:rFonts w:ascii="Times New Roman" w:hAnsi="Times New Roman" w:cs="Times New Roman"/>
        </w:rPr>
      </w:pPr>
      <w:r>
        <w:rPr>
          <w:rFonts w:ascii="Times New Roman" w:hAnsi="Times New Roman" w:cs="Times New Roman"/>
        </w:rPr>
        <w:br w:type="page"/>
      </w:r>
    </w:p>
    <w:p w14:paraId="4FAE5FDE" w14:textId="7E8B69F1" w:rsidR="00EE28B6" w:rsidRDefault="002C6BBB" w:rsidP="00EE28B6">
      <w:pPr>
        <w:pStyle w:val="Heading1"/>
      </w:pPr>
      <w:bookmarkStart w:id="43" w:name="_Toc16262355"/>
      <w:r>
        <w:lastRenderedPageBreak/>
        <w:t>Discussion</w:t>
      </w:r>
      <w:bookmarkEnd w:id="43"/>
      <w:r>
        <w:t xml:space="preserve"> </w:t>
      </w:r>
    </w:p>
    <w:p w14:paraId="10BB129C" w14:textId="1A810C1A" w:rsidR="009A639C" w:rsidRDefault="00EE28B6" w:rsidP="009A639C">
      <w:pPr>
        <w:pStyle w:val="Heading2"/>
      </w:pPr>
      <w:bookmarkStart w:id="44" w:name="_Toc16262356"/>
      <w:r>
        <w:t>Gender Distribution</w:t>
      </w:r>
      <w:bookmarkEnd w:id="44"/>
      <w:r>
        <w:t xml:space="preserve"> </w:t>
      </w:r>
    </w:p>
    <w:p w14:paraId="7E5DFB78" w14:textId="6CE80AE2" w:rsidR="00CB542C" w:rsidRDefault="00CB542C" w:rsidP="00CB542C">
      <w:pPr>
        <w:pStyle w:val="Heading3"/>
      </w:pPr>
      <w:bookmarkStart w:id="45" w:name="_Toc16262357"/>
      <w:r>
        <w:t>Gender Distribution</w:t>
      </w:r>
      <w:bookmarkEnd w:id="45"/>
      <w:r>
        <w:t xml:space="preserve"> </w:t>
      </w:r>
    </w:p>
    <w:p w14:paraId="6B4F424E" w14:textId="77777777" w:rsidR="00CB542C" w:rsidRDefault="00CB542C" w:rsidP="009A639C">
      <w:pPr>
        <w:keepNext/>
        <w:autoSpaceDE w:val="0"/>
        <w:autoSpaceDN w:val="0"/>
        <w:adjustRightInd w:val="0"/>
        <w:spacing w:after="0" w:line="240" w:lineRule="auto"/>
      </w:pPr>
    </w:p>
    <w:p w14:paraId="6F765636" w14:textId="1E3B9341" w:rsidR="009D1C66" w:rsidRPr="005F60C5" w:rsidRDefault="009A639C" w:rsidP="003767FC">
      <w:r w:rsidRPr="005F60C5">
        <w:t xml:space="preserve">A trend towards the overrepresentation of male defendants was apparent </w:t>
      </w:r>
      <w:r w:rsidR="00C408CE" w:rsidRPr="005F60C5">
        <w:t>across</w:t>
      </w:r>
      <w:r w:rsidRPr="005F60C5">
        <w:t xml:space="preserve"> all </w:t>
      </w:r>
      <w:r w:rsidR="00B2355B" w:rsidRPr="005F60C5">
        <w:t>A</w:t>
      </w:r>
      <w:r w:rsidRPr="005F60C5">
        <w:t>dult</w:t>
      </w:r>
      <w:r w:rsidR="00CA7147" w:rsidRPr="005F60C5">
        <w:t xml:space="preserve"> (73.00-75.61%)</w:t>
      </w:r>
      <w:r w:rsidRPr="005F60C5">
        <w:t xml:space="preserve">, </w:t>
      </w:r>
      <w:r w:rsidR="00B2355B" w:rsidRPr="005F60C5">
        <w:t>Y</w:t>
      </w:r>
      <w:r w:rsidRPr="005F60C5">
        <w:t>outh</w:t>
      </w:r>
      <w:r w:rsidR="00CA7147" w:rsidRPr="005F60C5">
        <w:t xml:space="preserve"> (68.60-77.65%)</w:t>
      </w:r>
      <w:r w:rsidRPr="005F60C5">
        <w:t xml:space="preserve">, </w:t>
      </w:r>
      <w:r w:rsidR="00B2355B" w:rsidRPr="005F60C5">
        <w:t>T</w:t>
      </w:r>
      <w:r w:rsidR="007952BD" w:rsidRPr="005F60C5">
        <w:t>raffic</w:t>
      </w:r>
      <w:r w:rsidR="00CA7147" w:rsidRPr="005F60C5">
        <w:t xml:space="preserve"> (61.76-63.14%)</w:t>
      </w:r>
      <w:r w:rsidRPr="005F60C5">
        <w:t xml:space="preserve">, and </w:t>
      </w:r>
      <w:r w:rsidR="00B2355B" w:rsidRPr="005F60C5">
        <w:t>D</w:t>
      </w:r>
      <w:r w:rsidR="007952BD" w:rsidRPr="005F60C5">
        <w:t>omestic</w:t>
      </w:r>
      <w:r w:rsidR="00CA7147" w:rsidRPr="005F60C5">
        <w:t xml:space="preserve"> (84.50%)</w:t>
      </w:r>
      <w:r w:rsidR="00B2355B" w:rsidRPr="005F60C5">
        <w:t xml:space="preserve"> Co</w:t>
      </w:r>
      <w:r w:rsidRPr="005F60C5">
        <w:t>urts</w:t>
      </w:r>
      <w:r w:rsidR="00CA7147" w:rsidRPr="005F60C5">
        <w:t xml:space="preserve"> (</w:t>
      </w:r>
      <w:r w:rsidR="00C408CE" w:rsidRPr="005F60C5">
        <w:t>Figures 1, 14, 24, 33, 40, 47, 54, 67, and 76)</w:t>
      </w:r>
      <w:r w:rsidRPr="005F60C5">
        <w:t xml:space="preserve">. </w:t>
      </w:r>
      <w:r w:rsidR="00974D58" w:rsidRPr="005F60C5">
        <w:t xml:space="preserve">Of all courts examined, men were most disproportionately represented in </w:t>
      </w:r>
      <w:r w:rsidR="007952BD" w:rsidRPr="005F60C5">
        <w:t>Domestic Court</w:t>
      </w:r>
      <w:r w:rsidR="00974D58" w:rsidRPr="005F60C5">
        <w:t xml:space="preserve"> (Figure 76). </w:t>
      </w:r>
      <w:r w:rsidR="00320CCA" w:rsidRPr="005F60C5">
        <w:t xml:space="preserve">These findings are congruent with </w:t>
      </w:r>
      <w:r w:rsidR="00661C32" w:rsidRPr="005F60C5">
        <w:t xml:space="preserve">those of </w:t>
      </w:r>
      <w:r w:rsidR="007418B0" w:rsidRPr="005F60C5">
        <w:t>Hotton Mahony et al. (2017)</w:t>
      </w:r>
      <w:r w:rsidR="00661C32" w:rsidRPr="005F60C5">
        <w:t xml:space="preserve">, who </w:t>
      </w:r>
      <w:r w:rsidR="006076A7" w:rsidRPr="005F60C5">
        <w:t>observed that on a national level the number of completed cases in adult court involving a male defendant were greater than the number of cases involv</w:t>
      </w:r>
      <w:r w:rsidR="00406A10" w:rsidRPr="005F60C5">
        <w:t>ing</w:t>
      </w:r>
      <w:r w:rsidR="006076A7" w:rsidRPr="005F60C5">
        <w:t xml:space="preserve"> a female defendant, for all offence types </w:t>
      </w:r>
      <w:r w:rsidR="007418B0" w:rsidRPr="005F60C5">
        <w:rPr>
          <w:rFonts w:cs="Arial"/>
          <w:color w:val="000000"/>
          <w:shd w:val="clear" w:color="auto" w:fill="FFFFFF"/>
        </w:rPr>
        <w:t>(Statistics Canada, 2017)</w:t>
      </w:r>
      <w:r w:rsidR="006076A7" w:rsidRPr="005F60C5">
        <w:t>.</w:t>
      </w:r>
      <w:r w:rsidR="00BB6670" w:rsidRPr="005F60C5">
        <w:t xml:space="preserve"> In fact, as per the findings of the</w:t>
      </w:r>
      <w:r w:rsidR="00283656" w:rsidRPr="005F60C5">
        <w:t xml:space="preserve"> </w:t>
      </w:r>
      <w:r w:rsidR="00BB6670" w:rsidRPr="005F60C5">
        <w:t>Integrated Criminal Court Survey,</w:t>
      </w:r>
      <w:r w:rsidR="00283656" w:rsidRPr="005F60C5">
        <w:t xml:space="preserve"> in 2014/2015 only</w:t>
      </w:r>
      <w:r w:rsidR="00BB6670" w:rsidRPr="005F60C5">
        <w:t xml:space="preserve"> one in five adult court cases </w:t>
      </w:r>
      <w:r w:rsidR="00283656" w:rsidRPr="005F60C5">
        <w:t xml:space="preserve">in Canada involved a female attendee </w:t>
      </w:r>
      <w:r w:rsidR="007418B0" w:rsidRPr="005F60C5">
        <w:rPr>
          <w:rFonts w:cs="Arial"/>
          <w:color w:val="000000"/>
          <w:shd w:val="clear" w:color="auto" w:fill="FFFFFF"/>
        </w:rPr>
        <w:t>(Statistics Canada, 2017)</w:t>
      </w:r>
      <w:r w:rsidR="00672B10" w:rsidRPr="005F60C5">
        <w:t xml:space="preserve">. </w:t>
      </w:r>
      <w:r w:rsidR="00843C81" w:rsidRPr="005F60C5">
        <w:t>While the</w:t>
      </w:r>
      <w:r w:rsidR="00A558D7" w:rsidRPr="005F60C5">
        <w:t xml:space="preserve"> gender distribution </w:t>
      </w:r>
      <w:r w:rsidR="00672B10" w:rsidRPr="005F60C5">
        <w:t xml:space="preserve">observed in court attendees receiving services from the Elizabeth Fry Society is </w:t>
      </w:r>
      <w:r w:rsidR="00A957D5" w:rsidRPr="005F60C5">
        <w:t>slightly</w:t>
      </w:r>
      <w:r w:rsidR="00672B10" w:rsidRPr="005F60C5">
        <w:t xml:space="preserve"> divergent </w:t>
      </w:r>
      <w:r w:rsidR="00843C81" w:rsidRPr="005F60C5">
        <w:t>from this value – demonstrating a higher proportion of female attendees than the national average</w:t>
      </w:r>
      <w:r w:rsidR="00F44E8A" w:rsidRPr="005F60C5">
        <w:t>, which remain</w:t>
      </w:r>
      <w:r w:rsidR="00843C81" w:rsidRPr="005F60C5">
        <w:t>s</w:t>
      </w:r>
      <w:r w:rsidR="00F44E8A" w:rsidRPr="005F60C5">
        <w:t xml:space="preserve"> the only available </w:t>
      </w:r>
      <w:r w:rsidR="006C08DE" w:rsidRPr="005F60C5">
        <w:t>data</w:t>
      </w:r>
      <w:r w:rsidR="00F44E8A" w:rsidRPr="005F60C5">
        <w:t xml:space="preserve"> for comparison in the absence of more current provincial statistic</w:t>
      </w:r>
      <w:r w:rsidR="00843C81" w:rsidRPr="005F60C5">
        <w:t>s</w:t>
      </w:r>
      <w:r w:rsidR="00F44E8A" w:rsidRPr="005F60C5">
        <w:t xml:space="preserve">. </w:t>
      </w:r>
      <w:r w:rsidR="008903EC" w:rsidRPr="005F60C5">
        <w:t xml:space="preserve">This discrepancy between local and national statistics might be attributable to the effects of </w:t>
      </w:r>
      <w:r w:rsidR="00F44E8A" w:rsidRPr="005F60C5">
        <w:t>confounders - such as the dissimilar prevalence of minority populations between provinces and municipalities</w:t>
      </w:r>
      <w:r w:rsidR="008903EC" w:rsidRPr="005F60C5">
        <w:t>.</w:t>
      </w:r>
      <w:r w:rsidR="0039339E" w:rsidRPr="005F60C5">
        <w:t xml:space="preserve"> Similarly, </w:t>
      </w:r>
      <w:r w:rsidR="006C08DE" w:rsidRPr="005F60C5">
        <w:t xml:space="preserve">as national data represents attendee gender distribution for 2014/2015, </w:t>
      </w:r>
      <w:r w:rsidR="0039339E" w:rsidRPr="005F60C5">
        <w:t>t</w:t>
      </w:r>
      <w:r w:rsidR="006C08DE" w:rsidRPr="005F60C5">
        <w:t>he</w:t>
      </w:r>
      <w:r w:rsidR="0039339E" w:rsidRPr="005F60C5">
        <w:t xml:space="preserve"> discrepancy might simply reflect the ongoing national trend towards an increasing number of female defendants across</w:t>
      </w:r>
      <w:r w:rsidR="00265FAF" w:rsidRPr="005F60C5">
        <w:t xml:space="preserve"> adult</w:t>
      </w:r>
      <w:r w:rsidR="0039339E" w:rsidRPr="005F60C5">
        <w:t xml:space="preserve"> criminal </w:t>
      </w:r>
      <w:r w:rsidR="00265FAF" w:rsidRPr="005F60C5">
        <w:t>courts over time</w:t>
      </w:r>
      <w:r w:rsidR="0039339E" w:rsidRPr="005F60C5">
        <w:t xml:space="preserve"> </w:t>
      </w:r>
      <w:r w:rsidR="007418B0" w:rsidRPr="005F60C5">
        <w:rPr>
          <w:rFonts w:cs="Arial"/>
          <w:color w:val="000000"/>
          <w:shd w:val="clear" w:color="auto" w:fill="FFFFFF"/>
        </w:rPr>
        <w:t>(Statistics Canada, 2017)</w:t>
      </w:r>
      <w:r w:rsidR="0039339E" w:rsidRPr="005F60C5">
        <w:t>.</w:t>
      </w:r>
    </w:p>
    <w:p w14:paraId="375D2564" w14:textId="5A86C83A" w:rsidR="00CB542C" w:rsidRDefault="00CB542C" w:rsidP="00CB542C">
      <w:pPr>
        <w:pStyle w:val="Heading3"/>
      </w:pPr>
      <w:bookmarkStart w:id="46" w:name="_Toc16262358"/>
      <w:r>
        <w:t>Gender and Age Distribution</w:t>
      </w:r>
      <w:bookmarkEnd w:id="46"/>
    </w:p>
    <w:p w14:paraId="6D9DABD5" w14:textId="77777777" w:rsidR="00CB542C" w:rsidRDefault="00CB542C" w:rsidP="00AE31C0">
      <w:pPr>
        <w:keepNext/>
        <w:autoSpaceDE w:val="0"/>
        <w:autoSpaceDN w:val="0"/>
        <w:adjustRightInd w:val="0"/>
        <w:spacing w:after="0" w:line="240" w:lineRule="auto"/>
      </w:pPr>
    </w:p>
    <w:p w14:paraId="2038B89B" w14:textId="1CD12315" w:rsidR="00DF32B9" w:rsidRPr="005F60C5" w:rsidRDefault="00FC239F" w:rsidP="003767FC">
      <w:r w:rsidRPr="005F60C5">
        <w:t xml:space="preserve">Overall, there existed </w:t>
      </w:r>
      <w:r w:rsidR="00DF32B9" w:rsidRPr="005F60C5">
        <w:t xml:space="preserve">a heavier distribution </w:t>
      </w:r>
      <w:r w:rsidRPr="005F60C5">
        <w:t xml:space="preserve">of individuals </w:t>
      </w:r>
      <w:r w:rsidR="00DF32B9" w:rsidRPr="005F60C5">
        <w:t>in younger age categories in</w:t>
      </w:r>
      <w:r w:rsidRPr="005F60C5">
        <w:t xml:space="preserve"> the</w:t>
      </w:r>
      <w:r w:rsidR="00DF32B9" w:rsidRPr="005F60C5">
        <w:t xml:space="preserve"> adult</w:t>
      </w:r>
      <w:r w:rsidRPr="005F60C5">
        <w:t xml:space="preserve">, </w:t>
      </w:r>
      <w:r w:rsidR="007952BD" w:rsidRPr="005F60C5">
        <w:t>Traffic</w:t>
      </w:r>
      <w:r w:rsidRPr="005F60C5">
        <w:t xml:space="preserve">, and </w:t>
      </w:r>
      <w:r w:rsidR="007952BD" w:rsidRPr="005F60C5">
        <w:t>Domestic Court</w:t>
      </w:r>
      <w:r w:rsidR="00DF32B9" w:rsidRPr="005F60C5">
        <w:t>s</w:t>
      </w:r>
      <w:r w:rsidRPr="005F60C5">
        <w:t>, for attendees of both genders (F</w:t>
      </w:r>
      <w:r w:rsidR="00CD33E9" w:rsidRPr="005F60C5">
        <w:t>igures 3, 16, 26, 56, 69, and 78</w:t>
      </w:r>
      <w:r w:rsidRPr="005F60C5">
        <w:t>).</w:t>
      </w:r>
      <w:r w:rsidR="00DF32B9" w:rsidRPr="005F60C5">
        <w:t xml:space="preserve"> </w:t>
      </w:r>
      <w:r w:rsidR="00ED3AFC" w:rsidRPr="005F60C5">
        <w:t xml:space="preserve">Not unlike what has been observed on a national level </w:t>
      </w:r>
      <w:r w:rsidR="00E4533B" w:rsidRPr="005F60C5">
        <w:rPr>
          <w:rFonts w:cs="Arial"/>
          <w:color w:val="000000"/>
          <w:shd w:val="clear" w:color="auto" w:fill="FFFFFF"/>
        </w:rPr>
        <w:t>(Statistics Canada, 2018)</w:t>
      </w:r>
      <w:r w:rsidR="00ED3AFC" w:rsidRPr="005F60C5">
        <w:t xml:space="preserve">, young men were consistently the most significantly overrepresented group across the </w:t>
      </w:r>
      <w:r w:rsidR="007952BD" w:rsidRPr="005F60C5">
        <w:t>adult courts</w:t>
      </w:r>
      <w:r w:rsidR="00ED3AFC" w:rsidRPr="005F60C5">
        <w:t xml:space="preserve"> in particular (Figures 3, 16, and 26).  Similarly, female offenders in adult court tended to belong to younger age categories (Figures 3, 16, and 26); this is congruent with the finding that women in provincial and federal custody are overwhelmingly younger than 35 years of age </w:t>
      </w:r>
      <w:r w:rsidR="007418B0" w:rsidRPr="005F60C5">
        <w:rPr>
          <w:rFonts w:cs="Arial"/>
          <w:color w:val="000000"/>
          <w:shd w:val="clear" w:color="auto" w:fill="FFFFFF"/>
        </w:rPr>
        <w:t>(Statistics Canada, 2017)</w:t>
      </w:r>
      <w:r w:rsidR="00ED3AFC" w:rsidRPr="005F60C5">
        <w:t>.</w:t>
      </w:r>
      <w:r w:rsidR="00674BF5" w:rsidRPr="005F60C5">
        <w:t>T</w:t>
      </w:r>
      <w:r w:rsidRPr="005F60C5">
        <w:t>here was a</w:t>
      </w:r>
      <w:r w:rsidR="00DF32B9" w:rsidRPr="005F60C5">
        <w:t xml:space="preserve"> trend towards</w:t>
      </w:r>
      <w:r w:rsidRPr="005F60C5">
        <w:t xml:space="preserve"> a</w:t>
      </w:r>
      <w:r w:rsidR="00DF32B9" w:rsidRPr="005F60C5">
        <w:t xml:space="preserve"> heavier distribution </w:t>
      </w:r>
      <w:r w:rsidRPr="005F60C5">
        <w:t xml:space="preserve">of individuals </w:t>
      </w:r>
      <w:r w:rsidR="00DF32B9" w:rsidRPr="005F60C5">
        <w:t>in older age categories in</w:t>
      </w:r>
      <w:r w:rsidRPr="005F60C5">
        <w:t xml:space="preserve"> the</w:t>
      </w:r>
      <w:r w:rsidR="00DF32B9" w:rsidRPr="005F60C5">
        <w:t xml:space="preserve"> </w:t>
      </w:r>
      <w:r w:rsidR="007952BD" w:rsidRPr="005F60C5">
        <w:t xml:space="preserve">youth courts </w:t>
      </w:r>
      <w:r w:rsidR="00674BF5" w:rsidRPr="005F60C5">
        <w:t xml:space="preserve">, </w:t>
      </w:r>
      <w:r w:rsidR="00FC143A" w:rsidRPr="005F60C5">
        <w:t>for individuals of both gende</w:t>
      </w:r>
      <w:r w:rsidR="00A700FF" w:rsidRPr="005F60C5">
        <w:t>r</w:t>
      </w:r>
      <w:r w:rsidR="00FC143A" w:rsidRPr="005F60C5">
        <w:t>s</w:t>
      </w:r>
      <w:r w:rsidR="00DF32B9" w:rsidRPr="005F60C5">
        <w:t xml:space="preserve"> (</w:t>
      </w:r>
      <w:r w:rsidR="00CD33E9" w:rsidRPr="005F60C5">
        <w:t>Figures 35, 42, and 49</w:t>
      </w:r>
      <w:r w:rsidR="00DF32B9" w:rsidRPr="005F60C5">
        <w:t xml:space="preserve">). </w:t>
      </w:r>
      <w:r w:rsidR="00FC143A" w:rsidRPr="005F60C5">
        <w:t>It</w:t>
      </w:r>
      <w:r w:rsidR="00DF32B9" w:rsidRPr="005F60C5">
        <w:t xml:space="preserve"> </w:t>
      </w:r>
      <w:r w:rsidR="00FC143A" w:rsidRPr="005F60C5">
        <w:t xml:space="preserve">is </w:t>
      </w:r>
      <w:r w:rsidR="00DF32B9" w:rsidRPr="005F60C5">
        <w:t xml:space="preserve">challenging to interpret </w:t>
      </w:r>
      <w:r w:rsidR="00FC143A" w:rsidRPr="005F60C5">
        <w:t>any</w:t>
      </w:r>
      <w:r w:rsidR="00DF32B9" w:rsidRPr="005F60C5">
        <w:t xml:space="preserve"> </w:t>
      </w:r>
      <w:r w:rsidR="00674BF5" w:rsidRPr="005F60C5">
        <w:t>relationship between gender status and age in female defendants in</w:t>
      </w:r>
      <w:r w:rsidR="003767FC" w:rsidRPr="005F60C5">
        <w:t xml:space="preserve"> the</w:t>
      </w:r>
      <w:r w:rsidR="00674BF5" w:rsidRPr="005F60C5">
        <w:t xml:space="preserve"> </w:t>
      </w:r>
      <w:r w:rsidR="008D12A5" w:rsidRPr="005F60C5">
        <w:t>South Youth Court</w:t>
      </w:r>
      <w:r w:rsidR="003767FC" w:rsidRPr="005F60C5">
        <w:t>s</w:t>
      </w:r>
      <w:r w:rsidR="00674BF5" w:rsidRPr="005F60C5">
        <w:t>, l</w:t>
      </w:r>
      <w:r w:rsidR="00B13028" w:rsidRPr="005F60C5">
        <w:t xml:space="preserve">ikely </w:t>
      </w:r>
      <w:r w:rsidR="00674BF5" w:rsidRPr="005F60C5">
        <w:t>owing to a</w:t>
      </w:r>
      <w:r w:rsidR="00421364" w:rsidRPr="005F60C5">
        <w:t xml:space="preserve"> </w:t>
      </w:r>
      <w:r w:rsidR="00674BF5" w:rsidRPr="005F60C5">
        <w:t>relatively small (57 member) sample size for this demographic (Figure 49)</w:t>
      </w:r>
      <w:r w:rsidR="005D5074" w:rsidRPr="005F60C5">
        <w:t>.</w:t>
      </w:r>
      <w:r w:rsidR="00A700FF" w:rsidRPr="005F60C5">
        <w:t xml:space="preserve"> </w:t>
      </w:r>
      <w:r w:rsidR="00421364" w:rsidRPr="005F60C5">
        <w:t xml:space="preserve">Young men aged 16-17 tended to be particularly overrepresented (Figures 35, 42, and 49), which is not unexpected. In 2017/2018, male youth aged 16-17 accounted for </w:t>
      </w:r>
      <w:r w:rsidR="00F16530" w:rsidRPr="005F60C5">
        <w:t>42</w:t>
      </w:r>
      <w:r w:rsidR="00421364" w:rsidRPr="005F60C5">
        <w:t xml:space="preserve">% of youth admissions to correctional services </w:t>
      </w:r>
      <w:r w:rsidR="00E4533B" w:rsidRPr="005F60C5">
        <w:rPr>
          <w:rFonts w:cs="Arial"/>
          <w:color w:val="000000"/>
          <w:shd w:val="clear" w:color="auto" w:fill="FFFFFF"/>
        </w:rPr>
        <w:t>(Statistics Canada, 2018)</w:t>
      </w:r>
      <w:r w:rsidR="00421364" w:rsidRPr="005F60C5">
        <w:t>.</w:t>
      </w:r>
      <w:r w:rsidR="00F16530" w:rsidRPr="005F60C5">
        <w:t xml:space="preserve"> While </w:t>
      </w:r>
      <w:r w:rsidR="007418B0" w:rsidRPr="005F60C5">
        <w:t>Hotton Mahony</w:t>
      </w:r>
      <w:r w:rsidR="00F16530" w:rsidRPr="005F60C5">
        <w:t xml:space="preserve"> </w:t>
      </w:r>
      <w:r w:rsidR="007418B0" w:rsidRPr="005F60C5">
        <w:t xml:space="preserve">et al. (2017) </w:t>
      </w:r>
      <w:r w:rsidR="00F16530" w:rsidRPr="005F60C5">
        <w:t xml:space="preserve">makes reference to the existence of a greater </w:t>
      </w:r>
      <w:r w:rsidR="00B13028" w:rsidRPr="005F60C5">
        <w:t>proportion</w:t>
      </w:r>
      <w:r w:rsidR="00F16530" w:rsidRPr="005F60C5">
        <w:t xml:space="preserve"> of cases with female defendant</w:t>
      </w:r>
      <w:r w:rsidR="00B13028" w:rsidRPr="005F60C5">
        <w:t>s</w:t>
      </w:r>
      <w:r w:rsidR="00F16530" w:rsidRPr="005F60C5">
        <w:t xml:space="preserve"> in youth court than </w:t>
      </w:r>
      <w:r w:rsidR="00B13028" w:rsidRPr="005F60C5">
        <w:t xml:space="preserve">in </w:t>
      </w:r>
      <w:r w:rsidR="00F16530" w:rsidRPr="005F60C5">
        <w:t xml:space="preserve">adult court, </w:t>
      </w:r>
      <w:r w:rsidR="00B13028" w:rsidRPr="005F60C5">
        <w:t xml:space="preserve">interestingly </w:t>
      </w:r>
      <w:r w:rsidR="00F16530" w:rsidRPr="005F60C5">
        <w:t xml:space="preserve">this was not a trend observed in attendees receiving services from the Elizabeth Fry Society.  </w:t>
      </w:r>
    </w:p>
    <w:p w14:paraId="75A2FC27" w14:textId="47FEF955" w:rsidR="00CB542C" w:rsidRDefault="00CB542C" w:rsidP="00CB542C">
      <w:pPr>
        <w:pStyle w:val="Heading3"/>
      </w:pPr>
      <w:bookmarkStart w:id="47" w:name="_Toc16262359"/>
      <w:r>
        <w:t>Gender and Minority Status</w:t>
      </w:r>
      <w:bookmarkEnd w:id="47"/>
      <w:r>
        <w:t xml:space="preserve"> </w:t>
      </w:r>
    </w:p>
    <w:p w14:paraId="71D96453" w14:textId="77777777" w:rsidR="00CB542C" w:rsidRDefault="00CB542C" w:rsidP="00AE31C0">
      <w:pPr>
        <w:keepNext/>
        <w:autoSpaceDE w:val="0"/>
        <w:autoSpaceDN w:val="0"/>
        <w:adjustRightInd w:val="0"/>
        <w:spacing w:after="0" w:line="240" w:lineRule="auto"/>
      </w:pPr>
    </w:p>
    <w:p w14:paraId="041B9D1F" w14:textId="55E85844" w:rsidR="0077622F" w:rsidRPr="005F60C5" w:rsidRDefault="00450D3D" w:rsidP="001E09D4">
      <w:r w:rsidRPr="005F60C5">
        <w:t>I</w:t>
      </w:r>
      <w:r w:rsidR="00D56062" w:rsidRPr="005F60C5">
        <w:t xml:space="preserve">ndigenous defendants </w:t>
      </w:r>
      <w:r w:rsidR="009F5A03" w:rsidRPr="005F60C5">
        <w:t xml:space="preserve">consistently </w:t>
      </w:r>
      <w:r w:rsidR="00D56062" w:rsidRPr="005F60C5">
        <w:t xml:space="preserve">demonstrated greater proportionality in gender representation than any other minority status classification, while defendants who </w:t>
      </w:r>
      <w:r w:rsidR="00CF5E9E" w:rsidRPr="005F60C5">
        <w:t>identified as</w:t>
      </w:r>
      <w:r w:rsidR="00D56062" w:rsidRPr="005F60C5">
        <w:t xml:space="preserve"> newcomers demonstrated the most significant overrepresentation of men</w:t>
      </w:r>
      <w:r w:rsidR="00470C94" w:rsidRPr="005F60C5">
        <w:t xml:space="preserve"> (</w:t>
      </w:r>
      <w:r w:rsidR="009D08EB" w:rsidRPr="005F60C5">
        <w:t>Figures 5, 18, 37, 44, 51, 58, 71, and 80</w:t>
      </w:r>
      <w:r w:rsidR="00470C94" w:rsidRPr="005F60C5">
        <w:t>); this is true across all courts that demonstrated a sufficient dataset for</w:t>
      </w:r>
      <w:r w:rsidR="00CF5E9E" w:rsidRPr="005F60C5">
        <w:t xml:space="preserve"> </w:t>
      </w:r>
      <w:r w:rsidR="00470C94" w:rsidRPr="005F60C5">
        <w:t xml:space="preserve">analysis </w:t>
      </w:r>
      <w:r w:rsidR="00AE31C0" w:rsidRPr="005F60C5">
        <w:t>by minority status</w:t>
      </w:r>
      <w:r w:rsidR="00CF5E9E" w:rsidRPr="005F60C5">
        <w:t xml:space="preserve"> classification</w:t>
      </w:r>
      <w:r w:rsidR="00D6300E" w:rsidRPr="005F60C5">
        <w:t xml:space="preserve">, with the exception of </w:t>
      </w:r>
      <w:r w:rsidR="00A02BE2" w:rsidRPr="005F60C5">
        <w:t xml:space="preserve">the </w:t>
      </w:r>
      <w:r w:rsidR="008D12A5" w:rsidRPr="005F60C5">
        <w:t>South Adult Court</w:t>
      </w:r>
      <w:r w:rsidR="00A02BE2" w:rsidRPr="005F60C5">
        <w:t>s</w:t>
      </w:r>
      <w:r w:rsidR="00D6300E" w:rsidRPr="005F60C5">
        <w:t xml:space="preserve"> (</w:t>
      </w:r>
      <w:r w:rsidR="009D08EB" w:rsidRPr="005F60C5">
        <w:t>Figure 28</w:t>
      </w:r>
      <w:r w:rsidR="00D6300E" w:rsidRPr="005F60C5">
        <w:t>)</w:t>
      </w:r>
      <w:r w:rsidR="00470C94" w:rsidRPr="005F60C5">
        <w:t>.</w:t>
      </w:r>
      <w:r w:rsidR="004A4FC4" w:rsidRPr="005F60C5">
        <w:t xml:space="preserve"> </w:t>
      </w:r>
      <w:r w:rsidR="00521757" w:rsidRPr="005F60C5">
        <w:t xml:space="preserve">This is in keeping with the observation that Indigenous women are broadly more likely to interact with the criminal justice system than women without minority status, owing to the legacy effects of colonialism </w:t>
      </w:r>
      <w:r w:rsidR="007418B0" w:rsidRPr="005F60C5">
        <w:rPr>
          <w:rFonts w:cs="Arial"/>
          <w:color w:val="000000"/>
          <w:shd w:val="clear" w:color="auto" w:fill="FFFFFF"/>
        </w:rPr>
        <w:t>(Statistics Canada, 2017)</w:t>
      </w:r>
      <w:r w:rsidR="00521757" w:rsidRPr="005F60C5">
        <w:t xml:space="preserve">. </w:t>
      </w:r>
      <w:r w:rsidR="00E019E3" w:rsidRPr="005F60C5">
        <w:t xml:space="preserve">Consistent with this observation, despite </w:t>
      </w:r>
      <w:r w:rsidR="00E019E3" w:rsidRPr="005F60C5">
        <w:lastRenderedPageBreak/>
        <w:t>demonstrating a trend towards male overrepresentation overall (73.79%),</w:t>
      </w:r>
      <w:r w:rsidR="00A02BE2" w:rsidRPr="005F60C5">
        <w:t xml:space="preserve"> the</w:t>
      </w:r>
      <w:r w:rsidR="00E019E3" w:rsidRPr="005F60C5">
        <w:t xml:space="preserve"> </w:t>
      </w:r>
      <w:r w:rsidR="008D12A5" w:rsidRPr="005F60C5">
        <w:t>South Adult Court</w:t>
      </w:r>
      <w:r w:rsidR="00A02BE2" w:rsidRPr="005F60C5">
        <w:t>s</w:t>
      </w:r>
      <w:r w:rsidR="00E019E3" w:rsidRPr="005F60C5">
        <w:t xml:space="preserve"> is an outlier</w:t>
      </w:r>
      <w:r w:rsidR="00C71A5F" w:rsidRPr="005F60C5">
        <w:t xml:space="preserve"> </w:t>
      </w:r>
      <w:r w:rsidR="00E019E3" w:rsidRPr="005F60C5">
        <w:t xml:space="preserve">exhibiting a greater proportion of female than male attendees of Indigenous status (Figurer 28). However, this court also demonstrates a relatively small sample size (70 individuals, 3.76% of the attendee population), which might </w:t>
      </w:r>
      <w:r w:rsidR="00485AC5" w:rsidRPr="005F60C5">
        <w:t>also account</w:t>
      </w:r>
      <w:r w:rsidR="00E019E3" w:rsidRPr="005F60C5">
        <w:t xml:space="preserve"> for this deviation. </w:t>
      </w:r>
      <w:r w:rsidR="004A4FC4" w:rsidRPr="005F60C5">
        <w:t>Th</w:t>
      </w:r>
      <w:r w:rsidR="00521757" w:rsidRPr="005F60C5">
        <w:t>e</w:t>
      </w:r>
      <w:r w:rsidR="004A4FC4" w:rsidRPr="005F60C5">
        <w:t xml:space="preserve"> </w:t>
      </w:r>
      <w:r w:rsidR="00521757" w:rsidRPr="005F60C5">
        <w:t xml:space="preserve">trend towards a more </w:t>
      </w:r>
      <w:r w:rsidR="001B74E0" w:rsidRPr="005F60C5">
        <w:t>comparable</w:t>
      </w:r>
      <w:r w:rsidR="00521757" w:rsidRPr="005F60C5">
        <w:t xml:space="preserve"> gender distribution </w:t>
      </w:r>
      <w:r w:rsidR="001B74E0" w:rsidRPr="005F60C5">
        <w:t xml:space="preserve">in Indigenous attendees </w:t>
      </w:r>
      <w:r w:rsidR="004A4FC4" w:rsidRPr="005F60C5">
        <w:t xml:space="preserve">is particularly </w:t>
      </w:r>
      <w:r w:rsidR="00521757" w:rsidRPr="005F60C5">
        <w:t>pronounced in</w:t>
      </w:r>
      <w:r w:rsidR="004A4FC4" w:rsidRPr="005F60C5">
        <w:t xml:space="preserve"> </w:t>
      </w:r>
      <w:r w:rsidR="008D12A5" w:rsidRPr="005F60C5">
        <w:t>Calgary’s Youth Court</w:t>
      </w:r>
      <w:r w:rsidR="004E0362" w:rsidRPr="005F60C5">
        <w:t>,</w:t>
      </w:r>
      <w:r w:rsidR="004A4FC4" w:rsidRPr="005F60C5">
        <w:t xml:space="preserve"> in which the age-matched gender ratios</w:t>
      </w:r>
      <w:r w:rsidR="004E0362" w:rsidRPr="005F60C5">
        <w:t xml:space="preserve"> </w:t>
      </w:r>
      <w:r w:rsidR="004A4FC4" w:rsidRPr="005F60C5">
        <w:t xml:space="preserve">for the most </w:t>
      </w:r>
      <w:r w:rsidR="004E0362" w:rsidRPr="005F60C5">
        <w:t>contributory</w:t>
      </w:r>
      <w:r w:rsidR="004A4FC4" w:rsidRPr="005F60C5">
        <w:t xml:space="preserve"> age strata were </w:t>
      </w:r>
      <w:r w:rsidR="004E0362" w:rsidRPr="005F60C5">
        <w:t xml:space="preserve">1.69-2.86X and 8.60X for Indigenous and newcomer attendees respectively </w:t>
      </w:r>
      <w:r w:rsidR="004A4FC4" w:rsidRPr="005F60C5">
        <w:t>(</w:t>
      </w:r>
      <w:r w:rsidR="009D08EB" w:rsidRPr="005F60C5">
        <w:t>Figure 37</w:t>
      </w:r>
      <w:r w:rsidR="004A4FC4" w:rsidRPr="005F60C5">
        <w:t xml:space="preserve">). </w:t>
      </w:r>
      <w:r w:rsidR="001B74E0" w:rsidRPr="005F60C5">
        <w:t>This finding is congruent with h</w:t>
      </w:r>
      <w:r w:rsidR="00A27E88" w:rsidRPr="005F60C5">
        <w:t>istorical data</w:t>
      </w:r>
      <w:r w:rsidR="001B74E0" w:rsidRPr="005F60C5">
        <w:t xml:space="preserve"> which</w:t>
      </w:r>
      <w:r w:rsidR="00A27E88" w:rsidRPr="005F60C5">
        <w:t xml:space="preserve"> suggests that rates of certain offences</w:t>
      </w:r>
      <w:r w:rsidR="001B74E0" w:rsidRPr="005F60C5">
        <w:t xml:space="preserve"> </w:t>
      </w:r>
      <w:r w:rsidR="00521757" w:rsidRPr="005F60C5">
        <w:t xml:space="preserve">among female adolescents with Indigenous status </w:t>
      </w:r>
      <w:r w:rsidR="001B74E0" w:rsidRPr="005F60C5">
        <w:t>are</w:t>
      </w:r>
      <w:r w:rsidR="00521757" w:rsidRPr="005F60C5">
        <w:t xml:space="preserve"> significantly higher than their older peers </w:t>
      </w:r>
      <w:r w:rsidR="007418B0" w:rsidRPr="005F60C5">
        <w:rPr>
          <w:rFonts w:cs="Arial"/>
          <w:color w:val="000000"/>
          <w:shd w:val="clear" w:color="auto" w:fill="FFFFFF"/>
        </w:rPr>
        <w:t>(Statistics Canada, 2017)</w:t>
      </w:r>
      <w:r w:rsidR="00E019E3" w:rsidRPr="005F60C5">
        <w:t xml:space="preserve">. </w:t>
      </w:r>
      <w:r w:rsidR="00357240" w:rsidRPr="005F60C5">
        <w:t xml:space="preserve">At this time, limited literature exists to </w:t>
      </w:r>
      <w:r w:rsidR="00372E75" w:rsidRPr="005F60C5">
        <w:t>comment</w:t>
      </w:r>
      <w:r w:rsidR="00357240" w:rsidRPr="005F60C5">
        <w:t xml:space="preserve"> on the often profound overrepresentation of male newcomers </w:t>
      </w:r>
      <w:r w:rsidR="00372E75" w:rsidRPr="005F60C5">
        <w:t>relative to female newcomers</w:t>
      </w:r>
      <w:r w:rsidR="005F60C5" w:rsidRPr="005F60C5">
        <w:t xml:space="preserve"> across all courts;</w:t>
      </w:r>
      <w:r w:rsidR="00372E75" w:rsidRPr="005F60C5">
        <w:t xml:space="preserve"> this remains a worthwhile area for future exploration. </w:t>
      </w:r>
      <w:r w:rsidR="00357240" w:rsidRPr="005F60C5">
        <w:t xml:space="preserve"> </w:t>
      </w:r>
    </w:p>
    <w:p w14:paraId="5D518B91" w14:textId="783E64D1" w:rsidR="0081225E" w:rsidRDefault="0077622F" w:rsidP="0081225E">
      <w:pPr>
        <w:pStyle w:val="Heading2"/>
      </w:pPr>
      <w:bookmarkStart w:id="48" w:name="_Toc16262360"/>
      <w:r>
        <w:t>Age Distribution</w:t>
      </w:r>
      <w:bookmarkEnd w:id="48"/>
      <w:r>
        <w:t xml:space="preserve"> </w:t>
      </w:r>
    </w:p>
    <w:p w14:paraId="281E0439" w14:textId="6524189F" w:rsidR="005F60C5" w:rsidRDefault="007952BD" w:rsidP="005F60C5">
      <w:pPr>
        <w:pStyle w:val="Heading3"/>
      </w:pPr>
      <w:bookmarkStart w:id="49" w:name="_Toc16262361"/>
      <w:r>
        <w:t>Adult courts</w:t>
      </w:r>
      <w:bookmarkEnd w:id="49"/>
      <w:r>
        <w:t xml:space="preserve"> </w:t>
      </w:r>
    </w:p>
    <w:p w14:paraId="34D182E6" w14:textId="77777777" w:rsidR="005F60C5" w:rsidRPr="005F60C5" w:rsidRDefault="005F60C5" w:rsidP="005F60C5"/>
    <w:p w14:paraId="1E528839" w14:textId="5F70BEDF" w:rsidR="004A48DC" w:rsidRPr="005F60C5" w:rsidRDefault="00272372" w:rsidP="005F60C5">
      <w:pPr>
        <w:rPr>
          <w:color w:val="FFC000"/>
        </w:rPr>
      </w:pPr>
      <w:r w:rsidRPr="005F60C5">
        <w:t xml:space="preserve">A consistent trend existed towards a heavier distribution </w:t>
      </w:r>
      <w:r w:rsidR="0075053B" w:rsidRPr="005F60C5">
        <w:t xml:space="preserve">of individuals </w:t>
      </w:r>
      <w:r w:rsidRPr="005F60C5">
        <w:t xml:space="preserve">in younger age categories in the Calgary, </w:t>
      </w:r>
      <w:r w:rsidR="007952BD" w:rsidRPr="005F60C5">
        <w:t>North</w:t>
      </w:r>
      <w:r w:rsidRPr="005F60C5">
        <w:t xml:space="preserve">, and </w:t>
      </w:r>
      <w:r w:rsidR="008D12A5" w:rsidRPr="005F60C5">
        <w:t>South Adult Court</w:t>
      </w:r>
      <w:r w:rsidRPr="005F60C5">
        <w:t>s, with 39.32%, 43.99%, and 32.23% of attendees identifying as being under the age of 30, respectively (</w:t>
      </w:r>
      <w:r w:rsidR="003E06B6" w:rsidRPr="005F60C5">
        <w:t xml:space="preserve">Figures 2, </w:t>
      </w:r>
      <w:r w:rsidR="007D4CCA" w:rsidRPr="005F60C5">
        <w:t>1</w:t>
      </w:r>
      <w:r w:rsidR="003E06B6" w:rsidRPr="005F60C5">
        <w:t>5, and 25</w:t>
      </w:r>
      <w:r w:rsidRPr="005F60C5">
        <w:t xml:space="preserve">). </w:t>
      </w:r>
      <w:r w:rsidR="00C9107A" w:rsidRPr="005F60C5">
        <w:t xml:space="preserve">This is congruent with what is observed in </w:t>
      </w:r>
      <w:r w:rsidR="005F60C5" w:rsidRPr="005F60C5">
        <w:t>a</w:t>
      </w:r>
      <w:r w:rsidR="007952BD" w:rsidRPr="005F60C5">
        <w:t>dult courts</w:t>
      </w:r>
      <w:r w:rsidR="00C9107A" w:rsidRPr="005F60C5">
        <w:t xml:space="preserve"> on a national level </w:t>
      </w:r>
      <w:r w:rsidR="00E4533B" w:rsidRPr="005F60C5">
        <w:rPr>
          <w:rFonts w:cs="Arial"/>
          <w:color w:val="000000"/>
          <w:shd w:val="clear" w:color="auto" w:fill="FFFFFF"/>
        </w:rPr>
        <w:t>(Statistics Canada, 2018)</w:t>
      </w:r>
      <w:r w:rsidR="00C9107A" w:rsidRPr="005F60C5">
        <w:t>. Similarly</w:t>
      </w:r>
      <w:r w:rsidR="00E473CD" w:rsidRPr="005F60C5">
        <w:t>, it has been noted that the number of offenders aged 40 and older has been decreasing</w:t>
      </w:r>
      <w:r w:rsidR="00C9107A" w:rsidRPr="005F60C5">
        <w:t xml:space="preserve"> nationally </w:t>
      </w:r>
      <w:r w:rsidR="00E473CD" w:rsidRPr="005F60C5">
        <w:t xml:space="preserve">since 2007, which may also be reflected in the age distributions observed </w:t>
      </w:r>
      <w:r w:rsidR="009E03AF" w:rsidRPr="005F60C5">
        <w:rPr>
          <w:rFonts w:cs="Arial"/>
          <w:color w:val="000000"/>
          <w:shd w:val="clear" w:color="auto" w:fill="FFFFFF"/>
        </w:rPr>
        <w:t>(Public Safety Canada Portfolio Corrections Statistics Committee, 2018)</w:t>
      </w:r>
      <w:r w:rsidR="00E473CD" w:rsidRPr="005F60C5">
        <w:t xml:space="preserve">. </w:t>
      </w:r>
      <w:r w:rsidRPr="005F60C5">
        <w:t xml:space="preserve">This trend is </w:t>
      </w:r>
      <w:r w:rsidR="00A13217" w:rsidRPr="005F60C5">
        <w:t>equally apparent across gender categories (</w:t>
      </w:r>
      <w:r w:rsidR="007D4CCA" w:rsidRPr="005F60C5">
        <w:t>Figure</w:t>
      </w:r>
      <w:r w:rsidR="000477FD" w:rsidRPr="005F60C5">
        <w:t>s</w:t>
      </w:r>
      <w:r w:rsidR="007D4CCA" w:rsidRPr="005F60C5">
        <w:t xml:space="preserve"> 5, 18, and 28</w:t>
      </w:r>
      <w:r w:rsidR="00A13217" w:rsidRPr="005F60C5">
        <w:t>)</w:t>
      </w:r>
      <w:r w:rsidR="00DE2B97" w:rsidRPr="005F60C5">
        <w:t xml:space="preserve">, and the age distribution between genders is quite comparable to that observed in national admission statistics </w:t>
      </w:r>
      <w:r w:rsidR="009E03AF" w:rsidRPr="005F60C5">
        <w:rPr>
          <w:rFonts w:cs="Arial"/>
          <w:color w:val="000000"/>
          <w:shd w:val="clear" w:color="auto" w:fill="FFFFFF"/>
        </w:rPr>
        <w:t>(Public Safety Canada Portfolio Corrections Statistics Committee, 2018)</w:t>
      </w:r>
      <w:r w:rsidR="00E473CD" w:rsidRPr="005F60C5">
        <w:t xml:space="preserve">. </w:t>
      </w:r>
      <w:r w:rsidR="00A13217" w:rsidRPr="005F60C5">
        <w:t xml:space="preserve">Within minority </w:t>
      </w:r>
      <w:r w:rsidR="00652EC1" w:rsidRPr="005F60C5">
        <w:t>status groups</w:t>
      </w:r>
      <w:r w:rsidR="00A13217" w:rsidRPr="005F60C5">
        <w:t>, this trend is especially pronounced in</w:t>
      </w:r>
      <w:r w:rsidR="005200FA">
        <w:t xml:space="preserve"> the</w:t>
      </w:r>
      <w:r w:rsidR="00A13217" w:rsidRPr="005F60C5">
        <w:t xml:space="preserve"> </w:t>
      </w:r>
      <w:r w:rsidR="008D12A5" w:rsidRPr="005F60C5">
        <w:t>North Adult Court</w:t>
      </w:r>
      <w:r w:rsidR="005200FA">
        <w:t>s</w:t>
      </w:r>
      <w:r w:rsidR="00A13217" w:rsidRPr="005F60C5">
        <w:t>, where 50.26% of male Indigenous defendants were under the age of 30 (</w:t>
      </w:r>
      <w:r w:rsidR="00206EF5" w:rsidRPr="005F60C5">
        <w:t>Figure 15</w:t>
      </w:r>
      <w:r w:rsidR="00A13217" w:rsidRPr="005F60C5">
        <w:t xml:space="preserve">). </w:t>
      </w:r>
      <w:r w:rsidR="00EC4D0D" w:rsidRPr="005F60C5">
        <w:t>This is not unexpected, given that the proportion of Calgary’s population that identified as being of Indigenous status was considerably younger than the overall population in 2016, with 44.00% being under the age of 25, in contrast to 31.00% of Calgary’s population as a whole</w:t>
      </w:r>
      <w:r w:rsidR="00FC6089" w:rsidRPr="005F60C5">
        <w:rPr>
          <w:color w:val="FFC000"/>
        </w:rPr>
        <w:t xml:space="preserve"> </w:t>
      </w:r>
      <w:r w:rsidR="00FC6089" w:rsidRPr="005F60C5">
        <w:rPr>
          <w:rFonts w:cs="Arial"/>
          <w:color w:val="000000"/>
          <w:shd w:val="clear" w:color="auto" w:fill="FFFFFF"/>
        </w:rPr>
        <w:t>(Statistics Canada, 2013).</w:t>
      </w:r>
      <w:r w:rsidR="00EC4D0D" w:rsidRPr="005F60C5">
        <w:rPr>
          <w:color w:val="FFC000"/>
        </w:rPr>
        <w:t xml:space="preserve"> </w:t>
      </w:r>
      <w:r w:rsidR="00EC4D0D" w:rsidRPr="005F60C5">
        <w:t>In 2016, the median age for Calgarians with Indigenous status was 28, in contrast to those without Indigenous status at 36.</w:t>
      </w:r>
      <w:r w:rsidR="00542AAD" w:rsidRPr="005F60C5">
        <w:t xml:space="preserve">4 </w:t>
      </w:r>
      <w:r w:rsidR="00FC6089" w:rsidRPr="005F60C5">
        <w:rPr>
          <w:rFonts w:cs="Arial"/>
          <w:color w:val="000000"/>
          <w:shd w:val="clear" w:color="auto" w:fill="FFFFFF"/>
        </w:rPr>
        <w:t>(Statistics Canada, 2013).</w:t>
      </w:r>
    </w:p>
    <w:p w14:paraId="4119E859" w14:textId="661CFF3D" w:rsidR="00CB542C" w:rsidRDefault="007952BD" w:rsidP="00CB542C">
      <w:pPr>
        <w:pStyle w:val="Heading3"/>
      </w:pPr>
      <w:bookmarkStart w:id="50" w:name="_Toc16262362"/>
      <w:r>
        <w:t>Youth courts</w:t>
      </w:r>
      <w:bookmarkEnd w:id="50"/>
      <w:r>
        <w:t xml:space="preserve"> </w:t>
      </w:r>
    </w:p>
    <w:p w14:paraId="2BC927FF" w14:textId="77777777" w:rsidR="00CB542C" w:rsidRDefault="00CB542C" w:rsidP="00272372">
      <w:pPr>
        <w:keepNext/>
        <w:autoSpaceDE w:val="0"/>
        <w:autoSpaceDN w:val="0"/>
        <w:adjustRightInd w:val="0"/>
        <w:spacing w:after="0" w:line="240" w:lineRule="auto"/>
      </w:pPr>
    </w:p>
    <w:p w14:paraId="6129AFBB" w14:textId="6DB3FEFA" w:rsidR="00CB542C" w:rsidRDefault="00A13217" w:rsidP="008B1C89">
      <w:r>
        <w:t xml:space="preserve">Within the Calgary, </w:t>
      </w:r>
      <w:r w:rsidR="007952BD">
        <w:t>North</w:t>
      </w:r>
      <w:r>
        <w:t xml:space="preserve">, and </w:t>
      </w:r>
      <w:r w:rsidR="008D12A5">
        <w:t xml:space="preserve">South Youth </w:t>
      </w:r>
      <w:r w:rsidR="005200FA">
        <w:t>Courts a</w:t>
      </w:r>
      <w:r>
        <w:t xml:space="preserve"> trend existed towards a heavier distribution</w:t>
      </w:r>
      <w:r w:rsidR="000477FD">
        <w:t xml:space="preserve"> of attendees</w:t>
      </w:r>
      <w:r>
        <w:t xml:space="preserve"> in older age categories, with</w:t>
      </w:r>
      <w:r w:rsidR="00652EC1">
        <w:t xml:space="preserve"> 55.17%, 77.35%, and 64.41% of attendees identifying as 16 or older respectively </w:t>
      </w:r>
      <w:r w:rsidR="00652EC1" w:rsidRPr="000477FD">
        <w:t>(</w:t>
      </w:r>
      <w:r w:rsidR="000477FD" w:rsidRPr="000477FD">
        <w:t>Figure</w:t>
      </w:r>
      <w:r w:rsidR="000477FD">
        <w:t>s</w:t>
      </w:r>
      <w:r w:rsidR="000477FD" w:rsidRPr="000477FD">
        <w:t xml:space="preserve"> 34, 41,</w:t>
      </w:r>
      <w:r w:rsidR="000477FD">
        <w:t xml:space="preserve"> and </w:t>
      </w:r>
      <w:r w:rsidR="000477FD" w:rsidRPr="000477FD">
        <w:t>48</w:t>
      </w:r>
      <w:r w:rsidR="00652EC1" w:rsidRPr="000477FD">
        <w:t>).</w:t>
      </w:r>
      <w:r w:rsidR="00652EC1">
        <w:t xml:space="preserve"> This trend is apparent across gender categories</w:t>
      </w:r>
      <w:r w:rsidR="00DB4BCF">
        <w:t xml:space="preserve">, and broadly within minority status groups </w:t>
      </w:r>
      <w:r w:rsidR="00652EC1" w:rsidRPr="000477FD">
        <w:t>(</w:t>
      </w:r>
      <w:r w:rsidR="000477FD" w:rsidRPr="000477FD">
        <w:t>Figures 37, 44, and 51)</w:t>
      </w:r>
      <w:r w:rsidR="00652EC1" w:rsidRPr="000477FD">
        <w:t>.</w:t>
      </w:r>
      <w:r w:rsidR="00652EC1">
        <w:t xml:space="preserve"> </w:t>
      </w:r>
      <w:r w:rsidR="000477FD">
        <w:t>A</w:t>
      </w:r>
      <w:r w:rsidR="00DB4BCF">
        <w:t xml:space="preserve"> tendency towards a higher density of older attendees</w:t>
      </w:r>
      <w:r w:rsidR="00652EC1">
        <w:t xml:space="preserve"> was particularly apparent in male attendees without minority status</w:t>
      </w:r>
      <w:r w:rsidR="000477FD">
        <w:t>,</w:t>
      </w:r>
      <w:r w:rsidR="00652EC1">
        <w:t xml:space="preserve"> in both</w:t>
      </w:r>
      <w:r w:rsidR="000477FD">
        <w:t xml:space="preserve"> the</w:t>
      </w:r>
      <w:r w:rsidR="00652EC1">
        <w:t xml:space="preserve"> Calgary and </w:t>
      </w:r>
      <w:r w:rsidR="008D12A5">
        <w:t>North Youth Court</w:t>
      </w:r>
      <w:r w:rsidR="00652EC1">
        <w:t>s, where 57.66% and 86.37% of attendees were 16 or older, respectively (</w:t>
      </w:r>
      <w:r w:rsidR="000477FD" w:rsidRPr="000477FD">
        <w:t>Figures 34 and 41</w:t>
      </w:r>
      <w:r w:rsidR="00652EC1" w:rsidRPr="000477FD">
        <w:t>).</w:t>
      </w:r>
      <w:r w:rsidR="00652EC1">
        <w:t xml:space="preserve"> Given the small sample size, it is </w:t>
      </w:r>
      <w:r w:rsidR="005200FA">
        <w:t>challenging to draw strong conclusions</w:t>
      </w:r>
      <w:r w:rsidR="00652EC1">
        <w:t xml:space="preserve"> on age distribution within minorit</w:t>
      </w:r>
      <w:r w:rsidR="004C0FB7">
        <w:t>y</w:t>
      </w:r>
      <w:r w:rsidR="00652EC1">
        <w:t xml:space="preserve"> status categories in </w:t>
      </w:r>
      <w:r w:rsidR="005200FA">
        <w:t xml:space="preserve">the </w:t>
      </w:r>
      <w:r w:rsidR="008D12A5">
        <w:t>South Youth Court</w:t>
      </w:r>
      <w:r w:rsidR="005200FA">
        <w:t>s</w:t>
      </w:r>
      <w:r w:rsidR="00652EC1">
        <w:t xml:space="preserve"> (</w:t>
      </w:r>
      <w:r w:rsidR="000477FD" w:rsidRPr="000477FD">
        <w:t>Figure 51</w:t>
      </w:r>
      <w:r w:rsidR="00652EC1" w:rsidRPr="000477FD">
        <w:t>)</w:t>
      </w:r>
      <w:r w:rsidR="00652EC1">
        <w:t>.</w:t>
      </w:r>
    </w:p>
    <w:p w14:paraId="2EE7BB1D" w14:textId="2EC26B0D" w:rsidR="00CB542C" w:rsidRDefault="007952BD" w:rsidP="00CB542C">
      <w:pPr>
        <w:pStyle w:val="Heading3"/>
      </w:pPr>
      <w:bookmarkStart w:id="51" w:name="_Toc16262363"/>
      <w:r>
        <w:t>Traffic courts</w:t>
      </w:r>
      <w:bookmarkEnd w:id="51"/>
      <w:r>
        <w:t xml:space="preserve"> </w:t>
      </w:r>
    </w:p>
    <w:p w14:paraId="468F5BA5" w14:textId="77777777" w:rsidR="00A13217" w:rsidRDefault="00A13217" w:rsidP="00272372">
      <w:pPr>
        <w:keepNext/>
        <w:autoSpaceDE w:val="0"/>
        <w:autoSpaceDN w:val="0"/>
        <w:adjustRightInd w:val="0"/>
        <w:spacing w:after="0" w:line="240" w:lineRule="auto"/>
      </w:pPr>
    </w:p>
    <w:p w14:paraId="41949C57" w14:textId="037C330A" w:rsidR="009A16AC" w:rsidRDefault="009A16AC" w:rsidP="00272372">
      <w:pPr>
        <w:keepNext/>
        <w:autoSpaceDE w:val="0"/>
        <w:autoSpaceDN w:val="0"/>
        <w:adjustRightInd w:val="0"/>
        <w:spacing w:after="0" w:line="240" w:lineRule="auto"/>
      </w:pPr>
      <w:r>
        <w:t xml:space="preserve">Amongst both the Calgary and </w:t>
      </w:r>
      <w:r w:rsidR="007952BD">
        <w:t>South</w:t>
      </w:r>
      <w:r>
        <w:t xml:space="preserve"> </w:t>
      </w:r>
      <w:r w:rsidR="007952BD">
        <w:t xml:space="preserve">Traffic </w:t>
      </w:r>
      <w:r w:rsidR="00F0314F">
        <w:t>C</w:t>
      </w:r>
      <w:r w:rsidR="007952BD">
        <w:t>ourts</w:t>
      </w:r>
      <w:r>
        <w:t xml:space="preserve">, attendee age distribution was relatively even, though </w:t>
      </w:r>
      <w:r w:rsidR="006F5A95">
        <w:t>there existed a</w:t>
      </w:r>
      <w:r>
        <w:t xml:space="preserve"> </w:t>
      </w:r>
      <w:r w:rsidR="006F5A95">
        <w:t>modestly</w:t>
      </w:r>
      <w:r>
        <w:t xml:space="preserve"> heavier distribution between the middle and younger age categories, respectively (</w:t>
      </w:r>
      <w:r w:rsidR="006F5A95" w:rsidRPr="006F5A95">
        <w:t xml:space="preserve">Figures </w:t>
      </w:r>
      <w:r w:rsidR="006F5A95">
        <w:t>56 and 69</w:t>
      </w:r>
      <w:r>
        <w:t>).</w:t>
      </w:r>
      <w:r w:rsidR="00BC2F75">
        <w:t xml:space="preserve"> The oldest age groups consistently demonstrated the lowest attendee counts (</w:t>
      </w:r>
      <w:r w:rsidR="006F5A95" w:rsidRPr="001928EC">
        <w:t xml:space="preserve">Figures </w:t>
      </w:r>
      <w:r w:rsidR="001928EC" w:rsidRPr="001928EC">
        <w:t>56 and 69</w:t>
      </w:r>
      <w:r w:rsidR="00BC2F75" w:rsidRPr="001928EC">
        <w:t>); it</w:t>
      </w:r>
      <w:r w:rsidR="00BC2F75">
        <w:t xml:space="preserve"> is likely that the lower proportion of drivers </w:t>
      </w:r>
      <w:r w:rsidR="000C4974">
        <w:t>of</w:t>
      </w:r>
      <w:r w:rsidR="001928EC">
        <w:t xml:space="preserve"> this demographic </w:t>
      </w:r>
      <w:r w:rsidR="00951400">
        <w:t>is</w:t>
      </w:r>
      <w:r w:rsidR="00BC2F75">
        <w:t xml:space="preserve"> at least partly account</w:t>
      </w:r>
      <w:r w:rsidR="00951400">
        <w:t xml:space="preserve">ed </w:t>
      </w:r>
      <w:r w:rsidR="00BC2F75">
        <w:t xml:space="preserve">for </w:t>
      </w:r>
      <w:r w:rsidR="00951400">
        <w:t xml:space="preserve">by the lower proportion of drivers in this age category </w:t>
      </w:r>
      <w:r w:rsidR="000C4974">
        <w:t xml:space="preserve">as a whole who </w:t>
      </w:r>
      <w:r w:rsidR="00951400">
        <w:t xml:space="preserve">regularly </w:t>
      </w:r>
      <w:r w:rsidR="000C4974">
        <w:t xml:space="preserve">drive, and possess valid </w:t>
      </w:r>
      <w:r w:rsidR="000C4974">
        <w:lastRenderedPageBreak/>
        <w:t>licenses</w:t>
      </w:r>
      <w:r w:rsidR="00BC2F75">
        <w:t>.</w:t>
      </w:r>
      <w:r w:rsidR="00EE57B0">
        <w:t xml:space="preserve"> </w:t>
      </w:r>
      <w:r>
        <w:t>Th</w:t>
      </w:r>
      <w:r w:rsidR="00EE57B0">
        <w:t>ese</w:t>
      </w:r>
      <w:r>
        <w:t xml:space="preserve"> same trend</w:t>
      </w:r>
      <w:r w:rsidR="00EE57B0">
        <w:t>s are</w:t>
      </w:r>
      <w:r>
        <w:t xml:space="preserve"> observed in both gender groups (</w:t>
      </w:r>
      <w:r w:rsidR="000C4974" w:rsidRPr="000C4974">
        <w:t>Figures 56 and 69</w:t>
      </w:r>
      <w:r>
        <w:t>).</w:t>
      </w:r>
      <w:r w:rsidR="00645CEE">
        <w:t xml:space="preserve"> Within minority status groups, </w:t>
      </w:r>
      <w:r w:rsidR="000C4974">
        <w:t>disproportionate representation</w:t>
      </w:r>
      <w:r>
        <w:t xml:space="preserve"> </w:t>
      </w:r>
      <w:r w:rsidR="006F166A">
        <w:t xml:space="preserve">can be </w:t>
      </w:r>
      <w:r w:rsidR="000C4974">
        <w:t xml:space="preserve">observed </w:t>
      </w:r>
      <w:r>
        <w:t xml:space="preserve">in Calgary’s </w:t>
      </w:r>
      <w:r w:rsidR="007952BD">
        <w:t>Traffic Court</w:t>
      </w:r>
      <w:r>
        <w:t>,</w:t>
      </w:r>
      <w:r w:rsidR="006F166A">
        <w:t xml:space="preserve"> where</w:t>
      </w:r>
      <w:r>
        <w:t xml:space="preserve"> </w:t>
      </w:r>
      <w:r w:rsidR="00BC2F75">
        <w:t xml:space="preserve">31.50% and 32.78% of </w:t>
      </w:r>
      <w:r w:rsidR="006F166A">
        <w:t xml:space="preserve">male </w:t>
      </w:r>
      <w:r w:rsidR="00BC2F75">
        <w:t>newcomers</w:t>
      </w:r>
      <w:r w:rsidR="006F166A">
        <w:t xml:space="preserve"> </w:t>
      </w:r>
      <w:r w:rsidR="00BC2F75">
        <w:t>were aged 18-29 and 30-39, respectively (</w:t>
      </w:r>
      <w:r w:rsidR="000C4974" w:rsidRPr="000C4974">
        <w:t>Figure 58</w:t>
      </w:r>
      <w:r w:rsidR="00BC2F75">
        <w:t>).</w:t>
      </w:r>
    </w:p>
    <w:p w14:paraId="0BB5BAF1" w14:textId="05ADEDA1" w:rsidR="00BC2F75" w:rsidRDefault="00BC2F75" w:rsidP="00272372">
      <w:pPr>
        <w:keepNext/>
        <w:autoSpaceDE w:val="0"/>
        <w:autoSpaceDN w:val="0"/>
        <w:adjustRightInd w:val="0"/>
        <w:spacing w:after="0" w:line="240" w:lineRule="auto"/>
      </w:pPr>
    </w:p>
    <w:p w14:paraId="7C81F01C" w14:textId="1C62E2E2" w:rsidR="00CB542C" w:rsidRDefault="007952BD" w:rsidP="00CB542C">
      <w:pPr>
        <w:pStyle w:val="Heading3"/>
      </w:pPr>
      <w:bookmarkStart w:id="52" w:name="_Toc16262364"/>
      <w:r>
        <w:t>Domestic Court</w:t>
      </w:r>
      <w:bookmarkEnd w:id="52"/>
    </w:p>
    <w:p w14:paraId="3AA05537" w14:textId="77777777" w:rsidR="00CB542C" w:rsidRDefault="00CB542C" w:rsidP="00272372">
      <w:pPr>
        <w:keepNext/>
        <w:autoSpaceDE w:val="0"/>
        <w:autoSpaceDN w:val="0"/>
        <w:adjustRightInd w:val="0"/>
        <w:spacing w:after="0" w:line="240" w:lineRule="auto"/>
      </w:pPr>
    </w:p>
    <w:p w14:paraId="3C399181" w14:textId="39EB9BB5" w:rsidR="001E09D4" w:rsidRPr="00C238EC" w:rsidRDefault="00561BA6" w:rsidP="0081225E">
      <w:r w:rsidRPr="00C238EC">
        <w:t xml:space="preserve">In </w:t>
      </w:r>
      <w:r w:rsidR="007952BD" w:rsidRPr="00C238EC">
        <w:t>Domestic Court</w:t>
      </w:r>
      <w:r w:rsidRPr="00C238EC">
        <w:t>, attendee age distribution was highly concentrated in the younger age categories</w:t>
      </w:r>
      <w:r w:rsidR="00EC6706" w:rsidRPr="00C238EC">
        <w:t>, with 33.03% and 35.46% of defendants aged 18-29 and 30-39, respectively</w:t>
      </w:r>
      <w:r w:rsidRPr="00C238EC">
        <w:t xml:space="preserve"> (</w:t>
      </w:r>
      <w:r w:rsidR="00DE2B97" w:rsidRPr="00C238EC">
        <w:t>Figure 78</w:t>
      </w:r>
      <w:r w:rsidR="00EC6706" w:rsidRPr="00C238EC">
        <w:t>).</w:t>
      </w:r>
      <w:r w:rsidR="00906ADD" w:rsidRPr="00C238EC">
        <w:t xml:space="preserve"> This trend is apparent across gender categories (</w:t>
      </w:r>
      <w:r w:rsidR="00DE2B97" w:rsidRPr="00C238EC">
        <w:t>Figure 78</w:t>
      </w:r>
      <w:r w:rsidR="00906ADD" w:rsidRPr="00C238EC">
        <w:t>). Similarly, within minority status groups there is a tendency towards younger ages of defendants, particularly in Indigenous attendees, for which 41.51% of individuals were under the age of 30 (</w:t>
      </w:r>
      <w:r w:rsidR="00DE2B97" w:rsidRPr="00C238EC">
        <w:t>Figure 80</w:t>
      </w:r>
      <w:r w:rsidR="00906ADD" w:rsidRPr="00C238EC">
        <w:t xml:space="preserve">). This is likely </w:t>
      </w:r>
      <w:r w:rsidR="00DE2B97" w:rsidRPr="00C238EC">
        <w:t>at least partly</w:t>
      </w:r>
      <w:r w:rsidR="00906ADD" w:rsidRPr="00C238EC">
        <w:t xml:space="preserve"> attributable to </w:t>
      </w:r>
      <w:r w:rsidR="00DE2B97" w:rsidRPr="00C238EC">
        <w:t xml:space="preserve">the fact that Alberta’s Indigenous population is significantly younger than the general population </w:t>
      </w:r>
      <w:r w:rsidR="00FC6089" w:rsidRPr="00C238EC">
        <w:rPr>
          <w:rFonts w:cs="Arial"/>
          <w:color w:val="000000"/>
          <w:shd w:val="clear" w:color="auto" w:fill="FFFFFF"/>
        </w:rPr>
        <w:t>(Statistics Canada, 2013)</w:t>
      </w:r>
      <w:r w:rsidR="00906ADD" w:rsidRPr="00C238EC">
        <w:t>.</w:t>
      </w:r>
      <w:r w:rsidR="00DE2B97" w:rsidRPr="00C238EC">
        <w:t xml:space="preserve"> In 2016, the median age for Calgarians with Indigenous status was 28, in contrast to those without Indigenous status at 36.4 </w:t>
      </w:r>
      <w:r w:rsidR="003D1282" w:rsidRPr="00C238EC">
        <w:t>(Statistics Canada, 2013)</w:t>
      </w:r>
      <w:r w:rsidR="00DE2B97" w:rsidRPr="00C238EC">
        <w:t>.</w:t>
      </w:r>
    </w:p>
    <w:p w14:paraId="5C62AD77" w14:textId="31B266BB" w:rsidR="00C7493B" w:rsidRDefault="00C7493B" w:rsidP="00C7493B">
      <w:pPr>
        <w:pStyle w:val="Heading2"/>
      </w:pPr>
      <w:bookmarkStart w:id="53" w:name="_Toc16262365"/>
      <w:r>
        <w:t>Minority Status</w:t>
      </w:r>
      <w:bookmarkEnd w:id="53"/>
    </w:p>
    <w:p w14:paraId="241BD4E6" w14:textId="04F4AC82" w:rsidR="00C7493B" w:rsidRDefault="00C7493B" w:rsidP="00C7493B"/>
    <w:p w14:paraId="398ABA10" w14:textId="5E58AAFF" w:rsidR="006F023D" w:rsidRDefault="007952BD" w:rsidP="006F023D">
      <w:pPr>
        <w:pStyle w:val="Heading3"/>
      </w:pPr>
      <w:bookmarkStart w:id="54" w:name="_Toc16262366"/>
      <w:r>
        <w:t>Adult courts</w:t>
      </w:r>
      <w:bookmarkEnd w:id="54"/>
      <w:r>
        <w:t xml:space="preserve"> </w:t>
      </w:r>
      <w:r w:rsidR="006F023D">
        <w:t xml:space="preserve"> </w:t>
      </w:r>
    </w:p>
    <w:p w14:paraId="5E680920" w14:textId="77777777" w:rsidR="006F023D" w:rsidRPr="006F023D" w:rsidRDefault="006F023D" w:rsidP="006F023D"/>
    <w:p w14:paraId="0547F03E" w14:textId="43EBD0B6" w:rsidR="006336F8" w:rsidRPr="00C238EC" w:rsidRDefault="00554DE0" w:rsidP="00D13471">
      <w:r w:rsidRPr="00C238EC">
        <w:t>Within</w:t>
      </w:r>
      <w:r w:rsidR="001C6D95" w:rsidRPr="00C238EC">
        <w:t xml:space="preserve"> the Calgary, </w:t>
      </w:r>
      <w:r w:rsidR="007952BD" w:rsidRPr="00C238EC">
        <w:t>North</w:t>
      </w:r>
      <w:r w:rsidR="001C6D95" w:rsidRPr="00C238EC">
        <w:t xml:space="preserve">, and </w:t>
      </w:r>
      <w:r w:rsidR="008D12A5" w:rsidRPr="00C238EC">
        <w:t>South Adult Court</w:t>
      </w:r>
      <w:r w:rsidR="001C6D95" w:rsidRPr="00C238EC">
        <w:t>s there existed significant d</w:t>
      </w:r>
      <w:r w:rsidRPr="00C238EC">
        <w:t xml:space="preserve">ivergence </w:t>
      </w:r>
      <w:r w:rsidR="008E54DE" w:rsidRPr="00C238EC">
        <w:t xml:space="preserve">in </w:t>
      </w:r>
      <w:r w:rsidRPr="00C238EC">
        <w:t xml:space="preserve">the representation of minority status groups. </w:t>
      </w:r>
    </w:p>
    <w:p w14:paraId="415818CF" w14:textId="6C6547F4" w:rsidR="00C949C6" w:rsidRPr="00C238EC" w:rsidRDefault="00554DE0" w:rsidP="00C1408F">
      <w:pPr>
        <w:rPr>
          <w:color w:val="00B050"/>
        </w:rPr>
      </w:pPr>
      <w:r w:rsidRPr="00C238EC">
        <w:t xml:space="preserve">In </w:t>
      </w:r>
      <w:r w:rsidR="008D12A5" w:rsidRPr="00C238EC">
        <w:t>Calgary’s Adult Court</w:t>
      </w:r>
      <w:r w:rsidRPr="00C238EC">
        <w:t>, 19.06% and 5.39% of attendees identified as Indigenous or as a newcomer, respectively (</w:t>
      </w:r>
      <w:r w:rsidR="007429C4" w:rsidRPr="00C238EC">
        <w:t>Figure 4</w:t>
      </w:r>
      <w:r w:rsidRPr="00C238EC">
        <w:t>).</w:t>
      </w:r>
      <w:r w:rsidR="00D13471" w:rsidRPr="00C238EC">
        <w:t xml:space="preserve"> </w:t>
      </w:r>
      <w:r w:rsidR="00A50A7F" w:rsidRPr="00C238EC">
        <w:t xml:space="preserve">According to the </w:t>
      </w:r>
      <w:r w:rsidR="00627B57" w:rsidRPr="00C238EC">
        <w:t>2011 Civic</w:t>
      </w:r>
      <w:r w:rsidR="00A50A7F" w:rsidRPr="00C238EC">
        <w:t xml:space="preserve"> Census, </w:t>
      </w:r>
      <w:r w:rsidR="00627B57" w:rsidRPr="00C238EC">
        <w:t xml:space="preserve">only </w:t>
      </w:r>
      <w:r w:rsidR="00744D22" w:rsidRPr="00C238EC">
        <w:t>2.7</w:t>
      </w:r>
      <w:r w:rsidR="00A50A7F" w:rsidRPr="00C238EC">
        <w:t xml:space="preserve">% of </w:t>
      </w:r>
      <w:r w:rsidR="00C95C85" w:rsidRPr="00C238EC">
        <w:t>Calgarians</w:t>
      </w:r>
      <w:r w:rsidR="00A50A7F" w:rsidRPr="00C238EC">
        <w:t xml:space="preserve"> identified as </w:t>
      </w:r>
      <w:r w:rsidR="00C95C85" w:rsidRPr="00C238EC">
        <w:t xml:space="preserve">being of </w:t>
      </w:r>
      <w:r w:rsidR="00A50A7F" w:rsidRPr="00C238EC">
        <w:t>Indigenous</w:t>
      </w:r>
      <w:r w:rsidR="00C95C85" w:rsidRPr="00C238EC">
        <w:t xml:space="preserve"> status</w:t>
      </w:r>
      <w:r w:rsidR="007429C4" w:rsidRPr="00C238EC">
        <w:t xml:space="preserve"> (</w:t>
      </w:r>
      <w:r w:rsidR="00FC6089" w:rsidRPr="00C238EC">
        <w:rPr>
          <w:rFonts w:cs="Arial"/>
          <w:color w:val="000000"/>
          <w:shd w:val="clear" w:color="auto" w:fill="FFFFFF"/>
        </w:rPr>
        <w:t>Statistics Canada, 2013)</w:t>
      </w:r>
      <w:r w:rsidR="00C95C85" w:rsidRPr="00C238EC">
        <w:t xml:space="preserve">. </w:t>
      </w:r>
      <w:r w:rsidR="003B72B4" w:rsidRPr="00C238EC">
        <w:t xml:space="preserve">By these numbers, there </w:t>
      </w:r>
      <w:r w:rsidR="00F82EBE" w:rsidRPr="00C238EC">
        <w:t>exists</w:t>
      </w:r>
      <w:r w:rsidR="003B72B4" w:rsidRPr="00C238EC">
        <w:t xml:space="preserve"> </w:t>
      </w:r>
      <w:r w:rsidR="00744D22" w:rsidRPr="00C238EC">
        <w:t>profound</w:t>
      </w:r>
      <w:r w:rsidR="003B72B4" w:rsidRPr="00C238EC">
        <w:t xml:space="preserve"> overrepresentation of Indigenous individuals in </w:t>
      </w:r>
      <w:r w:rsidR="008D12A5" w:rsidRPr="00C238EC">
        <w:t>Calgary’s Adult Court</w:t>
      </w:r>
      <w:r w:rsidR="003B72B4" w:rsidRPr="00C238EC">
        <w:t xml:space="preserve">. </w:t>
      </w:r>
      <w:r w:rsidR="00F82EBE" w:rsidRPr="00C238EC">
        <w:t>This is congruent with</w:t>
      </w:r>
      <w:r w:rsidR="00744D22" w:rsidRPr="00C238EC">
        <w:t xml:space="preserve"> conclusions drawn from</w:t>
      </w:r>
      <w:r w:rsidR="00F82EBE" w:rsidRPr="00C238EC">
        <w:t xml:space="preserve"> </w:t>
      </w:r>
      <w:r w:rsidR="00744D22" w:rsidRPr="00C238EC">
        <w:t xml:space="preserve">national data as recent as 2018, which indicated that Indigenous adults accounted for approximately 30% of admissions to provincial and federal custody, despite representing only 4% of the overall Canadian adult population </w:t>
      </w:r>
      <w:r w:rsidR="00E4533B" w:rsidRPr="00C238EC">
        <w:rPr>
          <w:rFonts w:cs="Arial"/>
          <w:color w:val="000000"/>
          <w:shd w:val="clear" w:color="auto" w:fill="FFFFFF"/>
        </w:rPr>
        <w:t>(Statistics Canada, 2018)</w:t>
      </w:r>
      <w:r w:rsidR="00744D22" w:rsidRPr="00C238EC">
        <w:t>.</w:t>
      </w:r>
      <w:r w:rsidR="00232EF7" w:rsidRPr="00C238EC">
        <w:t xml:space="preserve"> The overrepresentation of Indigenous </w:t>
      </w:r>
      <w:r w:rsidR="00994206" w:rsidRPr="00C238EC">
        <w:t xml:space="preserve">adults in the criminal justice system </w:t>
      </w:r>
      <w:r w:rsidR="0095448C" w:rsidRPr="00C238EC">
        <w:t>is</w:t>
      </w:r>
      <w:r w:rsidR="00994206" w:rsidRPr="00C238EC">
        <w:t xml:space="preserve"> longstanding, and well documented, understood to be</w:t>
      </w:r>
      <w:r w:rsidR="0095448C" w:rsidRPr="00C238EC">
        <w:t xml:space="preserve"> predominantly</w:t>
      </w:r>
      <w:r w:rsidR="00994206" w:rsidRPr="00C238EC">
        <w:t xml:space="preserve"> attributable to the legacy effects of c</w:t>
      </w:r>
      <w:r w:rsidR="00C238EC" w:rsidRPr="00C238EC">
        <w:t>olonization</w:t>
      </w:r>
      <w:r w:rsidR="00147B9D" w:rsidRPr="00C238EC">
        <w:t xml:space="preserve"> </w:t>
      </w:r>
      <w:r w:rsidR="007418B0" w:rsidRPr="00C238EC">
        <w:rPr>
          <w:rFonts w:cs="Arial"/>
          <w:color w:val="000000"/>
          <w:shd w:val="clear" w:color="auto" w:fill="FFFFFF"/>
        </w:rPr>
        <w:t>(Statistics Canada, 2017)</w:t>
      </w:r>
      <w:r w:rsidR="00C1408F" w:rsidRPr="00C238EC">
        <w:t>; along a related vein, previous research has suggested that the broadly younger age of Indigenous populations, and certain education and employment characteristics</w:t>
      </w:r>
      <w:r w:rsidR="0095448C" w:rsidRPr="00C238EC">
        <w:t>,</w:t>
      </w:r>
      <w:r w:rsidR="00C1408F" w:rsidRPr="00C238EC">
        <w:t xml:space="preserve"> may account for </w:t>
      </w:r>
      <w:r w:rsidR="0095448C" w:rsidRPr="00C238EC">
        <w:t xml:space="preserve">some of this overrepresentation in the criminal justice system </w:t>
      </w:r>
      <w:r w:rsidR="007418B0" w:rsidRPr="00C238EC">
        <w:rPr>
          <w:rFonts w:cs="Arial"/>
          <w:color w:val="000000"/>
          <w:shd w:val="clear" w:color="auto" w:fill="FFFFFF"/>
        </w:rPr>
        <w:t>(Statistics Canada, 2017)</w:t>
      </w:r>
      <w:r w:rsidR="0095448C" w:rsidRPr="00C238EC">
        <w:t xml:space="preserve">. </w:t>
      </w:r>
      <w:r w:rsidR="00795944" w:rsidRPr="00C238EC">
        <w:t xml:space="preserve">When examining gender </w:t>
      </w:r>
      <w:r w:rsidR="0069020E" w:rsidRPr="00C238EC">
        <w:t>categories</w:t>
      </w:r>
      <w:r w:rsidR="00795944" w:rsidRPr="00C238EC">
        <w:t xml:space="preserve"> across minority status</w:t>
      </w:r>
      <w:r w:rsidR="002537E3" w:rsidRPr="00C238EC">
        <w:t xml:space="preserve"> classifications</w:t>
      </w:r>
      <w:r w:rsidR="00795944" w:rsidRPr="00C238EC">
        <w:t>, it is apparent that</w:t>
      </w:r>
      <w:r w:rsidR="002537E3" w:rsidRPr="00C238EC">
        <w:t xml:space="preserve"> while the overrepresentation of men </w:t>
      </w:r>
      <w:r w:rsidR="00DD401E" w:rsidRPr="00C238EC">
        <w:t xml:space="preserve">is </w:t>
      </w:r>
      <w:r w:rsidR="00432B48" w:rsidRPr="00C238EC">
        <w:t>common to</w:t>
      </w:r>
      <w:r w:rsidR="00DD401E" w:rsidRPr="00C238EC">
        <w:t xml:space="preserve"> all groups, in </w:t>
      </w:r>
      <w:r w:rsidR="00795944" w:rsidRPr="00C238EC">
        <w:t>Indigenous attendee</w:t>
      </w:r>
      <w:r w:rsidR="00DD401E" w:rsidRPr="00C238EC">
        <w:t>s the</w:t>
      </w:r>
      <w:r w:rsidR="0069020E" w:rsidRPr="00C238EC">
        <w:t xml:space="preserve"> gender distribution</w:t>
      </w:r>
      <w:r w:rsidR="00795944" w:rsidRPr="00C238EC">
        <w:t xml:space="preserve"> </w:t>
      </w:r>
      <w:r w:rsidR="00432B48" w:rsidRPr="00C238EC">
        <w:t>is the</w:t>
      </w:r>
      <w:r w:rsidR="00795944" w:rsidRPr="00C238EC">
        <w:t xml:space="preserve"> most even, with male attendees demonstrating a prevalence of </w:t>
      </w:r>
      <w:r w:rsidR="005D364A" w:rsidRPr="00C238EC">
        <w:t xml:space="preserve">1.65X </w:t>
      </w:r>
      <w:r w:rsidR="00795944" w:rsidRPr="00C238EC">
        <w:t xml:space="preserve">that of </w:t>
      </w:r>
      <w:r w:rsidR="00381CE5" w:rsidRPr="00C238EC">
        <w:t xml:space="preserve">their </w:t>
      </w:r>
      <w:r w:rsidR="00795944" w:rsidRPr="00C238EC">
        <w:t>age-matched female</w:t>
      </w:r>
      <w:r w:rsidR="00432B48" w:rsidRPr="00C238EC">
        <w:t xml:space="preserve"> peers</w:t>
      </w:r>
      <w:r w:rsidR="00795944" w:rsidRPr="00C238EC">
        <w:t xml:space="preserve"> for the most contributory age groups (</w:t>
      </w:r>
      <w:r w:rsidR="00381CE5" w:rsidRPr="00C238EC">
        <w:t>Figure 5</w:t>
      </w:r>
      <w:r w:rsidR="00795944" w:rsidRPr="00C238EC">
        <w:t xml:space="preserve">). This is consistent with the finding that </w:t>
      </w:r>
      <w:r w:rsidR="00BF653A" w:rsidRPr="00C238EC">
        <w:t xml:space="preserve">Indigenous women are broadly more likely to interact with the criminal justice system than women without minority status, owing to the legacy effects of </w:t>
      </w:r>
      <w:r w:rsidR="00C238EC" w:rsidRPr="00C238EC">
        <w:t>colonization</w:t>
      </w:r>
      <w:r w:rsidR="00BF653A" w:rsidRPr="00C238EC">
        <w:t xml:space="preserve"> </w:t>
      </w:r>
      <w:r w:rsidR="007418B0" w:rsidRPr="00C238EC">
        <w:rPr>
          <w:rFonts w:cs="Arial"/>
          <w:color w:val="000000"/>
          <w:shd w:val="clear" w:color="auto" w:fill="FFFFFF"/>
        </w:rPr>
        <w:t>(Statistics Canada, 2017)</w:t>
      </w:r>
      <w:r w:rsidR="00795944" w:rsidRPr="00C238EC">
        <w:t>.</w:t>
      </w:r>
      <w:r w:rsidR="00C1408F" w:rsidRPr="00C238EC">
        <w:rPr>
          <w:color w:val="00B050"/>
        </w:rPr>
        <w:t xml:space="preserve"> </w:t>
      </w:r>
    </w:p>
    <w:p w14:paraId="28382CA7" w14:textId="6E7B160F" w:rsidR="00196F51" w:rsidRPr="00C238EC" w:rsidRDefault="00D13471" w:rsidP="00D13471">
      <w:r w:rsidRPr="00C238EC">
        <w:t xml:space="preserve">According to the 2016 National Census, </w:t>
      </w:r>
      <w:r w:rsidR="00E17510" w:rsidRPr="00C238EC">
        <w:t>Calgary accepted 93,255 immigrants between 2011 and 2016</w:t>
      </w:r>
      <w:r w:rsidR="00FC0BA8" w:rsidRPr="00C238EC">
        <w:t xml:space="preserve"> </w:t>
      </w:r>
      <w:r w:rsidR="0081339A" w:rsidRPr="00C238EC">
        <w:rPr>
          <w:rFonts w:cs="Arial"/>
          <w:color w:val="000000"/>
          <w:shd w:val="clear" w:color="auto" w:fill="FFFFFF"/>
        </w:rPr>
        <w:t>(Statistics Canada, 2017)</w:t>
      </w:r>
      <w:r w:rsidR="00E17510" w:rsidRPr="00C238EC">
        <w:t xml:space="preserve">. Of </w:t>
      </w:r>
      <w:r w:rsidRPr="00C238EC">
        <w:t xml:space="preserve">this </w:t>
      </w:r>
      <w:r w:rsidR="007B4187" w:rsidRPr="00C238EC">
        <w:t xml:space="preserve">new immigrant </w:t>
      </w:r>
      <w:r w:rsidRPr="00C238EC">
        <w:t>population</w:t>
      </w:r>
      <w:r w:rsidR="00E17510" w:rsidRPr="00C238EC">
        <w:t xml:space="preserve">, individuals aged 15-24 and 25-44 made up 19.61% and 44.82% </w:t>
      </w:r>
      <w:r w:rsidR="007B4187" w:rsidRPr="00C238EC">
        <w:t xml:space="preserve">of all </w:t>
      </w:r>
      <w:r w:rsidR="002768A3" w:rsidRPr="00C238EC">
        <w:t>individuals</w:t>
      </w:r>
      <w:r w:rsidR="007B4187" w:rsidRPr="00C238EC">
        <w:t xml:space="preserve"> </w:t>
      </w:r>
      <w:r w:rsidR="0081339A" w:rsidRPr="00C238EC">
        <w:rPr>
          <w:rFonts w:cs="Arial"/>
          <w:color w:val="000000"/>
          <w:shd w:val="clear" w:color="auto" w:fill="FFFFFF"/>
        </w:rPr>
        <w:t xml:space="preserve">(Statistics Canada, 2017). </w:t>
      </w:r>
      <w:r w:rsidR="00E17510" w:rsidRPr="00C238EC">
        <w:t xml:space="preserve">In 2016, </w:t>
      </w:r>
      <w:r w:rsidR="00D2725D" w:rsidRPr="00C238EC">
        <w:t>this demographic</w:t>
      </w:r>
      <w:r w:rsidR="00E17510" w:rsidRPr="00C238EC">
        <w:t xml:space="preserve"> made up 6.70% of Calgary’s population.</w:t>
      </w:r>
      <w:r w:rsidR="00E17510" w:rsidRPr="00C238EC">
        <w:rPr>
          <w:color w:val="00FFCC"/>
        </w:rPr>
        <w:t xml:space="preserve"> </w:t>
      </w:r>
      <w:r w:rsidR="00D2725D" w:rsidRPr="00C238EC">
        <w:t>By these statistics, it would appear that attendees who immigrated to Ca</w:t>
      </w:r>
      <w:r w:rsidR="00C24E7B" w:rsidRPr="00C238EC">
        <w:t>lgary</w:t>
      </w:r>
      <w:r w:rsidR="00D2725D" w:rsidRPr="00C238EC">
        <w:t xml:space="preserve"> in the past 5 years would be underrepresented in</w:t>
      </w:r>
      <w:r w:rsidR="00C24E7B" w:rsidRPr="00C238EC">
        <w:t xml:space="preserve"> </w:t>
      </w:r>
      <w:r w:rsidR="008D12A5" w:rsidRPr="00C238EC">
        <w:t>Calgary’s Adult Court</w:t>
      </w:r>
      <w:r w:rsidR="00854B5A" w:rsidRPr="00C238EC">
        <w:t xml:space="preserve"> (Figure 4)</w:t>
      </w:r>
      <w:r w:rsidR="00A50A7F" w:rsidRPr="00C238EC">
        <w:t xml:space="preserve">, </w:t>
      </w:r>
      <w:r w:rsidR="00854B5A" w:rsidRPr="00C238EC">
        <w:t>however,</w:t>
      </w:r>
      <w:r w:rsidR="00A50A7F" w:rsidRPr="00C238EC">
        <w:t xml:space="preserve"> there exists a paucity of data relating to immigration rates in 2017 and 2018, rendering it challenging to ascertain if this is </w:t>
      </w:r>
      <w:r w:rsidR="00854B5A" w:rsidRPr="00C238EC">
        <w:t>accurate</w:t>
      </w:r>
      <w:r w:rsidR="00A50A7F" w:rsidRPr="00C238EC">
        <w:t xml:space="preserve">. </w:t>
      </w:r>
      <w:r w:rsidR="007568A0" w:rsidRPr="00C238EC">
        <w:t xml:space="preserve">When examining gender groupings across minority status, it is apparent that the gender distribution of </w:t>
      </w:r>
      <w:r w:rsidR="00EC4D0D" w:rsidRPr="00C238EC">
        <w:t xml:space="preserve">newcomer </w:t>
      </w:r>
      <w:r w:rsidR="007568A0" w:rsidRPr="00C238EC">
        <w:t xml:space="preserve">attendees is the most </w:t>
      </w:r>
      <w:r w:rsidR="00EC4D0D" w:rsidRPr="00C238EC">
        <w:t>disproportionate</w:t>
      </w:r>
      <w:r w:rsidR="007568A0" w:rsidRPr="00C238EC">
        <w:t xml:space="preserve"> of all groups, with male attendees </w:t>
      </w:r>
      <w:r w:rsidR="007568A0" w:rsidRPr="00C238EC">
        <w:lastRenderedPageBreak/>
        <w:t xml:space="preserve">demonstrating a prevalence </w:t>
      </w:r>
      <w:r w:rsidR="00854B5A" w:rsidRPr="00C238EC">
        <w:t>3.86X</w:t>
      </w:r>
      <w:r w:rsidR="007568A0" w:rsidRPr="00C238EC">
        <w:t xml:space="preserve"> that of </w:t>
      </w:r>
      <w:r w:rsidR="00854B5A" w:rsidRPr="00C238EC">
        <w:t xml:space="preserve">their </w:t>
      </w:r>
      <w:r w:rsidR="007568A0" w:rsidRPr="00C238EC">
        <w:t xml:space="preserve">age-matched </w:t>
      </w:r>
      <w:r w:rsidR="00854B5A" w:rsidRPr="00C238EC">
        <w:t>female peers</w:t>
      </w:r>
      <w:r w:rsidR="007568A0" w:rsidRPr="00C238EC">
        <w:t xml:space="preserve"> for the most contributory age groups (</w:t>
      </w:r>
      <w:r w:rsidR="00854B5A" w:rsidRPr="00C238EC">
        <w:t>Figure 5</w:t>
      </w:r>
      <w:r w:rsidR="007568A0" w:rsidRPr="00C238EC">
        <w:t xml:space="preserve">). </w:t>
      </w:r>
      <w:r w:rsidR="00854B5A" w:rsidRPr="00C238EC">
        <w:t xml:space="preserve">The significance of this overrepresentation presents a promising area for future study. </w:t>
      </w:r>
    </w:p>
    <w:p w14:paraId="21A64449" w14:textId="3F7FE036" w:rsidR="00B92F09" w:rsidRDefault="00B92F09" w:rsidP="00B92F09">
      <w:r>
        <w:t xml:space="preserve">In </w:t>
      </w:r>
      <w:r w:rsidR="00C238EC">
        <w:t xml:space="preserve">the </w:t>
      </w:r>
      <w:r w:rsidR="008D12A5">
        <w:t>North Adult Court</w:t>
      </w:r>
      <w:r w:rsidR="00C238EC">
        <w:t>s</w:t>
      </w:r>
      <w:r>
        <w:t xml:space="preserve">, </w:t>
      </w:r>
      <w:r w:rsidR="00652FBD">
        <w:t>24.97</w:t>
      </w:r>
      <w:r>
        <w:t xml:space="preserve">% and </w:t>
      </w:r>
      <w:r w:rsidR="00652FBD">
        <w:t>3.54</w:t>
      </w:r>
      <w:r>
        <w:t>% of attendees identified as Indigenous or as a newcomer, respectively (</w:t>
      </w:r>
      <w:r w:rsidR="00C240D1" w:rsidRPr="00C240D1">
        <w:t>Figure 17</w:t>
      </w:r>
      <w:r w:rsidR="009E2B92">
        <w:t xml:space="preserve">); </w:t>
      </w:r>
      <w:r w:rsidR="00C238EC">
        <w:t xml:space="preserve">the </w:t>
      </w:r>
      <w:r w:rsidR="008D12A5">
        <w:t>North Adult Court</w:t>
      </w:r>
      <w:r w:rsidR="00C238EC">
        <w:t>s</w:t>
      </w:r>
      <w:r w:rsidR="009E2B92">
        <w:t xml:space="preserve"> demonstrated </w:t>
      </w:r>
      <w:r w:rsidR="00C60D6F">
        <w:t>the</w:t>
      </w:r>
      <w:r w:rsidR="009E2B92">
        <w:t xml:space="preserve"> greatest proportion of attendees with In</w:t>
      </w:r>
      <w:r w:rsidR="00C60D6F">
        <w:t xml:space="preserve">digenous </w:t>
      </w:r>
      <w:r w:rsidR="009E2B92">
        <w:t>status o</w:t>
      </w:r>
      <w:r w:rsidR="00C60D6F">
        <w:t>f any court examined</w:t>
      </w:r>
      <w:r>
        <w:t>.</w:t>
      </w:r>
      <w:r w:rsidR="00795944">
        <w:t xml:space="preserve"> </w:t>
      </w:r>
      <w:r w:rsidR="00652FBD">
        <w:t xml:space="preserve">While demographic-specific information is not available for </w:t>
      </w:r>
      <w:r w:rsidR="00BF78B5">
        <w:t>the jurisdiction of</w:t>
      </w:r>
      <w:r w:rsidR="00652FBD">
        <w:t xml:space="preserve"> </w:t>
      </w:r>
      <w:r w:rsidR="00C238EC">
        <w:t xml:space="preserve">the </w:t>
      </w:r>
      <w:r w:rsidR="008D12A5">
        <w:t>North Adult Court</w:t>
      </w:r>
      <w:r w:rsidR="00C238EC">
        <w:t>s</w:t>
      </w:r>
      <w:r w:rsidR="00652FBD">
        <w:t xml:space="preserve">, according to the </w:t>
      </w:r>
      <w:r w:rsidR="00C240D1">
        <w:t>2018 data</w:t>
      </w:r>
      <w:r w:rsidR="00652FBD">
        <w:t xml:space="preserve">, </w:t>
      </w:r>
      <w:r w:rsidR="00C240D1">
        <w:t>4</w:t>
      </w:r>
      <w:r w:rsidR="00652FBD">
        <w:t>% of Canadians identified as being of Indigenous status</w:t>
      </w:r>
      <w:r w:rsidR="00C240D1">
        <w:t xml:space="preserve"> </w:t>
      </w:r>
      <w:r w:rsidR="00063851" w:rsidRPr="00063851">
        <w:t>(Statistics Canada, 2019</w:t>
      </w:r>
      <w:r w:rsidR="00C240D1" w:rsidRPr="00063851">
        <w:t xml:space="preserve">). </w:t>
      </w:r>
      <w:r>
        <w:t>By these numbers, there exists significant overrepresentation of Indigenous individuals in</w:t>
      </w:r>
      <w:r w:rsidR="00C238EC">
        <w:t xml:space="preserve"> the</w:t>
      </w:r>
      <w:r>
        <w:t xml:space="preserve"> </w:t>
      </w:r>
      <w:r w:rsidR="008D12A5">
        <w:t>North Adult Court</w:t>
      </w:r>
      <w:r w:rsidR="00C238EC">
        <w:t>s</w:t>
      </w:r>
      <w:r w:rsidR="00C240D1">
        <w:t xml:space="preserve"> (Figure 17)</w:t>
      </w:r>
      <w:r>
        <w:t xml:space="preserve">. </w:t>
      </w:r>
      <w:r w:rsidR="005F1BFA">
        <w:t xml:space="preserve">This is consistent with the trend observed in </w:t>
      </w:r>
      <w:r w:rsidR="008D12A5">
        <w:t>Calgary’s Adult Court</w:t>
      </w:r>
      <w:r w:rsidR="005F1BFA">
        <w:t>, and likely owing to the same factors</w:t>
      </w:r>
      <w:r w:rsidR="009E2B92">
        <w:t xml:space="preserve"> previously</w:t>
      </w:r>
      <w:r w:rsidR="005F1BFA">
        <w:t xml:space="preserve"> explored. However, this particularly disproportionate representation is also likely </w:t>
      </w:r>
      <w:r w:rsidR="009E2B92">
        <w:t xml:space="preserve">attributable </w:t>
      </w:r>
      <w:r w:rsidR="005F1BFA">
        <w:t xml:space="preserve">to the municipality of Morley – a First Nations </w:t>
      </w:r>
      <w:r w:rsidR="006B5A0C">
        <w:t xml:space="preserve">community </w:t>
      </w:r>
      <w:r w:rsidR="005F1BFA">
        <w:t xml:space="preserve">– falling within the </w:t>
      </w:r>
      <w:r w:rsidR="00C240D1">
        <w:t>jurisdiction</w:t>
      </w:r>
      <w:r w:rsidR="005F1BFA">
        <w:t xml:space="preserve"> of the </w:t>
      </w:r>
      <w:r w:rsidR="007952BD">
        <w:t>North</w:t>
      </w:r>
      <w:r w:rsidR="005F1BFA">
        <w:t xml:space="preserve"> </w:t>
      </w:r>
      <w:r w:rsidR="00C238EC">
        <w:t>C</w:t>
      </w:r>
      <w:r w:rsidR="005F1BFA">
        <w:t>ourt</w:t>
      </w:r>
      <w:r w:rsidR="00C238EC">
        <w:t>s</w:t>
      </w:r>
      <w:r w:rsidR="005F1BFA">
        <w:t xml:space="preserve">. </w:t>
      </w:r>
      <w:r>
        <w:t>When examining gender groupings across minority status</w:t>
      </w:r>
      <w:r w:rsidR="005F1BFA">
        <w:t xml:space="preserve"> </w:t>
      </w:r>
      <w:r w:rsidR="00013379">
        <w:t>classifications</w:t>
      </w:r>
      <w:r w:rsidR="00C240D1">
        <w:t xml:space="preserve"> within </w:t>
      </w:r>
      <w:r w:rsidR="00013379">
        <w:t>the</w:t>
      </w:r>
      <w:r w:rsidR="00C238EC">
        <w:t xml:space="preserve"> </w:t>
      </w:r>
      <w:r w:rsidR="008D12A5">
        <w:t>North Adult Court</w:t>
      </w:r>
      <w:r w:rsidR="00C238EC">
        <w:t>s</w:t>
      </w:r>
      <w:r>
        <w:t xml:space="preserve">, the gender distribution of Indigenous attendees </w:t>
      </w:r>
      <w:r w:rsidR="009E2B92">
        <w:t>is</w:t>
      </w:r>
      <w:r>
        <w:t xml:space="preserve"> the most even of all groups, with male attendees demonstrating a prevalence of </w:t>
      </w:r>
      <w:r w:rsidR="00013379">
        <w:t xml:space="preserve">2.79X </w:t>
      </w:r>
      <w:r>
        <w:t xml:space="preserve">that </w:t>
      </w:r>
      <w:r w:rsidR="00013379">
        <w:t>their age-matched female peers</w:t>
      </w:r>
      <w:r>
        <w:t xml:space="preserve"> </w:t>
      </w:r>
      <w:r w:rsidR="00013379">
        <w:t>in</w:t>
      </w:r>
      <w:r>
        <w:t xml:space="preserve"> the most contributory age groups (</w:t>
      </w:r>
      <w:r w:rsidR="00013379" w:rsidRPr="00013379">
        <w:t>Figure 18</w:t>
      </w:r>
      <w:r>
        <w:t xml:space="preserve">). This is consistent with the </w:t>
      </w:r>
      <w:r w:rsidR="005F1BFA">
        <w:t xml:space="preserve">trend observed in </w:t>
      </w:r>
      <w:r w:rsidR="008D12A5">
        <w:t>Calgary’s Adult Court</w:t>
      </w:r>
      <w:r w:rsidR="005F1BFA">
        <w:t>, and likely attributable to the same factors</w:t>
      </w:r>
      <w:r w:rsidR="00013379">
        <w:t xml:space="preserve"> previously discussed</w:t>
      </w:r>
      <w:r w:rsidR="005F1BFA">
        <w:t xml:space="preserve">. </w:t>
      </w:r>
    </w:p>
    <w:p w14:paraId="02967AD7" w14:textId="2BF9D110" w:rsidR="00B92F09" w:rsidRPr="001F3624" w:rsidRDefault="00652FBD" w:rsidP="00B92F09">
      <w:r w:rsidRPr="001F3624">
        <w:t xml:space="preserve">While demographic-specific information is not available </w:t>
      </w:r>
      <w:r w:rsidR="00C97B7F" w:rsidRPr="001F3624">
        <w:t>specific to the</w:t>
      </w:r>
      <w:r w:rsidRPr="001F3624">
        <w:t xml:space="preserve"> </w:t>
      </w:r>
      <w:r w:rsidR="00BF78B5" w:rsidRPr="001F3624">
        <w:t>jurisdiction of</w:t>
      </w:r>
      <w:r w:rsidRPr="001F3624">
        <w:t xml:space="preserve"> </w:t>
      </w:r>
      <w:r w:rsidR="00C238EC" w:rsidRPr="001F3624">
        <w:t xml:space="preserve">the </w:t>
      </w:r>
      <w:r w:rsidR="008D12A5" w:rsidRPr="001F3624">
        <w:t>North Adult Court</w:t>
      </w:r>
      <w:r w:rsidR="00C238EC" w:rsidRPr="001F3624">
        <w:t>s</w:t>
      </w:r>
      <w:r w:rsidRPr="001F3624">
        <w:t xml:space="preserve">, according to the 2016 National Census, </w:t>
      </w:r>
      <w:r w:rsidR="00C97B7F" w:rsidRPr="001F3624">
        <w:t>5.2</w:t>
      </w:r>
      <w:r w:rsidRPr="001F3624">
        <w:t xml:space="preserve">% of </w:t>
      </w:r>
      <w:r w:rsidR="00C97B7F" w:rsidRPr="001F3624">
        <w:t>Albertans</w:t>
      </w:r>
      <w:r w:rsidRPr="001F3624">
        <w:t xml:space="preserve"> identified as being newcomers to Canada within the preceding 5 years</w:t>
      </w:r>
      <w:r w:rsidR="00C97B7F" w:rsidRPr="001F3624">
        <w:t xml:space="preserve"> </w:t>
      </w:r>
      <w:r w:rsidR="006D1951" w:rsidRPr="001F3624">
        <w:t>(Statistics Canada, 2017</w:t>
      </w:r>
      <w:r w:rsidR="00C97B7F" w:rsidRPr="001F3624">
        <w:t>)</w:t>
      </w:r>
      <w:r w:rsidRPr="001F3624">
        <w:t xml:space="preserve">. </w:t>
      </w:r>
      <w:r w:rsidR="00B92F09" w:rsidRPr="001F3624">
        <w:t xml:space="preserve">By these statistics, it would appear that </w:t>
      </w:r>
      <w:r w:rsidR="00BF78B5" w:rsidRPr="001F3624">
        <w:t xml:space="preserve">newcomer attendees </w:t>
      </w:r>
      <w:r w:rsidR="00C97B7F" w:rsidRPr="001F3624">
        <w:t>are</w:t>
      </w:r>
      <w:r w:rsidR="00B92F09" w:rsidRPr="001F3624">
        <w:t xml:space="preserve"> underrepresented in </w:t>
      </w:r>
      <w:r w:rsidR="00C238EC" w:rsidRPr="001F3624">
        <w:t xml:space="preserve">the </w:t>
      </w:r>
      <w:r w:rsidR="008D12A5" w:rsidRPr="001F3624">
        <w:t>North Adult Court</w:t>
      </w:r>
      <w:r w:rsidR="00C238EC" w:rsidRPr="001F3624">
        <w:t>s</w:t>
      </w:r>
      <w:r w:rsidR="00B92F09" w:rsidRPr="001F3624">
        <w:t>,</w:t>
      </w:r>
      <w:r w:rsidR="00767F43" w:rsidRPr="001F3624">
        <w:t xml:space="preserve"> though the strength of this evidence is limited owing to a small sample size. </w:t>
      </w:r>
      <w:r w:rsidR="00B92F09" w:rsidRPr="001F3624">
        <w:t>When examining gender groupings across minority status</w:t>
      </w:r>
      <w:r w:rsidR="00C97B7F" w:rsidRPr="001F3624">
        <w:t xml:space="preserve"> classifications</w:t>
      </w:r>
      <w:r w:rsidR="00B92F09" w:rsidRPr="001F3624">
        <w:t xml:space="preserve">, it is apparent that the gender distribution of newcomer attendees is the most disproportionate of all groups, with male attendees demonstrating a prevalence of </w:t>
      </w:r>
      <w:r w:rsidR="00C97B7F" w:rsidRPr="001F3624">
        <w:t xml:space="preserve">3.71X and 5.86X </w:t>
      </w:r>
      <w:r w:rsidR="00B92F09" w:rsidRPr="001F3624">
        <w:t xml:space="preserve">that of </w:t>
      </w:r>
      <w:r w:rsidR="00C97B7F" w:rsidRPr="001F3624">
        <w:t xml:space="preserve">their </w:t>
      </w:r>
      <w:r w:rsidR="00B92F09" w:rsidRPr="001F3624">
        <w:t xml:space="preserve">age-matched female </w:t>
      </w:r>
      <w:r w:rsidR="00C97B7F" w:rsidRPr="001F3624">
        <w:t xml:space="preserve">peers </w:t>
      </w:r>
      <w:r w:rsidR="00B92F09" w:rsidRPr="001F3624">
        <w:t>for the most contributory age groups (</w:t>
      </w:r>
      <w:r w:rsidR="00C97B7F" w:rsidRPr="001F3624">
        <w:t>Figure 18)</w:t>
      </w:r>
      <w:r w:rsidR="00B92F09" w:rsidRPr="001F3624">
        <w:t xml:space="preserve">. This </w:t>
      </w:r>
      <w:r w:rsidR="00C97B7F" w:rsidRPr="001F3624">
        <w:t>trend is reminiscent of th</w:t>
      </w:r>
      <w:r w:rsidR="009E2B92" w:rsidRPr="001F3624">
        <w:t>at</w:t>
      </w:r>
      <w:r w:rsidR="00C97B7F" w:rsidRPr="001F3624">
        <w:t xml:space="preserve"> observed in </w:t>
      </w:r>
      <w:r w:rsidR="008D12A5" w:rsidRPr="001F3624">
        <w:t>Calgary’s Adult Court</w:t>
      </w:r>
      <w:r w:rsidR="00C97B7F" w:rsidRPr="001F3624">
        <w:t xml:space="preserve">. </w:t>
      </w:r>
    </w:p>
    <w:p w14:paraId="0D1B6326" w14:textId="50B2F444" w:rsidR="009E2B92" w:rsidRPr="001F3624" w:rsidRDefault="009E2B92" w:rsidP="009E2B92">
      <w:r w:rsidRPr="001F3624">
        <w:t xml:space="preserve">In </w:t>
      </w:r>
      <w:r w:rsidR="00913540" w:rsidRPr="001F3624">
        <w:t xml:space="preserve">the </w:t>
      </w:r>
      <w:r w:rsidR="008D12A5" w:rsidRPr="001F3624">
        <w:t>South Adult Court</w:t>
      </w:r>
      <w:r w:rsidR="00913540" w:rsidRPr="001F3624">
        <w:t>s</w:t>
      </w:r>
      <w:r w:rsidRPr="001F3624">
        <w:t xml:space="preserve">, </w:t>
      </w:r>
      <w:r w:rsidR="005C41AA" w:rsidRPr="001F3624">
        <w:t>3.76% and 2.33%</w:t>
      </w:r>
      <w:r w:rsidRPr="001F3624">
        <w:t xml:space="preserve"> of attendees identified as Indigenous or as a newcomer, respectively (Figure </w:t>
      </w:r>
      <w:r w:rsidR="005C41AA" w:rsidRPr="001F3624">
        <w:t>27</w:t>
      </w:r>
      <w:r w:rsidRPr="001F3624">
        <w:t xml:space="preserve">); </w:t>
      </w:r>
      <w:r w:rsidR="00913540" w:rsidRPr="001F3624">
        <w:t xml:space="preserve">the </w:t>
      </w:r>
      <w:r w:rsidR="008D12A5" w:rsidRPr="001F3624">
        <w:t>South Adult Court</w:t>
      </w:r>
      <w:r w:rsidR="00913540" w:rsidRPr="001F3624">
        <w:t>s</w:t>
      </w:r>
      <w:r w:rsidRPr="001F3624">
        <w:t xml:space="preserve"> demonstrated the </w:t>
      </w:r>
      <w:r w:rsidR="005C41AA" w:rsidRPr="001F3624">
        <w:t>smallest</w:t>
      </w:r>
      <w:r w:rsidRPr="001F3624">
        <w:t xml:space="preserve"> proportion of attendees with Indigenous status of </w:t>
      </w:r>
      <w:r w:rsidR="005C41AA" w:rsidRPr="001F3624">
        <w:t xml:space="preserve">the </w:t>
      </w:r>
      <w:r w:rsidR="007952BD" w:rsidRPr="001F3624">
        <w:t xml:space="preserve">adult </w:t>
      </w:r>
      <w:r w:rsidR="007418B0" w:rsidRPr="001F3624">
        <w:t>courts examined</w:t>
      </w:r>
      <w:r w:rsidRPr="001F3624">
        <w:t xml:space="preserve">. While demographic-specific information is not available for the jurisdiction of </w:t>
      </w:r>
      <w:r w:rsidR="001F3624" w:rsidRPr="001F3624">
        <w:t xml:space="preserve">the </w:t>
      </w:r>
      <w:r w:rsidR="008D12A5" w:rsidRPr="001F3624">
        <w:t>South Adult Court</w:t>
      </w:r>
      <w:r w:rsidR="001F3624" w:rsidRPr="001F3624">
        <w:t>s</w:t>
      </w:r>
      <w:r w:rsidRPr="001F3624">
        <w:t xml:space="preserve">, </w:t>
      </w:r>
      <w:r w:rsidR="005C41AA" w:rsidRPr="001F3624">
        <w:t>knowing that as of 2018</w:t>
      </w:r>
      <w:r w:rsidRPr="001F3624">
        <w:t xml:space="preserve"> 4% of Canadians identified as being of Indigenous status</w:t>
      </w:r>
      <w:r w:rsidR="005C41AA" w:rsidRPr="001F3624">
        <w:t xml:space="preserve"> (</w:t>
      </w:r>
      <w:r w:rsidR="00767115" w:rsidRPr="001F3624">
        <w:t>Statistics Canada, 2019</w:t>
      </w:r>
      <w:r w:rsidR="00193EB0" w:rsidRPr="001F3624">
        <w:t>)</w:t>
      </w:r>
      <w:r w:rsidR="005C41AA" w:rsidRPr="001F3624">
        <w:t>, these findings are not unexpected. T</w:t>
      </w:r>
      <w:r w:rsidRPr="001F3624">
        <w:t xml:space="preserve">his is </w:t>
      </w:r>
      <w:r w:rsidR="005C41AA" w:rsidRPr="001F3624">
        <w:t>in</w:t>
      </w:r>
      <w:r w:rsidRPr="001F3624">
        <w:t xml:space="preserve">consistent with the trend </w:t>
      </w:r>
      <w:r w:rsidR="005C41AA" w:rsidRPr="001F3624">
        <w:t xml:space="preserve">observed in the other </w:t>
      </w:r>
      <w:r w:rsidR="007952BD" w:rsidRPr="001F3624">
        <w:t>adult courts</w:t>
      </w:r>
      <w:r w:rsidR="001F3624" w:rsidRPr="001F3624">
        <w:t>.</w:t>
      </w:r>
      <w:r w:rsidR="00767F43" w:rsidRPr="001F3624">
        <w:t xml:space="preserve"> </w:t>
      </w:r>
      <w:r w:rsidR="001F3624" w:rsidRPr="001F3624">
        <w:t>I</w:t>
      </w:r>
      <w:r w:rsidR="00767F43" w:rsidRPr="001F3624">
        <w:t xml:space="preserve">t is worth noting that the South </w:t>
      </w:r>
      <w:r w:rsidR="001F3624" w:rsidRPr="001F3624">
        <w:t>Adult C</w:t>
      </w:r>
      <w:r w:rsidR="00767F43" w:rsidRPr="001F3624">
        <w:t>ourts (Airdrie and Okotoks) are not in close proximity to any Nation; adult court program advocates have noted that</w:t>
      </w:r>
      <w:r w:rsidR="001F3624" w:rsidRPr="001F3624">
        <w:t xml:space="preserve"> in the past, before the establishment of the Turner Valley Court,</w:t>
      </w:r>
      <w:r w:rsidR="00767F43" w:rsidRPr="001F3624">
        <w:t xml:space="preserve"> many Indigenous attendees fail</w:t>
      </w:r>
      <w:r w:rsidR="001F3624" w:rsidRPr="001F3624">
        <w:t>ed</w:t>
      </w:r>
      <w:r w:rsidR="00767F43" w:rsidRPr="001F3624">
        <w:t xml:space="preserve"> to appear owing to having no viable option to get to court. </w:t>
      </w:r>
      <w:r w:rsidRPr="001F3624">
        <w:t xml:space="preserve">When examining gender groupings across minority status classifications within the </w:t>
      </w:r>
      <w:r w:rsidR="008D12A5" w:rsidRPr="001F3624">
        <w:t>South Adult Court</w:t>
      </w:r>
      <w:r w:rsidR="001F3624" w:rsidRPr="001F3624">
        <w:t>s</w:t>
      </w:r>
      <w:r w:rsidRPr="001F3624">
        <w:t xml:space="preserve">, the gender distribution of Indigenous attendees </w:t>
      </w:r>
      <w:r w:rsidR="005C41AA" w:rsidRPr="001F3624">
        <w:t>appears to be the</w:t>
      </w:r>
      <w:r w:rsidRPr="001F3624">
        <w:t xml:space="preserve"> most even of all groups, </w:t>
      </w:r>
      <w:r w:rsidR="005C41AA" w:rsidRPr="001F3624">
        <w:t>with female defendants modestly outnumbering male defendants</w:t>
      </w:r>
      <w:r w:rsidRPr="001F3624">
        <w:t xml:space="preserve"> (Figure </w:t>
      </w:r>
      <w:r w:rsidR="005C41AA" w:rsidRPr="001F3624">
        <w:t>28)</w:t>
      </w:r>
      <w:r w:rsidRPr="001F3624">
        <w:t xml:space="preserve">. </w:t>
      </w:r>
      <w:r w:rsidR="005C41AA" w:rsidRPr="001F3624">
        <w:t xml:space="preserve">As it stands, it challenging to determine if this reflects the fact that Indigenous women are more likely to interact with the criminal justice system than women without minority status </w:t>
      </w:r>
      <w:r w:rsidR="007418B0" w:rsidRPr="001F3624">
        <w:rPr>
          <w:rFonts w:cs="Arial"/>
          <w:color w:val="000000"/>
          <w:shd w:val="clear" w:color="auto" w:fill="FFFFFF"/>
        </w:rPr>
        <w:t>(Statistics Canada, 2017)</w:t>
      </w:r>
      <w:r w:rsidR="005C41AA" w:rsidRPr="001F3624">
        <w:t>, or the relatively small sample size</w:t>
      </w:r>
      <w:r w:rsidR="006852EB" w:rsidRPr="001F3624">
        <w:t xml:space="preserve"> for this demographic</w:t>
      </w:r>
      <w:r w:rsidR="005C41AA" w:rsidRPr="001F3624">
        <w:t xml:space="preserve"> (Figure 28)</w:t>
      </w:r>
      <w:r w:rsidRPr="001F3624">
        <w:t>.</w:t>
      </w:r>
    </w:p>
    <w:p w14:paraId="5CFDBBD3" w14:textId="65E4FC5D" w:rsidR="009E2B92" w:rsidRDefault="009E2B92" w:rsidP="00B92F09">
      <w:r>
        <w:t>While demographic-specific information is not available specific to the jurisdiction of</w:t>
      </w:r>
      <w:r w:rsidR="00DB6505">
        <w:t xml:space="preserve"> the</w:t>
      </w:r>
      <w:r>
        <w:t xml:space="preserve"> </w:t>
      </w:r>
      <w:r w:rsidR="008D12A5">
        <w:t>South Adult Court</w:t>
      </w:r>
      <w:r w:rsidR="00DB6505">
        <w:t>s</w:t>
      </w:r>
      <w:r>
        <w:t xml:space="preserve">, according to the 2016 National Census, 5.2% of Albertans identified as being newcomers to Canada within the preceding 5 years </w:t>
      </w:r>
      <w:r w:rsidR="006D1951">
        <w:t>(Statistics Canada, 2017)</w:t>
      </w:r>
      <w:r>
        <w:t xml:space="preserve">. By these statistics, it would appear that newcomer attendees are </w:t>
      </w:r>
      <w:r w:rsidR="002F643F">
        <w:t xml:space="preserve">also significantly </w:t>
      </w:r>
      <w:r>
        <w:t xml:space="preserve">underrepresented in </w:t>
      </w:r>
      <w:r w:rsidR="00DB6505">
        <w:t xml:space="preserve">the </w:t>
      </w:r>
      <w:r w:rsidR="008D12A5">
        <w:t>South Adult Court</w:t>
      </w:r>
      <w:r w:rsidR="00DB6505">
        <w:t>s</w:t>
      </w:r>
      <w:r>
        <w:t xml:space="preserve">, however, the paucity of demographic data for the region renders it challenging to ascertain if this is in fact the case. When examining gender groupings across minority status classifications, it is apparent that the gender distribution of newcomer attendees is the most disproportionate of all groups, with </w:t>
      </w:r>
      <w:r w:rsidR="00CC50D5">
        <w:t>no female attendees noted in any</w:t>
      </w:r>
      <w:r>
        <w:t xml:space="preserve"> age group</w:t>
      </w:r>
      <w:r w:rsidR="00CC50D5">
        <w:t xml:space="preserve"> </w:t>
      </w:r>
      <w:r>
        <w:t>(</w:t>
      </w:r>
      <w:r w:rsidRPr="00C97B7F">
        <w:t xml:space="preserve">Figure </w:t>
      </w:r>
      <w:r w:rsidR="00CC50D5">
        <w:t>28</w:t>
      </w:r>
      <w:r w:rsidRPr="00C97B7F">
        <w:t xml:space="preserve">). </w:t>
      </w:r>
      <w:r>
        <w:t>This trend is reminiscent of th</w:t>
      </w:r>
      <w:r w:rsidR="00CC50D5">
        <w:t>e patterns</w:t>
      </w:r>
      <w:r>
        <w:t xml:space="preserve"> observed </w:t>
      </w:r>
      <w:r w:rsidR="00CC50D5">
        <w:t>in other</w:t>
      </w:r>
      <w:r>
        <w:t xml:space="preserve"> </w:t>
      </w:r>
      <w:r w:rsidR="007952BD">
        <w:t>adult courts</w:t>
      </w:r>
      <w:r>
        <w:t xml:space="preserve">. </w:t>
      </w:r>
    </w:p>
    <w:p w14:paraId="361FB18B" w14:textId="550C778C" w:rsidR="006F023D" w:rsidRDefault="007952BD" w:rsidP="006F023D">
      <w:pPr>
        <w:pStyle w:val="Heading3"/>
      </w:pPr>
      <w:bookmarkStart w:id="55" w:name="_Toc16262367"/>
      <w:r>
        <w:lastRenderedPageBreak/>
        <w:t>Youth courts</w:t>
      </w:r>
      <w:bookmarkEnd w:id="55"/>
      <w:r>
        <w:t xml:space="preserve"> </w:t>
      </w:r>
      <w:r w:rsidR="006F023D">
        <w:t xml:space="preserve"> </w:t>
      </w:r>
    </w:p>
    <w:p w14:paraId="5A5306B5" w14:textId="77777777" w:rsidR="00DB6505" w:rsidRPr="00DB6505" w:rsidRDefault="00DB6505" w:rsidP="00DB6505"/>
    <w:p w14:paraId="240C452A" w14:textId="7A54D36A" w:rsidR="007926C7" w:rsidRPr="008B395D" w:rsidRDefault="007926C7" w:rsidP="007926C7">
      <w:r w:rsidRPr="008B395D">
        <w:t xml:space="preserve">The Calgary, </w:t>
      </w:r>
      <w:r w:rsidR="007952BD" w:rsidRPr="008B395D">
        <w:t>North</w:t>
      </w:r>
      <w:r w:rsidRPr="008B395D">
        <w:t xml:space="preserve">, and </w:t>
      </w:r>
      <w:r w:rsidR="008D12A5" w:rsidRPr="008B395D">
        <w:t xml:space="preserve">South Youth </w:t>
      </w:r>
      <w:r w:rsidR="007418B0" w:rsidRPr="008B395D">
        <w:t>Courts demonstrated</w:t>
      </w:r>
      <w:r w:rsidRPr="008B395D">
        <w:t xml:space="preserve"> significant divergence in the representation of minority status groups. </w:t>
      </w:r>
    </w:p>
    <w:p w14:paraId="05C61F19" w14:textId="00ECE15C" w:rsidR="007926C7" w:rsidRPr="008B395D" w:rsidRDefault="007926C7" w:rsidP="007926C7">
      <w:r w:rsidRPr="008B395D">
        <w:t xml:space="preserve">In </w:t>
      </w:r>
      <w:r w:rsidR="008D12A5" w:rsidRPr="008B395D">
        <w:t>Calgary’s Youth Court</w:t>
      </w:r>
      <w:r w:rsidRPr="008B395D">
        <w:t>, 10.57% and 5.12% of attendees identified as Indigenous or as a newcomer, respectively (Figure 36).</w:t>
      </w:r>
      <w:r w:rsidR="005A5E65" w:rsidRPr="008B395D">
        <w:t xml:space="preserve"> </w:t>
      </w:r>
      <w:r w:rsidRPr="008B395D">
        <w:t>In 2018, Indigenous youth made up 8% of all Canadian youth,</w:t>
      </w:r>
      <w:r w:rsidR="005A5E65" w:rsidRPr="008B395D">
        <w:t xml:space="preserve"> and while this statistical overrepresentation is significant, it is also not unexpected </w:t>
      </w:r>
      <w:r w:rsidR="00193EB0" w:rsidRPr="008B395D">
        <w:t>(Statistics Canada, 2019)</w:t>
      </w:r>
      <w:r w:rsidR="005A5E65" w:rsidRPr="008B395D">
        <w:t xml:space="preserve">; </w:t>
      </w:r>
      <w:r w:rsidR="005729FE" w:rsidRPr="008B395D">
        <w:t xml:space="preserve">data from 2018 suggests that </w:t>
      </w:r>
      <w:r w:rsidR="005A5E65" w:rsidRPr="008B395D">
        <w:t>Indigenous youth represent 43% of admissions</w:t>
      </w:r>
      <w:r w:rsidR="005729FE" w:rsidRPr="008B395D">
        <w:t xml:space="preserve"> to correctional facilities nationally </w:t>
      </w:r>
      <w:r w:rsidR="00193EB0" w:rsidRPr="008B395D">
        <w:t>(Statistics Canada, 2019)</w:t>
      </w:r>
      <w:r w:rsidR="005729FE" w:rsidRPr="008B395D">
        <w:t xml:space="preserve">, and the average age of admission has historically been lower </w:t>
      </w:r>
      <w:r w:rsidR="00C1408F" w:rsidRPr="008B395D">
        <w:t xml:space="preserve">for Indigenous youth </w:t>
      </w:r>
      <w:r w:rsidR="005729FE" w:rsidRPr="008B395D">
        <w:t xml:space="preserve">than </w:t>
      </w:r>
      <w:r w:rsidR="00C1408F" w:rsidRPr="008B395D">
        <w:t>for</w:t>
      </w:r>
      <w:r w:rsidR="005729FE" w:rsidRPr="008B395D">
        <w:t xml:space="preserve"> the general </w:t>
      </w:r>
      <w:r w:rsidR="005C2177" w:rsidRPr="008B395D">
        <w:t xml:space="preserve">adolescent </w:t>
      </w:r>
      <w:r w:rsidR="005729FE" w:rsidRPr="008B395D">
        <w:t xml:space="preserve">population </w:t>
      </w:r>
      <w:r w:rsidR="009E03AF" w:rsidRPr="008B395D">
        <w:rPr>
          <w:rFonts w:cs="Arial"/>
          <w:color w:val="000000"/>
          <w:shd w:val="clear" w:color="auto" w:fill="FFFFFF"/>
        </w:rPr>
        <w:t>(Public Safety Canada Portfolio Corrections Statistics Committee, 2018)</w:t>
      </w:r>
      <w:r w:rsidR="005729FE" w:rsidRPr="008B395D">
        <w:t>.</w:t>
      </w:r>
      <w:r w:rsidR="00C1408F" w:rsidRPr="008B395D">
        <w:t xml:space="preserve"> </w:t>
      </w:r>
      <w:r w:rsidRPr="008B395D">
        <w:t xml:space="preserve">The overrepresentation of Indigenous </w:t>
      </w:r>
      <w:r w:rsidR="00C1408F" w:rsidRPr="008B395D">
        <w:t>youth</w:t>
      </w:r>
      <w:r w:rsidRPr="008B395D">
        <w:t xml:space="preserve"> in the criminal justice system has been longstanding, and well documented, understood to be</w:t>
      </w:r>
      <w:r w:rsidR="0095448C" w:rsidRPr="008B395D">
        <w:t xml:space="preserve"> predominantly attributable to the legacy effects of c</w:t>
      </w:r>
      <w:r w:rsidR="00864057" w:rsidRPr="008B395D">
        <w:t>olonization</w:t>
      </w:r>
      <w:r w:rsidR="0095448C" w:rsidRPr="008B395D">
        <w:t xml:space="preserve"> </w:t>
      </w:r>
      <w:r w:rsidR="007418B0" w:rsidRPr="008B395D">
        <w:rPr>
          <w:rFonts w:cs="Arial"/>
          <w:color w:val="000000"/>
          <w:shd w:val="clear" w:color="auto" w:fill="FFFFFF"/>
        </w:rPr>
        <w:t>(Statistics Canada, 2017)</w:t>
      </w:r>
      <w:r w:rsidR="0095448C" w:rsidRPr="008B395D">
        <w:t xml:space="preserve">; along a related vein, previous research has suggested that the broadly younger age of Indigenous populations, and certain education characteristics, may account for some of this overrepresentation in the criminal justice system </w:t>
      </w:r>
      <w:r w:rsidR="007418B0" w:rsidRPr="008B395D">
        <w:rPr>
          <w:rFonts w:cs="Arial"/>
          <w:color w:val="000000"/>
          <w:shd w:val="clear" w:color="auto" w:fill="FFFFFF"/>
        </w:rPr>
        <w:t>(Statistics Canada, 2017)</w:t>
      </w:r>
      <w:r w:rsidR="0095448C" w:rsidRPr="008B395D">
        <w:t>.</w:t>
      </w:r>
      <w:r w:rsidR="00F7543F" w:rsidRPr="008B395D">
        <w:t xml:space="preserve"> </w:t>
      </w:r>
      <w:r w:rsidRPr="008B395D">
        <w:t xml:space="preserve">When examining gender categories across minority status classifications, it is apparent that while the overrepresentation of </w:t>
      </w:r>
      <w:r w:rsidR="005C2177" w:rsidRPr="008B395D">
        <w:t>young men</w:t>
      </w:r>
      <w:r w:rsidRPr="008B395D">
        <w:t xml:space="preserve"> is common to all groups, in Indigenous attendees the gender distribution is the most even, with male attendees demonstrating a prevalence of </w:t>
      </w:r>
      <w:r w:rsidR="00D319A7" w:rsidRPr="008B395D">
        <w:t>1.69X and 2.86X</w:t>
      </w:r>
      <w:r w:rsidRPr="008B395D">
        <w:t xml:space="preserve"> that of their age-matched female peers for the most contributory age groups (Figure </w:t>
      </w:r>
      <w:r w:rsidR="00D319A7" w:rsidRPr="008B395D">
        <w:t>37</w:t>
      </w:r>
      <w:r w:rsidRPr="008B395D">
        <w:t xml:space="preserve">). This is consistent with the finding that Indigenous </w:t>
      </w:r>
      <w:r w:rsidR="00D319A7" w:rsidRPr="008B395D">
        <w:t xml:space="preserve">young women </w:t>
      </w:r>
      <w:r w:rsidRPr="008B395D">
        <w:t>are</w:t>
      </w:r>
      <w:r w:rsidR="005C2177" w:rsidRPr="008B395D">
        <w:t xml:space="preserve"> </w:t>
      </w:r>
      <w:r w:rsidRPr="008B395D">
        <w:t xml:space="preserve">more likely to interact with the criminal justice system than </w:t>
      </w:r>
      <w:r w:rsidR="00D319A7" w:rsidRPr="008B395D">
        <w:t xml:space="preserve">young </w:t>
      </w:r>
      <w:r w:rsidRPr="008B395D">
        <w:t>women without minority statu</w:t>
      </w:r>
      <w:r w:rsidR="004F2865" w:rsidRPr="008B395D">
        <w:t xml:space="preserve">s, and </w:t>
      </w:r>
      <w:r w:rsidR="005C2177" w:rsidRPr="008B395D">
        <w:t xml:space="preserve">similarly </w:t>
      </w:r>
      <w:r w:rsidR="004F2865" w:rsidRPr="008B395D">
        <w:t xml:space="preserve">more likely </w:t>
      </w:r>
      <w:r w:rsidR="005C2177" w:rsidRPr="008B395D">
        <w:t xml:space="preserve">to </w:t>
      </w:r>
      <w:r w:rsidR="004F2865" w:rsidRPr="008B395D">
        <w:t xml:space="preserve">than Indigenous women for several offences </w:t>
      </w:r>
      <w:r w:rsidR="007418B0" w:rsidRPr="008B395D">
        <w:rPr>
          <w:rFonts w:cs="Arial"/>
          <w:color w:val="000000"/>
          <w:shd w:val="clear" w:color="auto" w:fill="FFFFFF"/>
        </w:rPr>
        <w:t>(Statistics Canada, 2017)</w:t>
      </w:r>
      <w:r w:rsidR="004F2865" w:rsidRPr="008B395D">
        <w:t xml:space="preserve">. This is believed to be attributable to the factors discussed previously. </w:t>
      </w:r>
    </w:p>
    <w:p w14:paraId="21ADE2BF" w14:textId="62BE719F" w:rsidR="0031126A" w:rsidRPr="008B395D" w:rsidRDefault="007926C7" w:rsidP="00BF30F6">
      <w:r w:rsidRPr="008B395D">
        <w:t xml:space="preserve">According to the 2016 National Census, Calgary accepted 93,255 immigrants between 2011 and 2016 </w:t>
      </w:r>
      <w:r w:rsidR="0081339A" w:rsidRPr="008B395D">
        <w:rPr>
          <w:rFonts w:cs="Arial"/>
          <w:color w:val="000000"/>
          <w:shd w:val="clear" w:color="auto" w:fill="FFFFFF"/>
        </w:rPr>
        <w:t>(Statistics Canada, 2017)</w:t>
      </w:r>
      <w:r w:rsidRPr="008B395D">
        <w:t xml:space="preserve">. Of this new immigrant population, individuals aged 15-24 made up 19.61% of all </w:t>
      </w:r>
      <w:r w:rsidR="001E26AD" w:rsidRPr="008B395D">
        <w:t>new immigrants</w:t>
      </w:r>
      <w:r w:rsidRPr="008B395D">
        <w:t xml:space="preserve"> </w:t>
      </w:r>
      <w:r w:rsidR="0081339A" w:rsidRPr="008B395D">
        <w:rPr>
          <w:rFonts w:cs="Arial"/>
          <w:color w:val="000000"/>
          <w:shd w:val="clear" w:color="auto" w:fill="FFFFFF"/>
        </w:rPr>
        <w:t>(Statistics Canada, 2017)</w:t>
      </w:r>
      <w:r w:rsidRPr="008B395D">
        <w:t xml:space="preserve">. </w:t>
      </w:r>
      <w:r w:rsidR="002768A3" w:rsidRPr="008B395D">
        <w:t xml:space="preserve">While newcomer youth made up 5.12% of </w:t>
      </w:r>
      <w:r w:rsidR="0031126A" w:rsidRPr="008B395D">
        <w:t xml:space="preserve">all Calgary </w:t>
      </w:r>
      <w:r w:rsidR="00864057" w:rsidRPr="008B395D">
        <w:t>Y</w:t>
      </w:r>
      <w:r w:rsidR="0031126A" w:rsidRPr="008B395D">
        <w:t xml:space="preserve">outh </w:t>
      </w:r>
      <w:r w:rsidR="00864057" w:rsidRPr="008B395D">
        <w:t>C</w:t>
      </w:r>
      <w:r w:rsidR="0031126A" w:rsidRPr="008B395D">
        <w:t xml:space="preserve">ourt attendees (Figure 36), </w:t>
      </w:r>
      <w:r w:rsidR="002768A3" w:rsidRPr="008B395D">
        <w:t xml:space="preserve">it is challenging to draw conclusions regarding the relative representation of newcomers in </w:t>
      </w:r>
      <w:r w:rsidR="008D12A5" w:rsidRPr="008B395D">
        <w:t>Calgary’s Youth Court</w:t>
      </w:r>
      <w:r w:rsidR="002768A3" w:rsidRPr="008B395D">
        <w:t xml:space="preserve"> </w:t>
      </w:r>
      <w:r w:rsidR="007F59D7" w:rsidRPr="008B395D">
        <w:t xml:space="preserve">from this report alone, </w:t>
      </w:r>
      <w:r w:rsidR="002768A3" w:rsidRPr="008B395D">
        <w:t>owing to a</w:t>
      </w:r>
      <w:r w:rsidRPr="008B395D">
        <w:t xml:space="preserve"> paucity of </w:t>
      </w:r>
      <w:r w:rsidR="002768A3" w:rsidRPr="008B395D">
        <w:t xml:space="preserve">appropriate </w:t>
      </w:r>
      <w:r w:rsidRPr="008B395D">
        <w:t>data</w:t>
      </w:r>
      <w:r w:rsidR="002768A3" w:rsidRPr="008B395D">
        <w:t xml:space="preserve"> for comparison</w:t>
      </w:r>
      <w:r w:rsidRPr="008B395D">
        <w:t xml:space="preserve">. </w:t>
      </w:r>
      <w:r w:rsidR="0027648C" w:rsidRPr="008B395D">
        <w:t xml:space="preserve">However, previous research conducted by the Elizabeth Fry Society has suggested that youth who are newcomers disproportionately experience a number of factors that confer vulnerability to interacting with the criminal justice system, including poverty, larger family size with single mothers as the head of the </w:t>
      </w:r>
      <w:r w:rsidR="00864057" w:rsidRPr="008B395D">
        <w:t>household</w:t>
      </w:r>
      <w:r w:rsidR="0027648C" w:rsidRPr="008B395D">
        <w:t>, parental language barriers, and a family history of domestic violence. Within the group of newcomer youth supported in t</w:t>
      </w:r>
      <w:r w:rsidR="00E14426" w:rsidRPr="008B395D">
        <w:t>he aforementioned</w:t>
      </w:r>
      <w:r w:rsidR="0027648C" w:rsidRPr="008B395D">
        <w:t xml:space="preserve"> study, many were young, </w:t>
      </w:r>
      <w:r w:rsidR="00E14426" w:rsidRPr="008B395D">
        <w:t xml:space="preserve">and determined to be </w:t>
      </w:r>
      <w:r w:rsidR="0027648C" w:rsidRPr="008B395D">
        <w:t>particularly impressionable,</w:t>
      </w:r>
      <w:r w:rsidR="007F59D7" w:rsidRPr="008B395D">
        <w:t xml:space="preserve"> </w:t>
      </w:r>
      <w:r w:rsidR="00E14426" w:rsidRPr="008B395D">
        <w:t>demonstrated poor</w:t>
      </w:r>
      <w:r w:rsidR="007F59D7" w:rsidRPr="008B395D">
        <w:t xml:space="preserve"> mental health,</w:t>
      </w:r>
      <w:r w:rsidR="0027648C" w:rsidRPr="008B395D">
        <w:t xml:space="preserve"> and </w:t>
      </w:r>
      <w:r w:rsidR="007F59D7" w:rsidRPr="008B395D">
        <w:t xml:space="preserve">were </w:t>
      </w:r>
      <w:r w:rsidR="0027648C" w:rsidRPr="008B395D">
        <w:t>involved in crimes relatively extreme for their age</w:t>
      </w:r>
      <w:r w:rsidR="00E14426" w:rsidRPr="008B395D">
        <w:t>.</w:t>
      </w:r>
      <w:r w:rsidR="007F59D7" w:rsidRPr="008B395D">
        <w:t xml:space="preserve"> </w:t>
      </w:r>
      <w:r w:rsidR="00CD1B13" w:rsidRPr="008B395D">
        <w:t xml:space="preserve">Ongoing data collection efforts should assist in shedding light on any trends apparent in the youth the Elizabeth Fry Society supports in this court. </w:t>
      </w:r>
      <w:r w:rsidRPr="008B395D">
        <w:t xml:space="preserve">When examining gender groupings across minority status, it is apparent that the gender distribution of newcomer attendees is the most disproportionate of all groups, with male attendees demonstrating a prevalence </w:t>
      </w:r>
      <w:r w:rsidR="0031126A" w:rsidRPr="008B395D">
        <w:t>8.60</w:t>
      </w:r>
      <w:r w:rsidRPr="008B395D">
        <w:t xml:space="preserve">X that of their age-matched female peers for the most contributory age groups (Figure </w:t>
      </w:r>
      <w:r w:rsidR="0031126A" w:rsidRPr="008B395D">
        <w:t>37</w:t>
      </w:r>
      <w:r w:rsidRPr="008B395D">
        <w:t xml:space="preserve">). </w:t>
      </w:r>
    </w:p>
    <w:p w14:paraId="4F9B7F12" w14:textId="087CC1B7" w:rsidR="007926C7" w:rsidRPr="00BF30F6" w:rsidRDefault="007926C7" w:rsidP="00BF30F6">
      <w:r w:rsidRPr="008B395D">
        <w:t xml:space="preserve">In </w:t>
      </w:r>
      <w:r w:rsidR="00E14426" w:rsidRPr="008B395D">
        <w:t xml:space="preserve">the </w:t>
      </w:r>
      <w:r w:rsidR="008D12A5" w:rsidRPr="008B395D">
        <w:t>North Youth Court</w:t>
      </w:r>
      <w:r w:rsidR="00E14426" w:rsidRPr="008B395D">
        <w:t>s</w:t>
      </w:r>
      <w:r w:rsidRPr="008B395D">
        <w:t xml:space="preserve">, </w:t>
      </w:r>
      <w:r w:rsidR="0031126A" w:rsidRPr="008B395D">
        <w:t>29.57</w:t>
      </w:r>
      <w:r w:rsidRPr="008B395D">
        <w:t xml:space="preserve">% and </w:t>
      </w:r>
      <w:r w:rsidR="0031126A" w:rsidRPr="008B395D">
        <w:t>2.15</w:t>
      </w:r>
      <w:r w:rsidRPr="008B395D">
        <w:t xml:space="preserve">% of attendees identified as Indigenous or as a newcomer, respectively (Figure </w:t>
      </w:r>
      <w:r w:rsidR="0031126A" w:rsidRPr="008B395D">
        <w:t>43</w:t>
      </w:r>
      <w:r w:rsidRPr="008B395D">
        <w:t xml:space="preserve">); </w:t>
      </w:r>
      <w:r w:rsidR="00E14426" w:rsidRPr="008B395D">
        <w:t xml:space="preserve">the </w:t>
      </w:r>
      <w:r w:rsidR="008D12A5" w:rsidRPr="008B395D">
        <w:t>North Youth Court</w:t>
      </w:r>
      <w:r w:rsidR="00E14426" w:rsidRPr="008B395D">
        <w:t>s</w:t>
      </w:r>
      <w:r w:rsidRPr="008B395D">
        <w:t xml:space="preserve"> demonstrated the greatest proportion of attendees with Indigenous status of any </w:t>
      </w:r>
      <w:r w:rsidR="00E14426" w:rsidRPr="008B395D">
        <w:t>Y</w:t>
      </w:r>
      <w:r w:rsidR="0031126A" w:rsidRPr="008B395D">
        <w:t xml:space="preserve">outh </w:t>
      </w:r>
      <w:r w:rsidR="00E14426" w:rsidRPr="008B395D">
        <w:t>C</w:t>
      </w:r>
      <w:r w:rsidRPr="008B395D">
        <w:t>ourt examined. While demographic-specific information is not available for the jurisdiction of</w:t>
      </w:r>
      <w:r w:rsidR="00E14426" w:rsidRPr="008B395D">
        <w:t xml:space="preserve"> the </w:t>
      </w:r>
      <w:r w:rsidR="008D12A5" w:rsidRPr="008B395D">
        <w:t>North Youth Court</w:t>
      </w:r>
      <w:r w:rsidR="00E14426" w:rsidRPr="008B395D">
        <w:t>s</w:t>
      </w:r>
      <w:r w:rsidRPr="008B395D">
        <w:t xml:space="preserve">, </w:t>
      </w:r>
      <w:r w:rsidR="0031126A" w:rsidRPr="008B395D">
        <w:t xml:space="preserve">in 2018, Indigenous youth made up 8% of all Canadian youth </w:t>
      </w:r>
      <w:r w:rsidR="00E4533B" w:rsidRPr="008B395D">
        <w:rPr>
          <w:rFonts w:cs="Arial"/>
          <w:color w:val="000000"/>
          <w:shd w:val="clear" w:color="auto" w:fill="FFFFFF"/>
        </w:rPr>
        <w:t>(Statistics Canada, 2018)</w:t>
      </w:r>
      <w:r w:rsidR="0031126A" w:rsidRPr="008B395D">
        <w:t xml:space="preserve">. </w:t>
      </w:r>
      <w:r w:rsidRPr="008B395D">
        <w:t>By these numbers, there exists significant overrepresentation of Indigenous</w:t>
      </w:r>
      <w:r w:rsidRPr="008B395D">
        <w:rPr>
          <w:sz w:val="24"/>
          <w:szCs w:val="24"/>
        </w:rPr>
        <w:t xml:space="preserve"> </w:t>
      </w:r>
      <w:r w:rsidRPr="00BF30F6">
        <w:t>individuals in</w:t>
      </w:r>
      <w:r w:rsidR="00E14426" w:rsidRPr="00BF30F6">
        <w:t xml:space="preserve"> the</w:t>
      </w:r>
      <w:r w:rsidRPr="00BF30F6">
        <w:t xml:space="preserve"> </w:t>
      </w:r>
      <w:r w:rsidR="008D12A5" w:rsidRPr="00BF30F6">
        <w:t>North Youth Court</w:t>
      </w:r>
      <w:r w:rsidR="00E14426" w:rsidRPr="00BF30F6">
        <w:t>s</w:t>
      </w:r>
      <w:r w:rsidRPr="00BF30F6">
        <w:t xml:space="preserve"> (Figure </w:t>
      </w:r>
      <w:r w:rsidR="0031126A" w:rsidRPr="00BF30F6">
        <w:t>43</w:t>
      </w:r>
      <w:r w:rsidRPr="00BF30F6">
        <w:t xml:space="preserve">). This is consistent with the trend observed in </w:t>
      </w:r>
      <w:r w:rsidR="008D12A5" w:rsidRPr="00BF30F6">
        <w:t>Calgary’s Youth Court</w:t>
      </w:r>
      <w:r w:rsidRPr="00BF30F6">
        <w:t xml:space="preserve">, and likely owing to the same factors previously explored. However, this particularly disproportionate representation is also likely attributable to the municipality of Morley – a First Nations </w:t>
      </w:r>
      <w:r w:rsidR="006B5A0C" w:rsidRPr="00BF30F6">
        <w:t xml:space="preserve">community </w:t>
      </w:r>
      <w:r w:rsidRPr="00BF30F6">
        <w:t xml:space="preserve">– falling within the jurisdiction of the </w:t>
      </w:r>
      <w:r w:rsidR="008D12A5" w:rsidRPr="00BF30F6">
        <w:t>North Youth Court</w:t>
      </w:r>
      <w:r w:rsidR="00BF30F6">
        <w:t>s</w:t>
      </w:r>
      <w:r w:rsidRPr="00BF30F6">
        <w:t xml:space="preserve">. When examining gender groupings </w:t>
      </w:r>
      <w:r w:rsidRPr="00BF30F6">
        <w:lastRenderedPageBreak/>
        <w:t xml:space="preserve">across minority status classifications within the </w:t>
      </w:r>
      <w:r w:rsidR="008D12A5" w:rsidRPr="00BF30F6">
        <w:t>North Youth Court</w:t>
      </w:r>
      <w:r w:rsidR="00BF30F6">
        <w:t>s</w:t>
      </w:r>
      <w:r w:rsidRPr="00BF30F6">
        <w:t>,</w:t>
      </w:r>
      <w:r w:rsidR="0031126A" w:rsidRPr="00BF30F6">
        <w:t xml:space="preserve"> the trends observed are complex. While there was significant representation of female defendants, the single most common gender and age strata for attendees was </w:t>
      </w:r>
      <w:r w:rsidR="005475E0" w:rsidRPr="00BF30F6">
        <w:t xml:space="preserve">17 year-old males (Figure 44). Paradoxically, while </w:t>
      </w:r>
      <w:r w:rsidR="00BF30F6">
        <w:t xml:space="preserve">nearly </w:t>
      </w:r>
      <w:r w:rsidR="005475E0" w:rsidRPr="00BF30F6">
        <w:t>half of defendants were female – with Indigenous young women aged 15-17 cumulatively making up 44.44% of the sample, with a prevalence 1.00X that of their age-matched male peers, males aged 17 alone made up 30.56% of the sample, with a prevalence 1.83X that of their age-matched female peers (Figure 44). Additional data collection efforts may provide more opportunity to better elicit the</w:t>
      </w:r>
      <w:r w:rsidR="002720E6" w:rsidRPr="00BF30F6">
        <w:t xml:space="preserve"> nature of the</w:t>
      </w:r>
      <w:r w:rsidR="005475E0" w:rsidRPr="00BF30F6">
        <w:t xml:space="preserve"> relationship between gender and Indigenous status in </w:t>
      </w:r>
      <w:r w:rsidR="008D12A5" w:rsidRPr="00BF30F6">
        <w:t>North Youth Court</w:t>
      </w:r>
      <w:r w:rsidR="005475E0" w:rsidRPr="00BF30F6">
        <w:t>.</w:t>
      </w:r>
    </w:p>
    <w:p w14:paraId="1C7E158B" w14:textId="62649A6C" w:rsidR="00F7543F" w:rsidRPr="00BF30F6" w:rsidRDefault="007926C7" w:rsidP="00BF30F6">
      <w:r w:rsidRPr="00BF30F6">
        <w:t xml:space="preserve">While demographic-specific information is not available specific to the jurisdiction of </w:t>
      </w:r>
      <w:r w:rsidR="00BD43A1">
        <w:t xml:space="preserve">the </w:t>
      </w:r>
      <w:r w:rsidR="008D12A5" w:rsidRPr="00BF30F6">
        <w:t>North Youth Court</w:t>
      </w:r>
      <w:r w:rsidR="00BD43A1">
        <w:t>s</w:t>
      </w:r>
      <w:r w:rsidRPr="00BF30F6">
        <w:t xml:space="preserve">, </w:t>
      </w:r>
      <w:r w:rsidR="005475E0" w:rsidRPr="00BF30F6">
        <w:t xml:space="preserve">according to the 2016 National Census, Alberta accepted </w:t>
      </w:r>
      <w:r w:rsidR="00CB0A75" w:rsidRPr="00BF30F6">
        <w:t>207,790</w:t>
      </w:r>
      <w:r w:rsidR="005475E0" w:rsidRPr="00BF30F6">
        <w:t xml:space="preserve"> immigrants between 2011 and 2016 </w:t>
      </w:r>
      <w:r w:rsidR="0081339A" w:rsidRPr="00BF30F6">
        <w:rPr>
          <w:rFonts w:cs="Arial"/>
          <w:color w:val="000000"/>
          <w:shd w:val="clear" w:color="auto" w:fill="FFFFFF"/>
        </w:rPr>
        <w:t>(Statistics Canada, 2017)</w:t>
      </w:r>
      <w:r w:rsidR="005475E0" w:rsidRPr="00BF30F6">
        <w:t xml:space="preserve">. Of this new immigrant population, individuals aged 15-24 made up </w:t>
      </w:r>
      <w:r w:rsidR="00CB0A75" w:rsidRPr="00BF30F6">
        <w:t>20.00</w:t>
      </w:r>
      <w:r w:rsidR="005475E0" w:rsidRPr="00BF30F6">
        <w:t xml:space="preserve">% of all </w:t>
      </w:r>
      <w:r w:rsidR="00CB0A75" w:rsidRPr="00BF30F6">
        <w:t>individuals</w:t>
      </w:r>
      <w:r w:rsidR="005475E0" w:rsidRPr="00BF30F6">
        <w:t xml:space="preserve"> </w:t>
      </w:r>
      <w:r w:rsidR="0081339A" w:rsidRPr="00BF30F6">
        <w:rPr>
          <w:rFonts w:cs="Arial"/>
          <w:color w:val="000000"/>
          <w:shd w:val="clear" w:color="auto" w:fill="FFFFFF"/>
        </w:rPr>
        <w:t>(Statistics Canada, 2017)</w:t>
      </w:r>
      <w:r w:rsidR="005475E0" w:rsidRPr="00BF30F6">
        <w:t>.</w:t>
      </w:r>
      <w:r w:rsidR="00CB0A75" w:rsidRPr="00BF30F6">
        <w:t xml:space="preserve"> While newcomer youth made up 2.15% of all </w:t>
      </w:r>
      <w:r w:rsidR="008D12A5" w:rsidRPr="00BF30F6">
        <w:t>North Youth Court</w:t>
      </w:r>
      <w:r w:rsidR="00CB0A75" w:rsidRPr="00BF30F6">
        <w:t xml:space="preserve"> attendees (Figure 43), it is challenging to draw conclusions regarding the relative representation of newcomers in </w:t>
      </w:r>
      <w:r w:rsidR="00BD43A1">
        <w:t xml:space="preserve">the </w:t>
      </w:r>
      <w:r w:rsidR="008D12A5" w:rsidRPr="00BF30F6">
        <w:t>North Youth Court</w:t>
      </w:r>
      <w:r w:rsidR="00BD43A1">
        <w:t>s</w:t>
      </w:r>
      <w:r w:rsidR="00CB0A75" w:rsidRPr="00BF30F6">
        <w:t xml:space="preserve"> owing to a paucity of appropriate data for comparison. Given the limited size of the data set, it is </w:t>
      </w:r>
      <w:r w:rsidR="00B80521" w:rsidRPr="00BF30F6">
        <w:t>challenging to speak confidently to the</w:t>
      </w:r>
      <w:r w:rsidR="00CB0A75" w:rsidRPr="00BF30F6">
        <w:t xml:space="preserve"> gender distribution by newcomer status in this court (Figure 37). Similarly, while 6.67% and 1.67% of youth in </w:t>
      </w:r>
      <w:r w:rsidR="00BD43A1">
        <w:t xml:space="preserve">the </w:t>
      </w:r>
      <w:r w:rsidR="008D12A5" w:rsidRPr="00BF30F6">
        <w:t>South Youth Court</w:t>
      </w:r>
      <w:r w:rsidR="00BD43A1">
        <w:t>s</w:t>
      </w:r>
      <w:r w:rsidR="00CB0A75" w:rsidRPr="00BF30F6">
        <w:t xml:space="preserve"> identified as Indigenous or as a newcomer respectively (Figure 50), </w:t>
      </w:r>
      <w:r w:rsidR="00506C81" w:rsidRPr="00BF30F6">
        <w:t xml:space="preserve">there is insufficient data for further analysis by minority status </w:t>
      </w:r>
      <w:r w:rsidR="00BD43A1">
        <w:t>at this t</w:t>
      </w:r>
      <w:r w:rsidR="008B395D">
        <w:t xml:space="preserve">ime </w:t>
      </w:r>
      <w:r w:rsidR="00506C81" w:rsidRPr="00BF30F6">
        <w:t xml:space="preserve">(Figure 51). </w:t>
      </w:r>
    </w:p>
    <w:p w14:paraId="018B46EC" w14:textId="2A7DF91E" w:rsidR="006F023D" w:rsidRDefault="007952BD" w:rsidP="006F023D">
      <w:pPr>
        <w:pStyle w:val="Heading3"/>
      </w:pPr>
      <w:bookmarkStart w:id="56" w:name="_Toc16262368"/>
      <w:r>
        <w:t>Traffic courts</w:t>
      </w:r>
      <w:bookmarkEnd w:id="56"/>
      <w:r>
        <w:t xml:space="preserve"> </w:t>
      </w:r>
    </w:p>
    <w:p w14:paraId="33367633" w14:textId="77777777" w:rsidR="00101F91" w:rsidRPr="00101F91" w:rsidRDefault="00101F91" w:rsidP="00101F91"/>
    <w:p w14:paraId="304A5B12" w14:textId="1C7FD638" w:rsidR="00101F91" w:rsidRPr="0082333C" w:rsidRDefault="00101F91" w:rsidP="00101F91">
      <w:r w:rsidRPr="0082333C">
        <w:t xml:space="preserve">Within the Calgary and </w:t>
      </w:r>
      <w:r w:rsidR="007952BD" w:rsidRPr="0082333C">
        <w:t>South</w:t>
      </w:r>
      <w:r w:rsidRPr="0082333C">
        <w:t xml:space="preserve"> </w:t>
      </w:r>
      <w:r w:rsidR="007952BD" w:rsidRPr="0082333C">
        <w:t>Traffic court</w:t>
      </w:r>
      <w:r w:rsidR="000C4F29" w:rsidRPr="0082333C">
        <w:t>s</w:t>
      </w:r>
      <w:r w:rsidRPr="0082333C">
        <w:t xml:space="preserve">, there existed significant divergence in the representation of minority status groups. </w:t>
      </w:r>
    </w:p>
    <w:p w14:paraId="454C7A7E" w14:textId="7F9EE50D" w:rsidR="00AB10F2" w:rsidRPr="0082333C" w:rsidRDefault="00101F91" w:rsidP="00101F91">
      <w:r w:rsidRPr="0082333C">
        <w:t xml:space="preserve">In </w:t>
      </w:r>
      <w:r w:rsidR="008D12A5" w:rsidRPr="0082333C">
        <w:t xml:space="preserve">Calgary’s </w:t>
      </w:r>
      <w:r w:rsidR="008B395D" w:rsidRPr="0082333C">
        <w:t>Traffic</w:t>
      </w:r>
      <w:r w:rsidR="008D12A5" w:rsidRPr="0082333C">
        <w:t xml:space="preserve"> Court</w:t>
      </w:r>
      <w:r w:rsidRPr="0082333C">
        <w:t xml:space="preserve">, 2.60% and 9.93% of attendees identified as Indigenous or as a newcomer, respectively (Figure 57). According to the 2011 Civic Census, only 2.7% of Calgarians identified as being of Indigenous status </w:t>
      </w:r>
      <w:r w:rsidR="00FC6089" w:rsidRPr="0082333C">
        <w:rPr>
          <w:rFonts w:cs="Arial"/>
          <w:color w:val="000000"/>
          <w:shd w:val="clear" w:color="auto" w:fill="FFFFFF"/>
        </w:rPr>
        <w:t>(Statistics Canada, 2013)</w:t>
      </w:r>
      <w:r w:rsidRPr="0082333C">
        <w:t>. By these numbers, Indigenous defendants were not overrepresented in this court. When examining gender categories across minority status classifications, it is apparent that the gender distribution for Indigenous attendees is almost exactly equal, with a cumulative male:female prevalence ratio of 1.11 (Figu</w:t>
      </w:r>
      <w:r w:rsidR="00533F68" w:rsidRPr="0082333C">
        <w:t xml:space="preserve">re </w:t>
      </w:r>
      <w:r w:rsidRPr="0082333C">
        <w:t>58).</w:t>
      </w:r>
      <w:r w:rsidR="00533F68" w:rsidRPr="0082333C">
        <w:t xml:space="preserve"> Congruent with other minority status classifications, the most common </w:t>
      </w:r>
      <w:r w:rsidR="00620910">
        <w:t>traffic offences</w:t>
      </w:r>
      <w:r w:rsidR="00533F68" w:rsidRPr="0082333C">
        <w:t xml:space="preserve"> committed by Indigenous attendees were speeding, driving through a stop light, and other </w:t>
      </w:r>
      <w:r w:rsidR="00620910">
        <w:t>traffic offences</w:t>
      </w:r>
      <w:r w:rsidR="00533F68" w:rsidRPr="0082333C">
        <w:t xml:space="preserve"> (Figure 65). However, it was noted that Indigenous attendees also demonstrated 1.54X (X</w:t>
      </w:r>
      <w:r w:rsidR="00533F68" w:rsidRPr="0082333C">
        <w:rPr>
          <w:vertAlign w:val="superscript"/>
        </w:rPr>
        <w:t>2</w:t>
      </w:r>
      <w:r w:rsidR="00533F68" w:rsidRPr="0082333C">
        <w:t xml:space="preserve"> = 8.63, p&lt;0.01), 1.95X (X</w:t>
      </w:r>
      <w:r w:rsidR="00533F68" w:rsidRPr="0082333C">
        <w:rPr>
          <w:vertAlign w:val="superscript"/>
        </w:rPr>
        <w:t>2</w:t>
      </w:r>
      <w:r w:rsidR="00533F68" w:rsidRPr="0082333C">
        <w:t xml:space="preserve"> = 5.10, p&lt;0.02), and </w:t>
      </w:r>
      <w:r w:rsidR="005D578A" w:rsidRPr="0082333C">
        <w:t>1.90X (X</w:t>
      </w:r>
      <w:r w:rsidR="005D578A" w:rsidRPr="0082333C">
        <w:rPr>
          <w:vertAlign w:val="superscript"/>
        </w:rPr>
        <w:t>2</w:t>
      </w:r>
      <w:r w:rsidR="005D578A" w:rsidRPr="0082333C">
        <w:t xml:space="preserve"> = 22.92, p&lt;0.01) the odds of having offences relating to driving through a stoplight, careless driving, and other </w:t>
      </w:r>
      <w:r w:rsidR="00620910">
        <w:t>traffic offences</w:t>
      </w:r>
      <w:r w:rsidR="005D578A" w:rsidRPr="0082333C">
        <w:t xml:space="preserve"> than attendees without minority status, respectively (Table 25). The cause of these discrepancies is unclear. </w:t>
      </w:r>
    </w:p>
    <w:p w14:paraId="51E6F4AC" w14:textId="68A33398" w:rsidR="009266F4" w:rsidRPr="0082333C" w:rsidRDefault="005D578A" w:rsidP="00101F91">
      <w:r w:rsidRPr="0082333C">
        <w:t xml:space="preserve">In contrast, newcomers were profoundly overrepresented in Calgary’s </w:t>
      </w:r>
      <w:r w:rsidR="007952BD" w:rsidRPr="0082333C">
        <w:t>Traffic Court</w:t>
      </w:r>
      <w:r w:rsidRPr="0082333C">
        <w:t>, accounting for 9.93% of all attendees (Figure 57); a</w:t>
      </w:r>
      <w:r w:rsidR="00101F91" w:rsidRPr="0082333C">
        <w:t>ccording to the 2016 National Census, Calgary accepted 93,255 immigrants between 2011 and 2016</w:t>
      </w:r>
      <w:r w:rsidRPr="0082333C">
        <w:t>, and i</w:t>
      </w:r>
      <w:r w:rsidR="00101F91" w:rsidRPr="0082333C">
        <w:t>n 2016, this demographic made up 6.70% of Calgary’s population</w:t>
      </w:r>
      <w:r w:rsidRPr="0082333C">
        <w:t xml:space="preserve"> </w:t>
      </w:r>
      <w:r w:rsidR="0081339A" w:rsidRPr="0082333C">
        <w:rPr>
          <w:rFonts w:cs="Arial"/>
          <w:color w:val="000000"/>
          <w:shd w:val="clear" w:color="auto" w:fill="FFFFFF"/>
        </w:rPr>
        <w:t>(Statistics Canada, 2017)</w:t>
      </w:r>
      <w:r w:rsidR="00101F91" w:rsidRPr="0082333C">
        <w:t>.</w:t>
      </w:r>
      <w:r w:rsidR="00101F91" w:rsidRPr="0082333C">
        <w:rPr>
          <w:color w:val="00FFCC"/>
        </w:rPr>
        <w:t xml:space="preserve"> </w:t>
      </w:r>
      <w:r w:rsidRPr="0082333C">
        <w:t>When examining gender categories across minority status classifications</w:t>
      </w:r>
      <w:r w:rsidR="003A7578" w:rsidRPr="0082333C">
        <w:t xml:space="preserve"> in Calgary’s </w:t>
      </w:r>
      <w:r w:rsidR="007952BD" w:rsidRPr="0082333C">
        <w:t>Traffic Court</w:t>
      </w:r>
      <w:r w:rsidRPr="0082333C">
        <w:t xml:space="preserve">, it is apparent that the gender distribution for attendees who are newcomers is skewed towards male defendants, for which the most contributory age strata demonstrated 2.39X and 1.84X the odds of having an offence, relative to their age-matched female peers (Figure 58). It is possible that this is in part owing to </w:t>
      </w:r>
      <w:r w:rsidR="009266F4" w:rsidRPr="0082333C">
        <w:t xml:space="preserve">differential driving rates between men and women, associated with different cultural norms; additional research into the cultural composition of Calgary’s new immigrant population, and licensing statistics, would be required to further explore this hypothesis. </w:t>
      </w:r>
      <w:r w:rsidRPr="0082333C">
        <w:t xml:space="preserve">Congruent with other minority status classifications, the most common </w:t>
      </w:r>
      <w:r w:rsidR="00620910">
        <w:t>traffic offences</w:t>
      </w:r>
      <w:r w:rsidRPr="0082333C">
        <w:t xml:space="preserve"> committed by attendees </w:t>
      </w:r>
      <w:r w:rsidR="009266F4" w:rsidRPr="0082333C">
        <w:t>who are newcomers wer</w:t>
      </w:r>
      <w:r w:rsidRPr="0082333C">
        <w:t xml:space="preserve">e speeding, driving through a stop light, and other </w:t>
      </w:r>
      <w:r w:rsidR="00620910">
        <w:t>traffic offences</w:t>
      </w:r>
      <w:r w:rsidRPr="0082333C">
        <w:t xml:space="preserve"> (Figure </w:t>
      </w:r>
      <w:r w:rsidR="009266F4" w:rsidRPr="0082333C">
        <w:t>66</w:t>
      </w:r>
      <w:r w:rsidRPr="0082333C">
        <w:t xml:space="preserve">). However, it was noted that </w:t>
      </w:r>
      <w:r w:rsidR="009266F4" w:rsidRPr="0082333C">
        <w:t>newcomer</w:t>
      </w:r>
      <w:r w:rsidRPr="0082333C">
        <w:t xml:space="preserve"> attendees also demonstrated </w:t>
      </w:r>
      <w:r w:rsidR="009266F4" w:rsidRPr="0082333C">
        <w:t>1.36X (X</w:t>
      </w:r>
      <w:r w:rsidR="009266F4" w:rsidRPr="0082333C">
        <w:rPr>
          <w:vertAlign w:val="superscript"/>
        </w:rPr>
        <w:t>2</w:t>
      </w:r>
      <w:r w:rsidR="009266F4" w:rsidRPr="0082333C">
        <w:t xml:space="preserve"> = 13.33, p&lt;0.01), 2.43X (X</w:t>
      </w:r>
      <w:r w:rsidR="009266F4" w:rsidRPr="0082333C">
        <w:rPr>
          <w:vertAlign w:val="superscript"/>
        </w:rPr>
        <w:t>2</w:t>
      </w:r>
      <w:r w:rsidR="009266F4" w:rsidRPr="0082333C">
        <w:t xml:space="preserve"> = 9.39, p&lt;0.01), 1.29X (X</w:t>
      </w:r>
      <w:r w:rsidR="009266F4" w:rsidRPr="0082333C">
        <w:rPr>
          <w:vertAlign w:val="superscript"/>
        </w:rPr>
        <w:t>2</w:t>
      </w:r>
      <w:r w:rsidR="009266F4" w:rsidRPr="0082333C">
        <w:t xml:space="preserve"> = 21.40, p&lt;0.01), 1.95X (X</w:t>
      </w:r>
      <w:r w:rsidR="009266F4" w:rsidRPr="0082333C">
        <w:rPr>
          <w:vertAlign w:val="superscript"/>
        </w:rPr>
        <w:t>2</w:t>
      </w:r>
      <w:r w:rsidR="009266F4" w:rsidRPr="0082333C">
        <w:t xml:space="preserve"> = 16.35, p&lt;0.01), and 1.30X (X</w:t>
      </w:r>
      <w:r w:rsidR="009266F4" w:rsidRPr="0082333C">
        <w:rPr>
          <w:vertAlign w:val="superscript"/>
        </w:rPr>
        <w:t>2</w:t>
      </w:r>
      <w:r w:rsidR="009266F4" w:rsidRPr="0082333C">
        <w:t xml:space="preserve"> = 568.81, p&lt;0.01) the odds of having offences relating to driving through a </w:t>
      </w:r>
      <w:r w:rsidR="009266F4" w:rsidRPr="0082333C">
        <w:lastRenderedPageBreak/>
        <w:t xml:space="preserve">stoplight, not wearing a seatbelt, speeding, illegal U-turns, and other </w:t>
      </w:r>
      <w:r w:rsidR="008B395D" w:rsidRPr="0082333C">
        <w:t>t</w:t>
      </w:r>
      <w:r w:rsidR="007952BD" w:rsidRPr="0082333C">
        <w:t>raffic</w:t>
      </w:r>
      <w:r w:rsidR="009266F4" w:rsidRPr="0082333C">
        <w:t xml:space="preserve"> violations than individuals without minority status, respectively (Table 25). </w:t>
      </w:r>
      <w:r w:rsidR="00AB10F2" w:rsidRPr="0082333C">
        <w:t>Interestingly, attendees who are newcomers also possessed 0.88X (X</w:t>
      </w:r>
      <w:r w:rsidR="00AB10F2" w:rsidRPr="0082333C">
        <w:rPr>
          <w:vertAlign w:val="superscript"/>
        </w:rPr>
        <w:t>2</w:t>
      </w:r>
      <w:r w:rsidR="00AB10F2" w:rsidRPr="0082333C">
        <w:t xml:space="preserve"> = 32.51 p&lt;0.01) and 0.95X (X</w:t>
      </w:r>
      <w:r w:rsidR="00AB10F2" w:rsidRPr="0082333C">
        <w:rPr>
          <w:vertAlign w:val="superscript"/>
        </w:rPr>
        <w:t>2</w:t>
      </w:r>
      <w:r w:rsidR="00AB10F2" w:rsidRPr="0082333C">
        <w:t xml:space="preserve"> = 216.87, p&lt;0.01) the odds of having offences related to careless driving, and failing to provide a license or registration, than attendees without minority status respectively (Table 25). The cause of these discrepancies is unclear, but might be attributed to differing social norms, experience driving, language barriers, and other factors. Further analysis of the composition of Calgary’s new immigrant population and licensing statistics might better illuminate potential relationships between offence types and newcomer status.</w:t>
      </w:r>
    </w:p>
    <w:p w14:paraId="18238F82" w14:textId="7D66C194" w:rsidR="00097D00" w:rsidRPr="0082333C" w:rsidRDefault="00151D1C" w:rsidP="006F023D">
      <w:r w:rsidRPr="0082333C">
        <w:t>In</w:t>
      </w:r>
      <w:r w:rsidR="008B395D" w:rsidRPr="0082333C">
        <w:t xml:space="preserve"> the</w:t>
      </w:r>
      <w:r w:rsidRPr="0082333C">
        <w:t xml:space="preserve"> </w:t>
      </w:r>
      <w:r w:rsidR="007952BD" w:rsidRPr="0082333C">
        <w:t>South</w:t>
      </w:r>
      <w:r w:rsidRPr="0082333C">
        <w:t xml:space="preserve"> </w:t>
      </w:r>
      <w:r w:rsidR="007952BD" w:rsidRPr="0082333C">
        <w:t>Traffic Court</w:t>
      </w:r>
      <w:r w:rsidR="008B395D" w:rsidRPr="0082333C">
        <w:t>s</w:t>
      </w:r>
      <w:r w:rsidRPr="0082333C">
        <w:t>, 19.</w:t>
      </w:r>
      <w:r w:rsidR="00AD032E" w:rsidRPr="0082333C">
        <w:t>06</w:t>
      </w:r>
      <w:r w:rsidRPr="0082333C">
        <w:t xml:space="preserve">% and </w:t>
      </w:r>
      <w:r w:rsidR="00AD032E" w:rsidRPr="0082333C">
        <w:t>5.39</w:t>
      </w:r>
      <w:r w:rsidRPr="0082333C">
        <w:t xml:space="preserve">% of attendees identified as Indigenous or as a newcomer, respectively (Figure </w:t>
      </w:r>
      <w:r w:rsidR="00AD032E" w:rsidRPr="0082333C">
        <w:t>70)</w:t>
      </w:r>
      <w:r w:rsidRPr="0082333C">
        <w:t xml:space="preserve">. </w:t>
      </w:r>
      <w:r w:rsidR="00F914C7" w:rsidRPr="0082333C">
        <w:t>While demographic-specific information is not available for the jurisdiction of South Traffic Court, in 2018 4% of Canadians identified as being of Indigenous status</w:t>
      </w:r>
      <w:r w:rsidR="00E4533B" w:rsidRPr="0082333C">
        <w:rPr>
          <w:rFonts w:cs="Arial"/>
          <w:color w:val="000000"/>
          <w:shd w:val="clear" w:color="auto" w:fill="FFFFFF"/>
        </w:rPr>
        <w:t xml:space="preserve"> (Statistics Canada, 2018)</w:t>
      </w:r>
      <w:r w:rsidR="00265BA3" w:rsidRPr="0082333C">
        <w:t xml:space="preserve">, while in 2016, 5.2% of Albertans identified as being newcomers to Canada within the preceding 5 years </w:t>
      </w:r>
      <w:r w:rsidR="006D1951" w:rsidRPr="0082333C">
        <w:t>(Statistics Canada, 2017)</w:t>
      </w:r>
      <w:r w:rsidR="00265BA3" w:rsidRPr="0082333C">
        <w:t>. By these values, attendees with Indigenous status appear to be</w:t>
      </w:r>
      <w:r w:rsidR="00AD032E" w:rsidRPr="0082333C">
        <w:t xml:space="preserve"> overrepresented in </w:t>
      </w:r>
      <w:r w:rsidR="008B395D" w:rsidRPr="0082333C">
        <w:t xml:space="preserve">the </w:t>
      </w:r>
      <w:r w:rsidR="007952BD" w:rsidRPr="0082333C">
        <w:t>South</w:t>
      </w:r>
      <w:r w:rsidR="00AD032E" w:rsidRPr="0082333C">
        <w:t xml:space="preserve"> </w:t>
      </w:r>
      <w:r w:rsidR="007952BD" w:rsidRPr="0082333C">
        <w:t>Traffic Court</w:t>
      </w:r>
      <w:r w:rsidR="008B395D" w:rsidRPr="0082333C">
        <w:t>s</w:t>
      </w:r>
      <w:r w:rsidR="00AD032E" w:rsidRPr="0082333C">
        <w:t xml:space="preserve">. </w:t>
      </w:r>
      <w:r w:rsidR="00A81AE6" w:rsidRPr="0082333C">
        <w:t>However</w:t>
      </w:r>
      <w:r w:rsidR="00AD032E" w:rsidRPr="0082333C">
        <w:t>, owing to an exceedingly small sample size for both defendants with Indigenous and newcomer status, it is not possible to</w:t>
      </w:r>
      <w:r w:rsidR="008B395D" w:rsidRPr="0082333C">
        <w:t xml:space="preserve"> draw strong conclusions relating to</w:t>
      </w:r>
      <w:r w:rsidR="00AD032E" w:rsidRPr="0082333C">
        <w:t xml:space="preserve"> trends in gender, age, or offence frequencies at this time (Figure 71). Further data collection efforts may help highlight any trends that may exist within these populations. </w:t>
      </w:r>
    </w:p>
    <w:p w14:paraId="32135C59" w14:textId="40C9D2AA" w:rsidR="006F023D" w:rsidRDefault="007952BD" w:rsidP="006F023D">
      <w:pPr>
        <w:pStyle w:val="Heading3"/>
      </w:pPr>
      <w:bookmarkStart w:id="57" w:name="_Toc16262369"/>
      <w:r>
        <w:t>Domestic Court</w:t>
      </w:r>
      <w:bookmarkEnd w:id="57"/>
    </w:p>
    <w:p w14:paraId="5EC83AB1" w14:textId="7480E3A8" w:rsidR="00E07740" w:rsidRDefault="00E07740" w:rsidP="00D13471">
      <w:pPr>
        <w:rPr>
          <w:color w:val="FF0000"/>
        </w:rPr>
      </w:pPr>
    </w:p>
    <w:p w14:paraId="69AFC9D0" w14:textId="570B0AA8" w:rsidR="00393972" w:rsidRPr="002B47E4" w:rsidRDefault="00E8443F" w:rsidP="00C70288">
      <w:r>
        <w:t xml:space="preserve">In </w:t>
      </w:r>
      <w:r w:rsidRPr="002B47E4">
        <w:t xml:space="preserve">Calgary’s </w:t>
      </w:r>
      <w:r w:rsidR="007952BD" w:rsidRPr="002B47E4">
        <w:t>Domestic Court</w:t>
      </w:r>
      <w:r w:rsidRPr="002B47E4">
        <w:t xml:space="preserve">, 13.36% and 4.68% of attendees identified as Indigenous or as a newcomer, respectively (Figure 79). </w:t>
      </w:r>
      <w:r w:rsidR="004B545D" w:rsidRPr="002B47E4">
        <w:t xml:space="preserve">According to the 2011 Civic Census, only 2.7% of Calgarians identified as being of Indigenous status </w:t>
      </w:r>
      <w:r w:rsidR="00FC6089" w:rsidRPr="002B47E4">
        <w:rPr>
          <w:rFonts w:cs="Arial"/>
          <w:color w:val="000000"/>
          <w:shd w:val="clear" w:color="auto" w:fill="FFFFFF"/>
        </w:rPr>
        <w:t>(Statistics Canada, 2013)</w:t>
      </w:r>
      <w:r w:rsidR="004B545D" w:rsidRPr="002B47E4">
        <w:t xml:space="preserve">. By these numbers, there exists overrepresentation of Indigenous individuals in </w:t>
      </w:r>
      <w:r w:rsidR="007952BD" w:rsidRPr="002B47E4">
        <w:t>Domestic Court</w:t>
      </w:r>
      <w:r w:rsidR="004B545D" w:rsidRPr="002B47E4">
        <w:t xml:space="preserve">. </w:t>
      </w:r>
      <w:r w:rsidR="00B773B6" w:rsidRPr="002B47E4">
        <w:t>In addition, w</w:t>
      </w:r>
      <w:r w:rsidR="004B545D" w:rsidRPr="002B47E4">
        <w:t>hen examining gender categories across minority status classifications, it is apparent that while the overrepresentation of men is common to all groups, in Indigenous attendees the gender distribution is the most even, with male attendees demonstrating a prevalence of 2.03X and 4.11X that of their age-matched female peers for the most contributory age groups (Figure 80).</w:t>
      </w:r>
      <w:r w:rsidR="00393972" w:rsidRPr="002B47E4">
        <w:t xml:space="preserve"> </w:t>
      </w:r>
      <w:r w:rsidR="00B773B6" w:rsidRPr="002B47E4">
        <w:t>Paradoxically,</w:t>
      </w:r>
      <w:r w:rsidR="00393972" w:rsidRPr="002B47E4">
        <w:t xml:space="preserve"> </w:t>
      </w:r>
      <w:r w:rsidR="00B773B6" w:rsidRPr="002B47E4">
        <w:t>it is also recognized that Indigenous</w:t>
      </w:r>
      <w:r w:rsidR="00393972" w:rsidRPr="002B47E4">
        <w:t xml:space="preserve"> women </w:t>
      </w:r>
      <w:r w:rsidR="00B773B6" w:rsidRPr="002B47E4">
        <w:t xml:space="preserve">and men </w:t>
      </w:r>
      <w:r w:rsidR="00393972" w:rsidRPr="002B47E4">
        <w:t>are</w:t>
      </w:r>
      <w:r w:rsidR="00B773B6" w:rsidRPr="002B47E4">
        <w:t xml:space="preserve"> </w:t>
      </w:r>
      <w:r w:rsidR="00393972" w:rsidRPr="002B47E4">
        <w:t>more likely to be victim to family violence (</w:t>
      </w:r>
      <w:r w:rsidR="0003251E" w:rsidRPr="002B47E4">
        <w:t>Statistics Canada, 2018;</w:t>
      </w:r>
      <w:r w:rsidR="00393972" w:rsidRPr="002B47E4">
        <w:t xml:space="preserve"> </w:t>
      </w:r>
      <w:r w:rsidR="00C85480" w:rsidRPr="002B47E4">
        <w:rPr>
          <w:rFonts w:cs="Arial"/>
          <w:color w:val="000000"/>
          <w:shd w:val="clear" w:color="auto" w:fill="FFFFFF"/>
        </w:rPr>
        <w:t>Holmes and Hunt, 2017)</w:t>
      </w:r>
      <w:r w:rsidR="00EF13E0" w:rsidRPr="002B47E4">
        <w:t>;</w:t>
      </w:r>
      <w:r w:rsidR="00B773B6" w:rsidRPr="002B47E4">
        <w:t xml:space="preserve"> </w:t>
      </w:r>
      <w:r w:rsidR="00EF13E0" w:rsidRPr="002B47E4">
        <w:t>a l</w:t>
      </w:r>
      <w:r w:rsidR="00C70288" w:rsidRPr="002B47E4">
        <w:t xml:space="preserve">arge body of research substantiates that both of these </w:t>
      </w:r>
      <w:r w:rsidR="00EF13E0" w:rsidRPr="002B47E4">
        <w:t>finding</w:t>
      </w:r>
      <w:r w:rsidR="00C70288" w:rsidRPr="002B47E4">
        <w:t xml:space="preserve">s </w:t>
      </w:r>
      <w:r w:rsidR="00EF13E0" w:rsidRPr="002B47E4">
        <w:t>reflect</w:t>
      </w:r>
      <w:r w:rsidR="00C70288" w:rsidRPr="002B47E4">
        <w:t xml:space="preserve"> the legacy effects of colonization, and intergenerational trauma </w:t>
      </w:r>
      <w:r w:rsidR="00C85480" w:rsidRPr="002B47E4">
        <w:rPr>
          <w:rFonts w:cs="Arial"/>
          <w:color w:val="000000"/>
          <w:shd w:val="clear" w:color="auto" w:fill="FFFFFF"/>
        </w:rPr>
        <w:t>(Holmes and Hunt, 2017)</w:t>
      </w:r>
      <w:r w:rsidR="00C70288" w:rsidRPr="002B47E4">
        <w:t xml:space="preserve">.  </w:t>
      </w:r>
    </w:p>
    <w:p w14:paraId="0FAAA091" w14:textId="0E488039" w:rsidR="00E8443F" w:rsidRPr="002B47E4" w:rsidRDefault="004B545D" w:rsidP="00D13471">
      <w:r w:rsidRPr="002B47E4">
        <w:t>In 2016, newcomers made up 6.70% of Calgary’s population.</w:t>
      </w:r>
      <w:r w:rsidRPr="002B47E4">
        <w:rPr>
          <w:color w:val="00FFCC"/>
        </w:rPr>
        <w:t xml:space="preserve"> </w:t>
      </w:r>
      <w:r w:rsidRPr="002B47E4">
        <w:t xml:space="preserve">By these statistics, it would appear that attendees who immigrated to Calgary in the past 5 years would be underrepresented in Calgary’s </w:t>
      </w:r>
      <w:r w:rsidR="007952BD" w:rsidRPr="002B47E4">
        <w:t>Domestic Court</w:t>
      </w:r>
      <w:r w:rsidRPr="002B47E4">
        <w:t xml:space="preserve"> (Figure </w:t>
      </w:r>
      <w:r w:rsidR="00EF3AD7" w:rsidRPr="002B47E4">
        <w:t>79)</w:t>
      </w:r>
      <w:r w:rsidRPr="002B47E4">
        <w:t xml:space="preserve">. When examining gender groupings across minority status, it is apparent that the gender distribution of newcomer attendees is the most disproportionate of all groups, </w:t>
      </w:r>
      <w:r w:rsidR="00EF3AD7" w:rsidRPr="002B47E4">
        <w:t xml:space="preserve">with a </w:t>
      </w:r>
      <w:r w:rsidR="003A1944" w:rsidRPr="002B47E4">
        <w:t>male:female</w:t>
      </w:r>
      <w:r w:rsidR="00EF3AD7" w:rsidRPr="002B47E4">
        <w:t xml:space="preserve"> gender ratio of 261:0 (Figure 80)</w:t>
      </w:r>
      <w:r w:rsidRPr="002B47E4">
        <w:t xml:space="preserve">. </w:t>
      </w:r>
      <w:r w:rsidR="00AC3AB9" w:rsidRPr="002B47E4">
        <w:t>A number of</w:t>
      </w:r>
      <w:r w:rsidR="00925871" w:rsidRPr="002B47E4">
        <w:t xml:space="preserve"> barriers may affect th</w:t>
      </w:r>
      <w:r w:rsidR="00AC3AB9" w:rsidRPr="002B47E4">
        <w:t xml:space="preserve">e representation of newcomers in Domestic Court. </w:t>
      </w:r>
      <w:r w:rsidR="009F0EEF" w:rsidRPr="002B47E4">
        <w:t xml:space="preserve">Previous research has suggested that </w:t>
      </w:r>
      <w:r w:rsidR="008D7F39" w:rsidRPr="002B47E4">
        <w:t>immigrant women in particular face complex barriers to reporting abuse, including but not limited to differential definitions for domestic violence,</w:t>
      </w:r>
      <w:r w:rsidR="00D059C0" w:rsidRPr="002B47E4">
        <w:t xml:space="preserve"> language barriers,</w:t>
      </w:r>
      <w:r w:rsidR="008D7F39" w:rsidRPr="002B47E4">
        <w:t xml:space="preserve"> beliefs about gender roles, and community stigma surrounding reporting </w:t>
      </w:r>
      <w:r w:rsidR="00DC6DFB" w:rsidRPr="002B47E4">
        <w:rPr>
          <w:rFonts w:cs="Arial"/>
          <w:color w:val="000000"/>
          <w:shd w:val="clear" w:color="auto" w:fill="FFFFFF"/>
        </w:rPr>
        <w:t>(Guruge, Roche and Catallo, 2012)</w:t>
      </w:r>
      <w:r w:rsidR="00AC3AB9" w:rsidRPr="002B47E4">
        <w:t>.</w:t>
      </w:r>
      <w:r w:rsidR="008D7F39" w:rsidRPr="002B47E4">
        <w:t xml:space="preserve"> Immigrant women are also less likely to be familiar with the support services available to them</w:t>
      </w:r>
      <w:r w:rsidR="00DC6DFB" w:rsidRPr="002B47E4">
        <w:t xml:space="preserve"> </w:t>
      </w:r>
      <w:r w:rsidR="00DC6DFB" w:rsidRPr="002B47E4">
        <w:rPr>
          <w:rFonts w:cs="Arial"/>
          <w:color w:val="000000"/>
          <w:shd w:val="clear" w:color="auto" w:fill="FFFFFF"/>
        </w:rPr>
        <w:t>(Guruge, Roche and Catallo, 2012)</w:t>
      </w:r>
      <w:r w:rsidR="00DC6DFB" w:rsidRPr="002B47E4">
        <w:t>.</w:t>
      </w:r>
      <w:r w:rsidR="0082333C" w:rsidRPr="002B47E4">
        <w:t xml:space="preserve"> Staff involved in service provision to newcomers in Domestic Court report similar findings</w:t>
      </w:r>
      <w:r w:rsidR="00D059C0" w:rsidRPr="002B47E4">
        <w:t xml:space="preserve">. Anecdotally, immigrant women may elect not to report domestic abuse owing to fear of the legal system, concerns about the impact of reporting on their immigration status, dependence on their partners for income, and a lack of familiarity with local laws and the supports available to them. </w:t>
      </w:r>
      <w:r w:rsidR="00AC3AB9" w:rsidRPr="002B47E4">
        <w:t xml:space="preserve">Given these findings, it is likely that the underrepresentation of newcomers in Domestic Court might be at least partly attributable to underreporting. </w:t>
      </w:r>
      <w:r w:rsidRPr="002B47E4">
        <w:t>The significance of th</w:t>
      </w:r>
      <w:r w:rsidR="00925871" w:rsidRPr="002B47E4">
        <w:t xml:space="preserve">e </w:t>
      </w:r>
      <w:r w:rsidR="00EF3AD7" w:rsidRPr="002B47E4">
        <w:t>under</w:t>
      </w:r>
      <w:r w:rsidRPr="002B47E4">
        <w:t>representation</w:t>
      </w:r>
      <w:r w:rsidR="00925871" w:rsidRPr="002B47E4">
        <w:t xml:space="preserve"> of newcomers</w:t>
      </w:r>
      <w:r w:rsidR="008D7F39" w:rsidRPr="002B47E4">
        <w:t xml:space="preserve"> </w:t>
      </w:r>
      <w:r w:rsidR="00925871" w:rsidRPr="002B47E4">
        <w:t xml:space="preserve">in Calgary’s </w:t>
      </w:r>
      <w:r w:rsidR="007952BD" w:rsidRPr="002B47E4">
        <w:t>Domestic Court</w:t>
      </w:r>
      <w:r w:rsidR="00925871" w:rsidRPr="002B47E4">
        <w:t xml:space="preserve"> </w:t>
      </w:r>
      <w:r w:rsidRPr="002B47E4">
        <w:t>presents a promising area for future study.</w:t>
      </w:r>
    </w:p>
    <w:p w14:paraId="0FB617A3" w14:textId="3857687C" w:rsidR="00C7493B" w:rsidRDefault="00C7493B" w:rsidP="00C7493B">
      <w:pPr>
        <w:pStyle w:val="Heading2"/>
      </w:pPr>
      <w:bookmarkStart w:id="58" w:name="_Toc16262370"/>
      <w:r>
        <w:lastRenderedPageBreak/>
        <w:t>Family Size</w:t>
      </w:r>
      <w:bookmarkEnd w:id="58"/>
    </w:p>
    <w:p w14:paraId="0B46F955" w14:textId="7EF959B2" w:rsidR="00814C01" w:rsidRDefault="007952BD" w:rsidP="00814C01">
      <w:pPr>
        <w:pStyle w:val="Heading3"/>
      </w:pPr>
      <w:bookmarkStart w:id="59" w:name="_Toc16262371"/>
      <w:r>
        <w:t>Adult courts</w:t>
      </w:r>
      <w:bookmarkEnd w:id="59"/>
      <w:r>
        <w:t xml:space="preserve"> </w:t>
      </w:r>
    </w:p>
    <w:p w14:paraId="423E9D74" w14:textId="77777777" w:rsidR="00814C01" w:rsidRPr="00E90B95" w:rsidRDefault="00814C01" w:rsidP="00946F28"/>
    <w:p w14:paraId="7CC56D1A" w14:textId="3236B55F" w:rsidR="000E0D9C" w:rsidRPr="00E90B95" w:rsidRDefault="00A21B60" w:rsidP="00946F28">
      <w:r w:rsidRPr="00E90B95">
        <w:t>It was observed that in</w:t>
      </w:r>
      <w:r w:rsidR="00946F28" w:rsidRPr="00E90B95">
        <w:t xml:space="preserve"> the Calgary</w:t>
      </w:r>
      <w:r w:rsidRPr="00E90B95">
        <w:t xml:space="preserve"> </w:t>
      </w:r>
      <w:r w:rsidR="00946F28" w:rsidRPr="00E90B95">
        <w:t xml:space="preserve">and </w:t>
      </w:r>
      <w:r w:rsidR="008D12A5" w:rsidRPr="00E90B95">
        <w:t>South Adult Court</w:t>
      </w:r>
      <w:r w:rsidR="00946F28" w:rsidRPr="00E90B95">
        <w:t>s</w:t>
      </w:r>
      <w:r w:rsidR="00914EA6" w:rsidRPr="00E90B95">
        <w:t xml:space="preserve">, </w:t>
      </w:r>
      <w:r w:rsidRPr="00E90B95">
        <w:t>the overwhelming majority of attendees identified as being from families of limited size (</w:t>
      </w:r>
      <w:r w:rsidR="000035BF" w:rsidRPr="00E90B95">
        <w:t>Figures 6 and 29</w:t>
      </w:r>
      <w:r w:rsidRPr="00E90B95">
        <w:t xml:space="preserve">). In </w:t>
      </w:r>
      <w:r w:rsidR="008D12A5" w:rsidRPr="00E90B95">
        <w:t>Calgary’s Adult Court</w:t>
      </w:r>
      <w:r w:rsidRPr="00E90B95">
        <w:t xml:space="preserve">, 37.23% of attendees did not identify belonging to a family group, while in </w:t>
      </w:r>
      <w:r w:rsidR="00E90B95" w:rsidRPr="00E90B95">
        <w:t xml:space="preserve">the </w:t>
      </w:r>
      <w:r w:rsidR="008D12A5" w:rsidRPr="00E90B95">
        <w:t>South Adult Court</w:t>
      </w:r>
      <w:r w:rsidR="00E90B95" w:rsidRPr="00E90B95">
        <w:t>s</w:t>
      </w:r>
      <w:r w:rsidRPr="00E90B95">
        <w:t xml:space="preserve"> 31.85% and 39.94% of individuals belonged to no family group or a family of 2, respectively (</w:t>
      </w:r>
      <w:r w:rsidR="000035BF" w:rsidRPr="00E90B95">
        <w:t>Figures 6 and 29</w:t>
      </w:r>
      <w:r w:rsidRPr="00E90B95">
        <w:t xml:space="preserve">). </w:t>
      </w:r>
      <w:r w:rsidR="002F6845" w:rsidRPr="00E90B95">
        <w:t xml:space="preserve">The most recent National Census </w:t>
      </w:r>
      <w:r w:rsidR="000035BF" w:rsidRPr="00E90B95">
        <w:t xml:space="preserve">(Appendix 9.4) </w:t>
      </w:r>
      <w:r w:rsidR="002F6845" w:rsidRPr="00E90B95">
        <w:t xml:space="preserve">indicates that 23.20% of Calgarians </w:t>
      </w:r>
      <w:r w:rsidR="000035BF" w:rsidRPr="00E90B95">
        <w:t>belonged to no family group</w:t>
      </w:r>
      <w:r w:rsidR="002F6845" w:rsidRPr="00E90B95">
        <w:t>, while 24.00% and 34.30% of Albertans report</w:t>
      </w:r>
      <w:r w:rsidR="000035BF" w:rsidRPr="00E90B95">
        <w:t>ed</w:t>
      </w:r>
      <w:r w:rsidR="002F6845" w:rsidRPr="00E90B95">
        <w:t xml:space="preserve"> belonging to </w:t>
      </w:r>
      <w:r w:rsidR="000035BF" w:rsidRPr="00E90B95">
        <w:t>no family group or a family of</w:t>
      </w:r>
      <w:r w:rsidR="002F6845" w:rsidRPr="00E90B95">
        <w:t xml:space="preserve"> 2</w:t>
      </w:r>
      <w:r w:rsidR="000035BF" w:rsidRPr="00E90B95">
        <w:t>,</w:t>
      </w:r>
      <w:r w:rsidR="002F6845" w:rsidRPr="00E90B95">
        <w:t xml:space="preserve"> respectively </w:t>
      </w:r>
      <w:r w:rsidR="006D1951" w:rsidRPr="00E90B95">
        <w:t>(Statistics Canada, 2017)</w:t>
      </w:r>
      <w:r w:rsidR="002F6845" w:rsidRPr="00E90B95">
        <w:t xml:space="preserve">. This suggests that attendees of </w:t>
      </w:r>
      <w:r w:rsidR="000035BF" w:rsidRPr="00E90B95">
        <w:t>smaller</w:t>
      </w:r>
      <w:r w:rsidR="002F6845" w:rsidRPr="00E90B95">
        <w:t xml:space="preserve"> family sizes</w:t>
      </w:r>
      <w:r w:rsidR="000035BF" w:rsidRPr="00E90B95">
        <w:t xml:space="preserve"> a</w:t>
      </w:r>
      <w:r w:rsidR="002F6845" w:rsidRPr="00E90B95">
        <w:t xml:space="preserve">re overrepresented in both the Calgary and </w:t>
      </w:r>
      <w:r w:rsidR="008D12A5" w:rsidRPr="00E90B95">
        <w:t>South Adult Court</w:t>
      </w:r>
      <w:r w:rsidR="00E90B95" w:rsidRPr="00E90B95">
        <w:t>s</w:t>
      </w:r>
      <w:r w:rsidR="002F6845" w:rsidRPr="00E90B95">
        <w:t xml:space="preserve"> (</w:t>
      </w:r>
      <w:r w:rsidR="000035BF" w:rsidRPr="00E90B95">
        <w:t>Figures 6 and 29</w:t>
      </w:r>
      <w:r w:rsidR="002F6845" w:rsidRPr="00E90B95">
        <w:t>).</w:t>
      </w:r>
    </w:p>
    <w:p w14:paraId="4A3A6E81" w14:textId="49A4584E" w:rsidR="004B0381" w:rsidRPr="00E90B95" w:rsidRDefault="004B0381" w:rsidP="00946F28">
      <w:r w:rsidRPr="00E90B95">
        <w:t>In contrast, in</w:t>
      </w:r>
      <w:r w:rsidR="00E90B95" w:rsidRPr="00E90B95">
        <w:t xml:space="preserve"> the</w:t>
      </w:r>
      <w:r w:rsidRPr="00E90B95">
        <w:t xml:space="preserve"> </w:t>
      </w:r>
      <w:r w:rsidR="008D12A5" w:rsidRPr="00E90B95">
        <w:t>North Adult Cou</w:t>
      </w:r>
      <w:r w:rsidR="00E90B95" w:rsidRPr="00E90B95">
        <w:t>r</w:t>
      </w:r>
      <w:r w:rsidR="008D12A5" w:rsidRPr="00E90B95">
        <w:t>t</w:t>
      </w:r>
      <w:r w:rsidR="00E90B95" w:rsidRPr="00E90B95">
        <w:t>s</w:t>
      </w:r>
      <w:r w:rsidRPr="00E90B95">
        <w:t xml:space="preserve"> the distribution of attendee family size was fairly evenly distributed across individuals of 1 to 5 family members (</w:t>
      </w:r>
      <w:r w:rsidR="000035BF" w:rsidRPr="00E90B95">
        <w:t>Figure 19</w:t>
      </w:r>
      <w:r w:rsidRPr="00E90B95">
        <w:t xml:space="preserve">). </w:t>
      </w:r>
      <w:r w:rsidR="000E0D9C" w:rsidRPr="00E90B95">
        <w:t>The most recent National Census</w:t>
      </w:r>
      <w:r w:rsidR="000035BF" w:rsidRPr="00E90B95">
        <w:t xml:space="preserve"> data (Appendix 9.4)</w:t>
      </w:r>
      <w:r w:rsidR="000E0D9C" w:rsidRPr="00E90B95">
        <w:t xml:space="preserve"> indicates that 24.00%, 34.30%, 16.00%, 15.30%, and 10.40% of all Albertans belong to a family of 1 through 5+</w:t>
      </w:r>
      <w:r w:rsidR="000035BF" w:rsidRPr="00E90B95">
        <w:t xml:space="preserve"> members</w:t>
      </w:r>
      <w:r w:rsidR="000E0D9C" w:rsidRPr="00E90B95">
        <w:t xml:space="preserve">, respectively </w:t>
      </w:r>
      <w:r w:rsidR="006D1951" w:rsidRPr="00E90B95">
        <w:t>(Statistics Canada, 2017)</w:t>
      </w:r>
      <w:r w:rsidR="000E0D9C" w:rsidRPr="00E90B95">
        <w:t xml:space="preserve">. With attendees with families of 1-5+ representing 18.83%, 21.10%, 16.67%, 15.30%, and 23.72% of defendants in </w:t>
      </w:r>
      <w:r w:rsidR="00E90B95" w:rsidRPr="00E90B95">
        <w:t xml:space="preserve">the </w:t>
      </w:r>
      <w:r w:rsidR="008D12A5" w:rsidRPr="00E90B95">
        <w:t>North Adult Court</w:t>
      </w:r>
      <w:r w:rsidR="00E90B95" w:rsidRPr="00E90B95">
        <w:t>s</w:t>
      </w:r>
      <w:r w:rsidR="000E0D9C" w:rsidRPr="00E90B95">
        <w:t xml:space="preserve"> respectively, it is apparent that smaller family sizes of 1-2 are underrepresented, while larger families of </w:t>
      </w:r>
      <w:r w:rsidR="00AE635E" w:rsidRPr="00E90B95">
        <w:t>4</w:t>
      </w:r>
      <w:r w:rsidR="000E0D9C" w:rsidRPr="00E90B95">
        <w:t>-5+ are overrepresented (</w:t>
      </w:r>
      <w:r w:rsidR="000035BF" w:rsidRPr="00E90B95">
        <w:t>Figure 19</w:t>
      </w:r>
      <w:r w:rsidR="000E0D9C" w:rsidRPr="00E90B95">
        <w:t>). This is particularly true of attendees with families of more than 5 individuals, whose prevalence is more than double that of Alberta as a whole (</w:t>
      </w:r>
      <w:r w:rsidR="000035BF" w:rsidRPr="00E90B95">
        <w:t>Appendix 9.4</w:t>
      </w:r>
      <w:r w:rsidR="000E0D9C" w:rsidRPr="00E90B95">
        <w:t xml:space="preserve">). </w:t>
      </w:r>
      <w:r w:rsidRPr="00E90B95">
        <w:t xml:space="preserve">This may be attributable to a variety of factors, including </w:t>
      </w:r>
      <w:r w:rsidR="00C02DC7" w:rsidRPr="00E90B95">
        <w:t xml:space="preserve">lower </w:t>
      </w:r>
      <w:r w:rsidR="000E0D9C" w:rsidRPr="00E90B95">
        <w:t xml:space="preserve">cost of living in areas within the jurisdiction of </w:t>
      </w:r>
      <w:r w:rsidR="00E90B95" w:rsidRPr="00E90B95">
        <w:t xml:space="preserve">the </w:t>
      </w:r>
      <w:r w:rsidR="008D12A5" w:rsidRPr="00E90B95">
        <w:t>North Adult Court</w:t>
      </w:r>
      <w:r w:rsidR="00E90B95" w:rsidRPr="00E90B95">
        <w:t>s</w:t>
      </w:r>
      <w:r w:rsidRPr="00E90B95">
        <w:t xml:space="preserve">, </w:t>
      </w:r>
      <w:r w:rsidR="000E0D9C" w:rsidRPr="00E90B95">
        <w:t>as well as the overrepresentation of Indigenous attendees</w:t>
      </w:r>
      <w:r w:rsidR="00C02DC7" w:rsidRPr="00E90B95">
        <w:t xml:space="preserve"> in the court</w:t>
      </w:r>
      <w:r w:rsidR="00E90B95" w:rsidRPr="00E90B95">
        <w:t>s</w:t>
      </w:r>
      <w:r w:rsidRPr="00E90B95">
        <w:t xml:space="preserve"> (</w:t>
      </w:r>
      <w:r w:rsidR="00C02DC7" w:rsidRPr="00E90B95">
        <w:t>Figure 17</w:t>
      </w:r>
      <w:r w:rsidRPr="00E90B95">
        <w:t>).</w:t>
      </w:r>
      <w:r w:rsidR="00C27566" w:rsidRPr="00E90B95">
        <w:t xml:space="preserve"> </w:t>
      </w:r>
      <w:r w:rsidR="000E0D9C" w:rsidRPr="00E90B95">
        <w:t xml:space="preserve">Current literature suggests that in Alberta, Indigenous individuals are more likely to belong to larger families than the general population </w:t>
      </w:r>
      <w:r w:rsidR="00FC6089" w:rsidRPr="00E90B95">
        <w:rPr>
          <w:rFonts w:cs="Arial"/>
          <w:color w:val="000000"/>
          <w:shd w:val="clear" w:color="auto" w:fill="FFFFFF"/>
        </w:rPr>
        <w:t>(Statistics Canada, 2013)</w:t>
      </w:r>
      <w:r w:rsidR="000E0D9C" w:rsidRPr="00E90B95">
        <w:t>.</w:t>
      </w:r>
      <w:r w:rsidR="008F51BD" w:rsidRPr="00E90B95">
        <w:t xml:space="preserve"> Exploring the average family size in </w:t>
      </w:r>
      <w:r w:rsidR="00E90B95" w:rsidRPr="00E90B95">
        <w:t xml:space="preserve">the </w:t>
      </w:r>
      <w:r w:rsidR="008D12A5" w:rsidRPr="00E90B95">
        <w:t>North Adult Court</w:t>
      </w:r>
      <w:r w:rsidR="00E90B95" w:rsidRPr="00E90B95">
        <w:t>s</w:t>
      </w:r>
      <w:r w:rsidR="008F51BD" w:rsidRPr="00E90B95">
        <w:t xml:space="preserve"> by minority status may present a worthwhile area for future analysis. </w:t>
      </w:r>
    </w:p>
    <w:p w14:paraId="6E8389D5" w14:textId="538F88A9" w:rsidR="00814C01" w:rsidRDefault="007952BD" w:rsidP="00814C01">
      <w:pPr>
        <w:pStyle w:val="Heading3"/>
      </w:pPr>
      <w:bookmarkStart w:id="60" w:name="_Toc16262372"/>
      <w:r>
        <w:t>Traffic courts</w:t>
      </w:r>
      <w:bookmarkEnd w:id="60"/>
      <w:r>
        <w:t xml:space="preserve"> </w:t>
      </w:r>
    </w:p>
    <w:p w14:paraId="648EC983" w14:textId="77777777" w:rsidR="00814C01" w:rsidRPr="00814C01" w:rsidRDefault="00814C01" w:rsidP="00814C01"/>
    <w:p w14:paraId="6F8E52B9" w14:textId="78A134B4" w:rsidR="00B330A1" w:rsidRDefault="008E5309" w:rsidP="00946F28">
      <w:r>
        <w:t xml:space="preserve">It was observed that in the Calgary and </w:t>
      </w:r>
      <w:r w:rsidR="007952BD">
        <w:t>South</w:t>
      </w:r>
      <w:r>
        <w:t xml:space="preserve"> </w:t>
      </w:r>
      <w:r w:rsidR="007952BD">
        <w:t xml:space="preserve">Traffic </w:t>
      </w:r>
      <w:r w:rsidR="00E90B95">
        <w:t>C</w:t>
      </w:r>
      <w:r w:rsidR="007952BD">
        <w:t>ourts</w:t>
      </w:r>
      <w:r>
        <w:t xml:space="preserve">, the overwhelming majority of attendees identified as being from families of limited </w:t>
      </w:r>
      <w:r w:rsidRPr="003A0853">
        <w:t>size (</w:t>
      </w:r>
      <w:r w:rsidR="003A0853" w:rsidRPr="003A0853">
        <w:t>Figures 59 and 72</w:t>
      </w:r>
      <w:r w:rsidRPr="003A0853">
        <w:t>);</w:t>
      </w:r>
      <w:r>
        <w:t xml:space="preserve"> individuals with families of 1 to 4 </w:t>
      </w:r>
      <w:r w:rsidR="003A0853">
        <w:t xml:space="preserve">members </w:t>
      </w:r>
      <w:r>
        <w:t xml:space="preserve">comprised 84.23% and 96.60% of attendees at the Calgary and </w:t>
      </w:r>
      <w:r w:rsidR="007952BD">
        <w:t>South</w:t>
      </w:r>
      <w:r>
        <w:t xml:space="preserve"> </w:t>
      </w:r>
      <w:r w:rsidR="007952BD">
        <w:t>Traffic courts</w:t>
      </w:r>
      <w:r>
        <w:t>, respectively (</w:t>
      </w:r>
      <w:r w:rsidR="003A0853" w:rsidRPr="003A0853">
        <w:t>Figures 59 and 72</w:t>
      </w:r>
      <w:r w:rsidRPr="003A0853">
        <w:t>)</w:t>
      </w:r>
      <w:r w:rsidR="0014323F" w:rsidRPr="003A0853">
        <w:t>.</w:t>
      </w:r>
      <w:r w:rsidR="0014323F">
        <w:t xml:space="preserve"> The distribution observed in Calgary’s </w:t>
      </w:r>
      <w:r w:rsidR="007952BD">
        <w:t>Traffic Court</w:t>
      </w:r>
      <w:r w:rsidR="0014323F">
        <w:t xml:space="preserve"> is relatively congruent with what is observed in the general Calgarian (89.50%) population</w:t>
      </w:r>
      <w:r w:rsidR="003A0853">
        <w:t xml:space="preserve"> (Appendix 9.4)</w:t>
      </w:r>
      <w:r w:rsidR="0014323F">
        <w:t>. However, smaller family sizes of 1-4 are overrepresented in</w:t>
      </w:r>
      <w:r w:rsidR="00E90B95">
        <w:t xml:space="preserve"> the</w:t>
      </w:r>
      <w:r w:rsidR="0014323F">
        <w:t xml:space="preserve"> </w:t>
      </w:r>
      <w:r w:rsidR="007952BD">
        <w:t>South</w:t>
      </w:r>
      <w:r w:rsidR="0014323F">
        <w:t xml:space="preserve"> </w:t>
      </w:r>
      <w:r w:rsidR="007952BD">
        <w:t>Traffic Court</w:t>
      </w:r>
      <w:r w:rsidR="00E90B95">
        <w:t>s</w:t>
      </w:r>
      <w:r w:rsidR="0014323F">
        <w:t xml:space="preserve">, relative to what is observed in the general Albertan (89.60%) population </w:t>
      </w:r>
      <w:r w:rsidR="006D1951">
        <w:t>(Statistics Canada, 2017)</w:t>
      </w:r>
      <w:r w:rsidR="0014323F">
        <w:t>.</w:t>
      </w:r>
      <w:r w:rsidR="00350D9E">
        <w:t xml:space="preserve"> Literature surrounding potential relationships between family size and </w:t>
      </w:r>
      <w:r w:rsidR="00620910">
        <w:t>traffic offence</w:t>
      </w:r>
      <w:r w:rsidR="00350D9E">
        <w:t xml:space="preserve"> frequency is scant, and consequently t</w:t>
      </w:r>
      <w:r w:rsidR="0014323F">
        <w:t xml:space="preserve">he origin of this discrepancy is unclear. </w:t>
      </w:r>
      <w:commentRangeStart w:id="61"/>
      <w:commentRangeEnd w:id="61"/>
    </w:p>
    <w:p w14:paraId="788C282F" w14:textId="091815D3" w:rsidR="007B41DC" w:rsidRPr="004F65E0" w:rsidRDefault="00C7493B" w:rsidP="004F65E0">
      <w:pPr>
        <w:pStyle w:val="Heading2"/>
      </w:pPr>
      <w:bookmarkStart w:id="62" w:name="_Toc16262373"/>
      <w:r>
        <w:t>Annual Household Income</w:t>
      </w:r>
      <w:bookmarkEnd w:id="62"/>
    </w:p>
    <w:p w14:paraId="3EECAC4E" w14:textId="56BF5FAC" w:rsidR="004F65E0" w:rsidRDefault="007952BD" w:rsidP="004F65E0">
      <w:pPr>
        <w:pStyle w:val="Heading3"/>
      </w:pPr>
      <w:bookmarkStart w:id="63" w:name="_Toc16262374"/>
      <w:r>
        <w:t>Adult courts</w:t>
      </w:r>
      <w:bookmarkEnd w:id="63"/>
      <w:r>
        <w:t xml:space="preserve"> </w:t>
      </w:r>
    </w:p>
    <w:p w14:paraId="5BAB185F" w14:textId="77777777" w:rsidR="004F65E0" w:rsidRPr="004F65E0" w:rsidRDefault="004F65E0" w:rsidP="004F65E0"/>
    <w:p w14:paraId="78D192B8" w14:textId="6DE2F7A0" w:rsidR="0014226B" w:rsidRPr="004C16D6" w:rsidRDefault="00FE027C" w:rsidP="0014226B">
      <w:r w:rsidRPr="004C16D6">
        <w:t xml:space="preserve">Across </w:t>
      </w:r>
      <w:r w:rsidR="002D22C8" w:rsidRPr="004C16D6">
        <w:t>all</w:t>
      </w:r>
      <w:r w:rsidRPr="004C16D6">
        <w:t xml:space="preserve"> </w:t>
      </w:r>
      <w:r w:rsidR="000D7932" w:rsidRPr="004C16D6">
        <w:t>A</w:t>
      </w:r>
      <w:r w:rsidR="007952BD" w:rsidRPr="004C16D6">
        <w:t xml:space="preserve">dult </w:t>
      </w:r>
      <w:r w:rsidR="000D7932" w:rsidRPr="004C16D6">
        <w:t>C</w:t>
      </w:r>
      <w:r w:rsidR="007952BD" w:rsidRPr="004C16D6">
        <w:t>ourts</w:t>
      </w:r>
      <w:r w:rsidRPr="004C16D6">
        <w:t xml:space="preserve">, </w:t>
      </w:r>
      <w:r w:rsidR="002D22C8" w:rsidRPr="004C16D6">
        <w:t>there existed a trend towards a greater proportion of attendees with minority status reporting an annual household income of &lt;$15,000 and a lesser proportion making &gt;$55,000</w:t>
      </w:r>
      <w:r w:rsidR="00000E10" w:rsidRPr="004C16D6">
        <w:t>,</w:t>
      </w:r>
      <w:r w:rsidR="002D22C8" w:rsidRPr="004C16D6">
        <w:t xml:space="preserve"> than attendees without minority status (</w:t>
      </w:r>
      <w:r w:rsidR="00210278" w:rsidRPr="004C16D6">
        <w:t>Figures 7, 20, and 30</w:t>
      </w:r>
      <w:r w:rsidR="002D22C8" w:rsidRPr="004C16D6">
        <w:t xml:space="preserve">). This trend is reflected in the calculated odds ratios for each respective court; </w:t>
      </w:r>
      <w:r w:rsidR="0014226B" w:rsidRPr="004C16D6">
        <w:t xml:space="preserve">at Calgary and </w:t>
      </w:r>
      <w:r w:rsidR="004C16D6" w:rsidRPr="004C16D6">
        <w:t xml:space="preserve">the </w:t>
      </w:r>
      <w:r w:rsidR="008D12A5" w:rsidRPr="004C16D6">
        <w:t>North Adult Court</w:t>
      </w:r>
      <w:r w:rsidR="004C16D6" w:rsidRPr="004C16D6">
        <w:t>s</w:t>
      </w:r>
      <w:r w:rsidR="0014226B" w:rsidRPr="004C16D6">
        <w:t xml:space="preserve">, </w:t>
      </w:r>
      <w:r w:rsidR="002D22C8" w:rsidRPr="004C16D6">
        <w:t xml:space="preserve">Indigenous attendees of various family sizes had 1.94-3.05X and 3.10-15.63X the odds of </w:t>
      </w:r>
      <w:r w:rsidR="008F38A2" w:rsidRPr="004C16D6">
        <w:t xml:space="preserve">having an annual household income of less than the </w:t>
      </w:r>
      <w:r w:rsidR="00210278" w:rsidRPr="004C16D6">
        <w:t xml:space="preserve">geographic Market Basket Measure (MBM) </w:t>
      </w:r>
      <w:r w:rsidR="008F38A2" w:rsidRPr="004C16D6">
        <w:t xml:space="preserve">value for their family size, than </w:t>
      </w:r>
      <w:r w:rsidR="00000E10" w:rsidRPr="004C16D6">
        <w:t xml:space="preserve">attendees without minority status </w:t>
      </w:r>
      <w:r w:rsidR="008F38A2" w:rsidRPr="004C16D6">
        <w:t xml:space="preserve">of </w:t>
      </w:r>
      <w:r w:rsidR="00210278" w:rsidRPr="004C16D6">
        <w:lastRenderedPageBreak/>
        <w:t>comparable</w:t>
      </w:r>
      <w:r w:rsidR="008F38A2" w:rsidRPr="004C16D6">
        <w:t xml:space="preserve"> family size (</w:t>
      </w:r>
      <w:r w:rsidR="00210278" w:rsidRPr="004C16D6">
        <w:t>Tables 2 and 7</w:t>
      </w:r>
      <w:r w:rsidR="008F38A2" w:rsidRPr="004C16D6">
        <w:t>).</w:t>
      </w:r>
      <w:r w:rsidR="00EE7640" w:rsidRPr="004C16D6">
        <w:t xml:space="preserve"> </w:t>
      </w:r>
      <w:r w:rsidR="00481FD1" w:rsidRPr="004C16D6">
        <w:t>Frequently, Indigenous families with higher household incomes were significantly larger, such that they still fell below their corresponding MBM value.</w:t>
      </w:r>
      <w:r w:rsidR="00F22842" w:rsidRPr="004C16D6">
        <w:t xml:space="preserve"> Notably, of families of ≥8, only 4.35%, 15.38%, and 14.29% had an annual household income exceeding $55,000, for attendees with no minority, Indigenous, and newcomer status, respectively (Figure 7, 20, and 30). </w:t>
      </w:r>
      <w:r w:rsidR="0014226B" w:rsidRPr="004C16D6">
        <w:t>It is challenging to ascertain if th</w:t>
      </w:r>
      <w:r w:rsidR="00481FD1" w:rsidRPr="004C16D6">
        <w:t>e</w:t>
      </w:r>
      <w:r w:rsidR="0014226B" w:rsidRPr="004C16D6">
        <w:t>s</w:t>
      </w:r>
      <w:r w:rsidR="00481FD1" w:rsidRPr="004C16D6">
        <w:t>e</w:t>
      </w:r>
      <w:r w:rsidR="0014226B" w:rsidRPr="004C16D6">
        <w:t xml:space="preserve"> trend</w:t>
      </w:r>
      <w:r w:rsidR="00481FD1" w:rsidRPr="004C16D6">
        <w:t>s</w:t>
      </w:r>
      <w:r w:rsidR="0014226B" w:rsidRPr="004C16D6">
        <w:t xml:space="preserve"> hold true for </w:t>
      </w:r>
      <w:r w:rsidR="004C16D6" w:rsidRPr="004C16D6">
        <w:t xml:space="preserve">the </w:t>
      </w:r>
      <w:r w:rsidR="008D12A5" w:rsidRPr="004C16D6">
        <w:t>South Adult Court</w:t>
      </w:r>
      <w:r w:rsidR="004C16D6" w:rsidRPr="004C16D6">
        <w:t>s</w:t>
      </w:r>
      <w:r w:rsidR="0014226B" w:rsidRPr="004C16D6">
        <w:t xml:space="preserve">, owing to limited data availability, </w:t>
      </w:r>
      <w:r w:rsidR="00210278" w:rsidRPr="004C16D6">
        <w:t xml:space="preserve">however notably </w:t>
      </w:r>
      <w:r w:rsidR="0014226B" w:rsidRPr="004C16D6">
        <w:t xml:space="preserve">no attendees of </w:t>
      </w:r>
      <w:r w:rsidR="00814A03" w:rsidRPr="004C16D6">
        <w:t xml:space="preserve">Indigenous </w:t>
      </w:r>
      <w:r w:rsidR="0014226B" w:rsidRPr="004C16D6">
        <w:t>status reported an annual household income of more than $35,000</w:t>
      </w:r>
      <w:r w:rsidR="004C16D6" w:rsidRPr="004C16D6">
        <w:t xml:space="preserve"> in those courts</w:t>
      </w:r>
      <w:r w:rsidR="0014226B" w:rsidRPr="004C16D6">
        <w:t xml:space="preserve"> (F</w:t>
      </w:r>
      <w:r w:rsidR="00210278" w:rsidRPr="004C16D6">
        <w:t>igure 30, Table 11</w:t>
      </w:r>
      <w:r w:rsidR="0014226B" w:rsidRPr="004C16D6">
        <w:t>).</w:t>
      </w:r>
    </w:p>
    <w:p w14:paraId="47A97F89" w14:textId="35BF25FE" w:rsidR="000F574F" w:rsidRPr="004C16D6" w:rsidRDefault="004C16D6" w:rsidP="00A21CF8">
      <w:r w:rsidRPr="004C16D6">
        <w:t xml:space="preserve">The </w:t>
      </w:r>
      <w:r w:rsidR="008D12A5" w:rsidRPr="004C16D6">
        <w:t>North Adult Court</w:t>
      </w:r>
      <w:r w:rsidR="00744EE1" w:rsidRPr="004C16D6">
        <w:t>s</w:t>
      </w:r>
      <w:r w:rsidR="00921074" w:rsidRPr="004C16D6">
        <w:t xml:space="preserve"> demonstrated this trend between minority status and household income</w:t>
      </w:r>
      <w:r w:rsidR="00425E12" w:rsidRPr="004C16D6">
        <w:t xml:space="preserve"> most </w:t>
      </w:r>
      <w:r w:rsidR="00921074" w:rsidRPr="004C16D6">
        <w:t xml:space="preserve">prominently, </w:t>
      </w:r>
      <w:r w:rsidR="00EF493C" w:rsidRPr="004C16D6">
        <w:t>demonstrating</w:t>
      </w:r>
      <w:r w:rsidR="00921074" w:rsidRPr="004C16D6">
        <w:t xml:space="preserve"> the </w:t>
      </w:r>
      <w:r w:rsidR="00425E12" w:rsidRPr="004C16D6">
        <w:t>greatest</w:t>
      </w:r>
      <w:r w:rsidR="00921074" w:rsidRPr="004C16D6">
        <w:t xml:space="preserve"> proportion of individuals earning less than $15,000 per year (F</w:t>
      </w:r>
      <w:r w:rsidR="00425E12" w:rsidRPr="004C16D6">
        <w:t>igure 20</w:t>
      </w:r>
      <w:r w:rsidR="00921074" w:rsidRPr="004C16D6">
        <w:t>).</w:t>
      </w:r>
      <w:r w:rsidR="00425E12" w:rsidRPr="004C16D6">
        <w:t xml:space="preserve"> Particularly </w:t>
      </w:r>
      <w:r w:rsidR="00921074" w:rsidRPr="004C16D6">
        <w:t>in th</w:t>
      </w:r>
      <w:r w:rsidR="00744EE1" w:rsidRPr="004C16D6">
        <w:t>e</w:t>
      </w:r>
      <w:r w:rsidR="00921074" w:rsidRPr="004C16D6">
        <w:t>s</w:t>
      </w:r>
      <w:r w:rsidR="00744EE1" w:rsidRPr="004C16D6">
        <w:t>e</w:t>
      </w:r>
      <w:r w:rsidR="00921074" w:rsidRPr="004C16D6">
        <w:t xml:space="preserve"> court</w:t>
      </w:r>
      <w:r w:rsidR="00744EE1" w:rsidRPr="004C16D6">
        <w:t>s</w:t>
      </w:r>
      <w:r w:rsidR="00921074" w:rsidRPr="004C16D6">
        <w:t>, there exist</w:t>
      </w:r>
      <w:r w:rsidR="00EF493C" w:rsidRPr="004C16D6">
        <w:t>ed</w:t>
      </w:r>
      <w:r w:rsidR="00921074" w:rsidRPr="004C16D6">
        <w:t xml:space="preserve"> an inverse relationship between annual household income and family size, with attendees belonging to families of 8 or more being most likely to earn less than $15,000 annually (</w:t>
      </w:r>
      <w:r w:rsidR="00425E12" w:rsidRPr="004C16D6">
        <w:t>Figure 20)</w:t>
      </w:r>
      <w:r w:rsidR="00921074" w:rsidRPr="004C16D6">
        <w:t>. Similarly, a relationship existed between increasing family size, and an increasing proportion of attendees identifying as Indigenous (</w:t>
      </w:r>
      <w:r w:rsidR="00425E12" w:rsidRPr="004C16D6">
        <w:t>Table 6</w:t>
      </w:r>
      <w:r w:rsidR="00921074" w:rsidRPr="004C16D6">
        <w:t>). Indigenous attendees comprised 83.13% of individuals belonging to families of 8 or more, and of th</w:t>
      </w:r>
      <w:r w:rsidR="006B5A0C" w:rsidRPr="004C16D6">
        <w:t>e</w:t>
      </w:r>
      <w:r w:rsidR="00921074" w:rsidRPr="004C16D6">
        <w:t xml:space="preserve"> population 94.38% fell below the MBM (</w:t>
      </w:r>
      <w:r w:rsidR="00425E12" w:rsidRPr="004C16D6">
        <w:t>Figure 20, Table 6</w:t>
      </w:r>
      <w:r w:rsidR="00921074" w:rsidRPr="004C16D6">
        <w:t xml:space="preserve">). </w:t>
      </w:r>
      <w:r w:rsidR="00A21CF8" w:rsidRPr="004C16D6">
        <w:t>Indigenous attendees had 3.10-15.63X the odds of attendees without minority status of the same family size, of making less than the MBM value (T</w:t>
      </w:r>
      <w:r w:rsidR="00702FE6" w:rsidRPr="004C16D6">
        <w:t>able 7</w:t>
      </w:r>
      <w:r w:rsidR="00A21CF8" w:rsidRPr="004C16D6">
        <w:t xml:space="preserve">). Current literature suggests that in Alberta, Indigenous individuals are more likely to belong to larger families than the general population </w:t>
      </w:r>
      <w:r w:rsidR="00FC6089" w:rsidRPr="004C16D6">
        <w:rPr>
          <w:rFonts w:cs="Arial"/>
          <w:color w:val="000000"/>
          <w:shd w:val="clear" w:color="auto" w:fill="FFFFFF"/>
        </w:rPr>
        <w:t>(Statistics Canada, 2013)</w:t>
      </w:r>
      <w:r w:rsidR="00A21CF8" w:rsidRPr="004C16D6">
        <w:t xml:space="preserve">. </w:t>
      </w:r>
    </w:p>
    <w:p w14:paraId="10E9F8B6" w14:textId="3E1969E5" w:rsidR="000F574F" w:rsidRPr="004C16D6" w:rsidRDefault="000F574F" w:rsidP="00A21CF8">
      <w:pPr>
        <w:rPr>
          <w:color w:val="FF0000"/>
        </w:rPr>
      </w:pPr>
      <w:r w:rsidRPr="004C16D6">
        <w:t>Cumulatively</w:t>
      </w:r>
      <w:r w:rsidR="00EF493C" w:rsidRPr="004C16D6">
        <w:t xml:space="preserve">, </w:t>
      </w:r>
      <w:r w:rsidR="00A21CF8" w:rsidRPr="004C16D6">
        <w:t>the</w:t>
      </w:r>
      <w:r w:rsidRPr="004C16D6">
        <w:t>se findings are consistent with the observation that the</w:t>
      </w:r>
      <w:r w:rsidR="00A21CF8" w:rsidRPr="004C16D6">
        <w:t xml:space="preserve"> economic status of Indigenous</w:t>
      </w:r>
      <w:r w:rsidRPr="004C16D6">
        <w:t xml:space="preserve"> Albertans is poorer than that of the general population. In 2016, 55% of Indigenous </w:t>
      </w:r>
      <w:r w:rsidR="00425748" w:rsidRPr="004C16D6">
        <w:t>person</w:t>
      </w:r>
      <w:r w:rsidRPr="004C16D6">
        <w:t xml:space="preserve">s were in the bottom half of the Canadian income distribution, </w:t>
      </w:r>
      <w:r w:rsidR="00425748" w:rsidRPr="004C16D6">
        <w:t>suggestin</w:t>
      </w:r>
      <w:r w:rsidRPr="004C16D6">
        <w:t xml:space="preserve">g </w:t>
      </w:r>
      <w:r w:rsidR="00D73C6B" w:rsidRPr="004C16D6">
        <w:t>that th</w:t>
      </w:r>
      <w:r w:rsidR="006B5A0C" w:rsidRPr="004C16D6">
        <w:t>e</w:t>
      </w:r>
      <w:r w:rsidR="00D73C6B" w:rsidRPr="004C16D6">
        <w:t xml:space="preserve"> population has relatively lower incomes than Canada as a whole </w:t>
      </w:r>
      <w:r w:rsidR="00FC6089" w:rsidRPr="004C16D6">
        <w:rPr>
          <w:rFonts w:cs="Arial"/>
          <w:color w:val="000000"/>
          <w:shd w:val="clear" w:color="auto" w:fill="FFFFFF"/>
        </w:rPr>
        <w:t>(Statistics Canada, 2013)</w:t>
      </w:r>
      <w:r w:rsidR="00D73C6B" w:rsidRPr="004C16D6">
        <w:t>. In Calgary in 2016, the median household income for Indigenous individuals was $69,378 – a marked $12,000 lower than that of Calgarians overall – and 22% were considered low income</w:t>
      </w:r>
      <w:r w:rsidR="00FC6089" w:rsidRPr="004C16D6">
        <w:t xml:space="preserve"> </w:t>
      </w:r>
      <w:r w:rsidR="00FC6089" w:rsidRPr="004C16D6">
        <w:rPr>
          <w:rFonts w:cs="Arial"/>
          <w:color w:val="000000"/>
          <w:shd w:val="clear" w:color="auto" w:fill="FFFFFF"/>
        </w:rPr>
        <w:t>(</w:t>
      </w:r>
      <w:r w:rsidR="00FC6089" w:rsidRPr="004C16D6">
        <w:rPr>
          <w:rFonts w:cs="Arial"/>
          <w:shd w:val="clear" w:color="auto" w:fill="FFFFFF"/>
        </w:rPr>
        <w:t>Statistics Canada, 2013)</w:t>
      </w:r>
      <w:r w:rsidR="00D73C6B" w:rsidRPr="004C16D6">
        <w:t>.</w:t>
      </w:r>
      <w:r w:rsidR="00663BF9" w:rsidRPr="004C16D6">
        <w:t xml:space="preserve"> This is in part owing to differential rates of employment</w:t>
      </w:r>
      <w:r w:rsidR="00425748" w:rsidRPr="004C16D6">
        <w:t>,</w:t>
      </w:r>
      <w:r w:rsidR="00663BF9" w:rsidRPr="004C16D6">
        <w:t xml:space="preserve"> </w:t>
      </w:r>
      <w:r w:rsidR="002D5B55" w:rsidRPr="004C16D6">
        <w:t>educational a</w:t>
      </w:r>
      <w:r w:rsidR="00425748" w:rsidRPr="004C16D6">
        <w:t>ttainment</w:t>
      </w:r>
      <w:r w:rsidR="00663BF9" w:rsidRPr="004C16D6">
        <w:t xml:space="preserve"> (</w:t>
      </w:r>
      <w:r w:rsidR="00555DF0" w:rsidRPr="004C16D6">
        <w:t>Pager, 2003</w:t>
      </w:r>
      <w:r w:rsidR="00663BF9" w:rsidRPr="004C16D6">
        <w:t xml:space="preserve">), </w:t>
      </w:r>
      <w:r w:rsidR="002D5B55" w:rsidRPr="004C16D6">
        <w:t xml:space="preserve">and the fields of employment in this group; in 2016, approximately half of Indigenous Calgarians were employed in sales and service positions, </w:t>
      </w:r>
      <w:r w:rsidR="008D18C3" w:rsidRPr="004C16D6">
        <w:t>fields which demonstrate some of the lowest wages (</w:t>
      </w:r>
      <w:r w:rsidR="00FC6089" w:rsidRPr="004C16D6">
        <w:rPr>
          <w:rFonts w:cs="Arial"/>
          <w:color w:val="000000"/>
          <w:shd w:val="clear" w:color="auto" w:fill="FFFFFF"/>
        </w:rPr>
        <w:t>Statistics Canada, 2013)</w:t>
      </w:r>
      <w:r w:rsidR="008D18C3" w:rsidRPr="004C16D6">
        <w:t>.</w:t>
      </w:r>
    </w:p>
    <w:p w14:paraId="188A28D5" w14:textId="0D5BAC41" w:rsidR="002D22C8" w:rsidRDefault="007952BD" w:rsidP="004F65E0">
      <w:pPr>
        <w:pStyle w:val="Heading3"/>
      </w:pPr>
      <w:bookmarkStart w:id="64" w:name="_Toc16262375"/>
      <w:r>
        <w:t>Traffic courts</w:t>
      </w:r>
      <w:bookmarkEnd w:id="64"/>
      <w:r>
        <w:t xml:space="preserve"> </w:t>
      </w:r>
    </w:p>
    <w:p w14:paraId="43A187DA" w14:textId="77777777" w:rsidR="005B18E4" w:rsidRDefault="005B18E4" w:rsidP="00FE027C"/>
    <w:p w14:paraId="259317C7" w14:textId="2B6FB102" w:rsidR="00781D77" w:rsidRPr="00F87205" w:rsidRDefault="005B18E4" w:rsidP="008D18C3">
      <w:r>
        <w:t xml:space="preserve">In </w:t>
      </w:r>
      <w:r w:rsidR="00FE027C">
        <w:t xml:space="preserve">Calgary </w:t>
      </w:r>
      <w:r w:rsidR="007952BD">
        <w:t>Traffic Court</w:t>
      </w:r>
      <w:r w:rsidR="00FE027C">
        <w:t xml:space="preserve"> </w:t>
      </w:r>
      <w:r>
        <w:t>there existed a modest trend towards a greater proportion of attendees with minority status reporting annual household income</w:t>
      </w:r>
      <w:r w:rsidR="00396143">
        <w:t>s</w:t>
      </w:r>
      <w:r>
        <w:t xml:space="preserve"> of &lt;$15,000 and a lesser proportion making &gt;$55,000, than attendees without minority status (</w:t>
      </w:r>
      <w:r w:rsidR="00396143">
        <w:t>Figure 60</w:t>
      </w:r>
      <w:r>
        <w:t>).</w:t>
      </w:r>
      <w:r w:rsidR="002729FF">
        <w:t xml:space="preserve"> </w:t>
      </w:r>
      <w:r>
        <w:t>Moreover, it was discovered that Indigenous and newcomer attendees ha</w:t>
      </w:r>
      <w:r w:rsidR="00396143">
        <w:t>d</w:t>
      </w:r>
      <w:r>
        <w:t xml:space="preserve"> </w:t>
      </w:r>
      <w:r w:rsidR="00814A03">
        <w:t xml:space="preserve">1.34-2.98X </w:t>
      </w:r>
      <w:r>
        <w:t xml:space="preserve">and </w:t>
      </w:r>
      <w:r w:rsidR="00814A03">
        <w:t xml:space="preserve">1.66-2.62X </w:t>
      </w:r>
      <w:r>
        <w:t>the odds of making less than the MBM value, than those without minority status of corresponding family sizes</w:t>
      </w:r>
      <w:r w:rsidR="00110FEA">
        <w:t>, respectively (F</w:t>
      </w:r>
      <w:r w:rsidR="00396143">
        <w:t>igure 60</w:t>
      </w:r>
      <w:r w:rsidR="00110FEA">
        <w:t>)</w:t>
      </w:r>
      <w:r w:rsidR="002729FF">
        <w:t>. Notably, of families of ≥8, only 19.50%, 21.20%, and 3.40% had an annual household income exceeding $55,000, for attendee</w:t>
      </w:r>
      <w:r w:rsidR="00F87205">
        <w:t xml:space="preserve">s with no minority, Indigenous, and newcomer status, respectively (Figure 60). </w:t>
      </w:r>
      <w:r w:rsidR="002D22C8">
        <w:t>It is challenging to ascertain if th</w:t>
      </w:r>
      <w:r w:rsidR="00F87205">
        <w:t>e</w:t>
      </w:r>
      <w:r w:rsidR="002D22C8">
        <w:t>s</w:t>
      </w:r>
      <w:r w:rsidR="00F87205">
        <w:t>e</w:t>
      </w:r>
      <w:r w:rsidR="002D22C8">
        <w:t xml:space="preserve"> relationship</w:t>
      </w:r>
      <w:r w:rsidR="00F87205">
        <w:t>s</w:t>
      </w:r>
      <w:r w:rsidR="002D22C8">
        <w:t xml:space="preserve"> hold true for </w:t>
      </w:r>
      <w:r w:rsidR="004C16D6">
        <w:t xml:space="preserve">the </w:t>
      </w:r>
      <w:r w:rsidR="007952BD">
        <w:t>South</w:t>
      </w:r>
      <w:r w:rsidR="002D22C8">
        <w:t xml:space="preserve"> </w:t>
      </w:r>
      <w:r w:rsidR="007952BD">
        <w:t>Traffic Court</w:t>
      </w:r>
      <w:r w:rsidR="004C16D6">
        <w:t>s</w:t>
      </w:r>
      <w:r w:rsidR="002D22C8">
        <w:t>, owing to limited data availability</w:t>
      </w:r>
      <w:r w:rsidR="00396143">
        <w:t>, though notably</w:t>
      </w:r>
      <w:r w:rsidR="002D22C8">
        <w:t xml:space="preserve"> no attendees </w:t>
      </w:r>
      <w:r w:rsidR="00396143">
        <w:t xml:space="preserve">with </w:t>
      </w:r>
      <w:r w:rsidR="002D22C8">
        <w:t>minority status reported an annual household income of more than $55,000 (</w:t>
      </w:r>
      <w:r w:rsidR="00396143">
        <w:t>Figure 73, Table 28</w:t>
      </w:r>
      <w:r w:rsidR="002D22C8">
        <w:t>).</w:t>
      </w:r>
      <w:r w:rsidR="00212C84">
        <w:t xml:space="preserve"> </w:t>
      </w:r>
    </w:p>
    <w:p w14:paraId="4005A87E" w14:textId="5E136EC1" w:rsidR="004770AC" w:rsidRDefault="00C7493B" w:rsidP="004770AC">
      <w:pPr>
        <w:pStyle w:val="Heading2"/>
      </w:pPr>
      <w:bookmarkStart w:id="65" w:name="_Toc16262376"/>
      <w:r>
        <w:t>Offences</w:t>
      </w:r>
      <w:bookmarkEnd w:id="65"/>
    </w:p>
    <w:p w14:paraId="030DB232" w14:textId="1E9CA13D" w:rsidR="004F14BF" w:rsidRDefault="007952BD" w:rsidP="004F14BF">
      <w:pPr>
        <w:pStyle w:val="Heading3"/>
      </w:pPr>
      <w:bookmarkStart w:id="66" w:name="_Toc16262377"/>
      <w:r>
        <w:t>Adult courts</w:t>
      </w:r>
      <w:bookmarkEnd w:id="66"/>
      <w:r>
        <w:t xml:space="preserve"> </w:t>
      </w:r>
    </w:p>
    <w:p w14:paraId="23D3BB3C" w14:textId="77777777" w:rsidR="004F14BF" w:rsidRPr="004F14BF" w:rsidRDefault="004F14BF" w:rsidP="004F14BF"/>
    <w:p w14:paraId="38010D19" w14:textId="6E83774E" w:rsidR="005C3064" w:rsidRPr="00CA4676" w:rsidRDefault="004F14BF" w:rsidP="005C3064">
      <w:pPr>
        <w:rPr>
          <w:rFonts w:eastAsia="Times New Roman" w:cstheme="minorHAnsi"/>
          <w:color w:val="333333"/>
          <w:shd w:val="clear" w:color="auto" w:fill="FFFFFF"/>
          <w:lang w:eastAsia="en-CA"/>
        </w:rPr>
      </w:pPr>
      <w:r>
        <w:t xml:space="preserve">Across </w:t>
      </w:r>
      <w:r w:rsidR="00141A7A">
        <w:t xml:space="preserve">the </w:t>
      </w:r>
      <w:r>
        <w:t xml:space="preserve">Calgary, </w:t>
      </w:r>
      <w:r w:rsidR="007952BD">
        <w:t>North</w:t>
      </w:r>
      <w:r>
        <w:t xml:space="preserve">, and </w:t>
      </w:r>
      <w:r w:rsidR="008D12A5">
        <w:t>South Adult Court</w:t>
      </w:r>
      <w:r>
        <w:t xml:space="preserve">s, it was observed that </w:t>
      </w:r>
      <w:r w:rsidR="00141A7A">
        <w:t xml:space="preserve">for </w:t>
      </w:r>
      <w:r>
        <w:t xml:space="preserve">the overwhelming majority of attendees – 97.45%, 97.54%, and 98.81% respectively – a criminal offence charge preceded an administration </w:t>
      </w:r>
      <w:r>
        <w:lastRenderedPageBreak/>
        <w:t>charge (</w:t>
      </w:r>
      <w:r w:rsidR="006F6553">
        <w:t>Figures 8, 21, and 31</w:t>
      </w:r>
      <w:r>
        <w:t xml:space="preserve">). Across each court, the most common </w:t>
      </w:r>
      <w:r w:rsidR="001E0A3C">
        <w:t xml:space="preserve">administration </w:t>
      </w:r>
      <w:r>
        <w:t xml:space="preserve">offence noted was </w:t>
      </w:r>
      <w:r w:rsidR="00AC1891" w:rsidRPr="00331742">
        <w:rPr>
          <w:rFonts w:eastAsia="Times New Roman" w:cstheme="minorHAnsi"/>
          <w:color w:val="333333"/>
          <w:shd w:val="clear" w:color="auto" w:fill="FFFFFF"/>
          <w:lang w:eastAsia="en-CA"/>
        </w:rPr>
        <w:t>"</w:t>
      </w:r>
      <w:r w:rsidR="00AC1891">
        <w:rPr>
          <w:rFonts w:eastAsia="Times New Roman" w:cstheme="minorHAnsi"/>
          <w:color w:val="333333"/>
          <w:shd w:val="clear" w:color="auto" w:fill="FFFFFF"/>
          <w:lang w:eastAsia="en-CA"/>
        </w:rPr>
        <w:t>failure to appear</w:t>
      </w:r>
      <w:r w:rsidR="00AC1891" w:rsidRPr="00331742">
        <w:rPr>
          <w:rFonts w:eastAsia="Times New Roman" w:cstheme="minorHAnsi"/>
          <w:color w:val="333333"/>
          <w:shd w:val="clear" w:color="auto" w:fill="FFFFFF"/>
          <w:lang w:eastAsia="en-CA"/>
        </w:rPr>
        <w:t>"</w:t>
      </w:r>
      <w:r w:rsidR="00AC1891">
        <w:rPr>
          <w:rFonts w:eastAsia="Times New Roman" w:cstheme="minorHAnsi"/>
          <w:color w:val="333333"/>
          <w:shd w:val="clear" w:color="auto" w:fill="FFFFFF"/>
          <w:lang w:eastAsia="en-CA"/>
        </w:rPr>
        <w:t xml:space="preserve">, accounting for 49.91%, 38.42%, and 48.9% of all charges at Calgary, </w:t>
      </w:r>
      <w:r w:rsidR="007952BD">
        <w:rPr>
          <w:rFonts w:eastAsia="Times New Roman" w:cstheme="minorHAnsi"/>
          <w:color w:val="333333"/>
          <w:shd w:val="clear" w:color="auto" w:fill="FFFFFF"/>
          <w:lang w:eastAsia="en-CA"/>
        </w:rPr>
        <w:t>North</w:t>
      </w:r>
      <w:r w:rsidR="00AC1891">
        <w:rPr>
          <w:rFonts w:eastAsia="Times New Roman" w:cstheme="minorHAnsi"/>
          <w:color w:val="333333"/>
          <w:shd w:val="clear" w:color="auto" w:fill="FFFFFF"/>
          <w:lang w:eastAsia="en-CA"/>
        </w:rPr>
        <w:t xml:space="preserve">, and </w:t>
      </w:r>
      <w:r w:rsidR="008D12A5">
        <w:rPr>
          <w:rFonts w:eastAsia="Times New Roman" w:cstheme="minorHAnsi"/>
          <w:color w:val="333333"/>
          <w:shd w:val="clear" w:color="auto" w:fill="FFFFFF"/>
          <w:lang w:eastAsia="en-CA"/>
        </w:rPr>
        <w:t>South Adult Court</w:t>
      </w:r>
      <w:r w:rsidR="0053275D">
        <w:rPr>
          <w:rFonts w:eastAsia="Times New Roman" w:cstheme="minorHAnsi"/>
          <w:color w:val="333333"/>
          <w:shd w:val="clear" w:color="auto" w:fill="FFFFFF"/>
          <w:lang w:eastAsia="en-CA"/>
        </w:rPr>
        <w:t>s</w:t>
      </w:r>
      <w:r w:rsidR="00AC1891">
        <w:rPr>
          <w:rFonts w:eastAsia="Times New Roman" w:cstheme="minorHAnsi"/>
          <w:color w:val="333333"/>
          <w:shd w:val="clear" w:color="auto" w:fill="FFFFFF"/>
          <w:lang w:eastAsia="en-CA"/>
        </w:rPr>
        <w:t xml:space="preserve"> (F</w:t>
      </w:r>
      <w:r w:rsidR="006F6553">
        <w:rPr>
          <w:rFonts w:eastAsia="Times New Roman" w:cstheme="minorHAnsi"/>
          <w:color w:val="333333"/>
          <w:shd w:val="clear" w:color="auto" w:fill="FFFFFF"/>
          <w:lang w:eastAsia="en-CA"/>
        </w:rPr>
        <w:t>igures 9, 21, and 32</w:t>
      </w:r>
      <w:r w:rsidR="00AC1891">
        <w:rPr>
          <w:rFonts w:eastAsia="Times New Roman" w:cstheme="minorHAnsi"/>
          <w:color w:val="333333"/>
          <w:shd w:val="clear" w:color="auto" w:fill="FFFFFF"/>
          <w:lang w:eastAsia="en-CA"/>
        </w:rPr>
        <w:t xml:space="preserve">); when broken down by minority status, all groups demonstrated a similar </w:t>
      </w:r>
      <w:r w:rsidR="009D6D27">
        <w:rPr>
          <w:rFonts w:eastAsia="Times New Roman" w:cstheme="minorHAnsi"/>
          <w:color w:val="333333"/>
          <w:shd w:val="clear" w:color="auto" w:fill="FFFFFF"/>
          <w:lang w:eastAsia="en-CA"/>
        </w:rPr>
        <w:t>frequency of this charge (</w:t>
      </w:r>
      <w:r w:rsidR="006F6553">
        <w:rPr>
          <w:rFonts w:eastAsia="Times New Roman" w:cstheme="minorHAnsi"/>
          <w:color w:val="333333"/>
          <w:shd w:val="clear" w:color="auto" w:fill="FFFFFF"/>
          <w:lang w:eastAsia="en-CA"/>
        </w:rPr>
        <w:t>Figures 10, 11, 12, and 22</w:t>
      </w:r>
      <w:r w:rsidR="009D6D27">
        <w:rPr>
          <w:rFonts w:eastAsia="Times New Roman" w:cstheme="minorHAnsi"/>
          <w:color w:val="333333"/>
          <w:shd w:val="clear" w:color="auto" w:fill="FFFFFF"/>
          <w:lang w:eastAsia="en-CA"/>
        </w:rPr>
        <w:t xml:space="preserve">). </w:t>
      </w:r>
      <w:r w:rsidR="007576D4">
        <w:rPr>
          <w:rFonts w:eastAsia="Times New Roman" w:cstheme="minorHAnsi"/>
          <w:color w:val="333333"/>
          <w:shd w:val="clear" w:color="auto" w:fill="FFFFFF"/>
          <w:lang w:eastAsia="en-CA"/>
        </w:rPr>
        <w:t xml:space="preserve">Previous research by the organization has suggested that individuals with no fixed address represented a significant proportion of </w:t>
      </w:r>
      <w:r w:rsidR="007576D4" w:rsidRPr="00331742">
        <w:rPr>
          <w:rFonts w:eastAsia="Times New Roman" w:cstheme="minorHAnsi"/>
          <w:color w:val="333333"/>
          <w:shd w:val="clear" w:color="auto" w:fill="FFFFFF"/>
          <w:lang w:eastAsia="en-CA"/>
        </w:rPr>
        <w:t>"</w:t>
      </w:r>
      <w:r w:rsidR="007576D4">
        <w:rPr>
          <w:rFonts w:eastAsia="Times New Roman" w:cstheme="minorHAnsi"/>
          <w:color w:val="333333"/>
          <w:shd w:val="clear" w:color="auto" w:fill="FFFFFF"/>
          <w:lang w:eastAsia="en-CA"/>
        </w:rPr>
        <w:t>failure to appear</w:t>
      </w:r>
      <w:r w:rsidR="007576D4" w:rsidRPr="00331742">
        <w:rPr>
          <w:rFonts w:eastAsia="Times New Roman" w:cstheme="minorHAnsi"/>
          <w:color w:val="333333"/>
          <w:shd w:val="clear" w:color="auto" w:fill="FFFFFF"/>
          <w:lang w:eastAsia="en-CA"/>
        </w:rPr>
        <w:t>"</w:t>
      </w:r>
      <w:r w:rsidR="007576D4">
        <w:rPr>
          <w:rFonts w:eastAsia="Times New Roman" w:cstheme="minorHAnsi"/>
          <w:color w:val="333333"/>
          <w:shd w:val="clear" w:color="auto" w:fill="FFFFFF"/>
          <w:lang w:eastAsia="en-CA"/>
        </w:rPr>
        <w:t xml:space="preserve"> charges; the population of individuals without a fixed address might be expected to be localized around urban centres, which provide more opportunities for temporary housing and shelter, </w:t>
      </w:r>
      <w:r w:rsidR="0053275D">
        <w:rPr>
          <w:rFonts w:eastAsia="Times New Roman" w:cstheme="minorHAnsi"/>
          <w:color w:val="333333"/>
          <w:shd w:val="clear" w:color="auto" w:fill="FFFFFF"/>
          <w:lang w:eastAsia="en-CA"/>
        </w:rPr>
        <w:t>and this</w:t>
      </w:r>
      <w:r w:rsidR="007576D4">
        <w:rPr>
          <w:rFonts w:eastAsia="Times New Roman" w:cstheme="minorHAnsi"/>
          <w:color w:val="333333"/>
          <w:shd w:val="clear" w:color="auto" w:fill="FFFFFF"/>
          <w:lang w:eastAsia="en-CA"/>
        </w:rPr>
        <w:t xml:space="preserve"> might hel</w:t>
      </w:r>
      <w:r w:rsidR="00E4533B">
        <w:rPr>
          <w:rFonts w:eastAsia="Times New Roman" w:cstheme="minorHAnsi"/>
          <w:color w:val="333333"/>
          <w:shd w:val="clear" w:color="auto" w:fill="FFFFFF"/>
          <w:lang w:eastAsia="en-CA"/>
        </w:rPr>
        <w:t>p</w:t>
      </w:r>
      <w:r w:rsidR="007576D4">
        <w:rPr>
          <w:rFonts w:eastAsia="Times New Roman" w:cstheme="minorHAnsi"/>
          <w:color w:val="333333"/>
          <w:shd w:val="clear" w:color="auto" w:fill="FFFFFF"/>
          <w:lang w:eastAsia="en-CA"/>
        </w:rPr>
        <w:t xml:space="preserve"> explain why both the Calgary and </w:t>
      </w:r>
      <w:r w:rsidR="0053275D">
        <w:rPr>
          <w:rFonts w:eastAsia="Times New Roman" w:cstheme="minorHAnsi"/>
          <w:color w:val="333333"/>
          <w:shd w:val="clear" w:color="auto" w:fill="FFFFFF"/>
          <w:lang w:eastAsia="en-CA"/>
        </w:rPr>
        <w:t xml:space="preserve">the </w:t>
      </w:r>
      <w:r w:rsidR="007576D4">
        <w:rPr>
          <w:rFonts w:eastAsia="Times New Roman" w:cstheme="minorHAnsi"/>
          <w:color w:val="333333"/>
          <w:shd w:val="clear" w:color="auto" w:fill="FFFFFF"/>
          <w:lang w:eastAsia="en-CA"/>
        </w:rPr>
        <w:t>South Adult Courts demonstrate a higher proportion of attendees with this charge (</w:t>
      </w:r>
      <w:r w:rsidR="00581F1A">
        <w:rPr>
          <w:rFonts w:eastAsia="Times New Roman" w:cstheme="minorHAnsi"/>
          <w:color w:val="333333"/>
          <w:shd w:val="clear" w:color="auto" w:fill="FFFFFF"/>
          <w:lang w:eastAsia="en-CA"/>
        </w:rPr>
        <w:t xml:space="preserve">Figures 9 and 32). In addition, </w:t>
      </w:r>
      <w:r w:rsidR="0053275D">
        <w:rPr>
          <w:rFonts w:eastAsia="Times New Roman" w:cstheme="minorHAnsi"/>
          <w:color w:val="333333"/>
          <w:shd w:val="clear" w:color="auto" w:fill="FFFFFF"/>
          <w:lang w:eastAsia="en-CA"/>
        </w:rPr>
        <w:t>Adult Court</w:t>
      </w:r>
      <w:r w:rsidR="00581F1A">
        <w:rPr>
          <w:rFonts w:eastAsia="Times New Roman" w:cstheme="minorHAnsi"/>
          <w:color w:val="333333"/>
          <w:shd w:val="clear" w:color="auto" w:fill="FFFFFF"/>
          <w:lang w:eastAsia="en-CA"/>
        </w:rPr>
        <w:t xml:space="preserve"> program advocates have </w:t>
      </w:r>
      <w:r w:rsidR="00436517">
        <w:rPr>
          <w:rFonts w:eastAsia="Times New Roman" w:cstheme="minorHAnsi"/>
          <w:color w:val="333333"/>
          <w:shd w:val="clear" w:color="auto" w:fill="FFFFFF"/>
          <w:lang w:eastAsia="en-CA"/>
        </w:rPr>
        <w:t xml:space="preserve">previously </w:t>
      </w:r>
      <w:r w:rsidR="00581F1A">
        <w:rPr>
          <w:rFonts w:eastAsia="Times New Roman" w:cstheme="minorHAnsi"/>
          <w:color w:val="333333"/>
          <w:shd w:val="clear" w:color="auto" w:fill="FFFFFF"/>
          <w:lang w:eastAsia="en-CA"/>
        </w:rPr>
        <w:t xml:space="preserve">noted greater frequencies of this charge in Indigenous attendees in </w:t>
      </w:r>
      <w:r w:rsidR="00436517">
        <w:rPr>
          <w:rFonts w:eastAsia="Times New Roman" w:cstheme="minorHAnsi"/>
          <w:color w:val="333333"/>
          <w:shd w:val="clear" w:color="auto" w:fill="FFFFFF"/>
          <w:lang w:eastAsia="en-CA"/>
        </w:rPr>
        <w:t xml:space="preserve">the </w:t>
      </w:r>
      <w:r w:rsidR="00581F1A">
        <w:rPr>
          <w:rFonts w:eastAsia="Times New Roman" w:cstheme="minorHAnsi"/>
          <w:color w:val="333333"/>
          <w:shd w:val="clear" w:color="auto" w:fill="FFFFFF"/>
          <w:lang w:eastAsia="en-CA"/>
        </w:rPr>
        <w:t>South Adult Court</w:t>
      </w:r>
      <w:r w:rsidR="00436517">
        <w:rPr>
          <w:rFonts w:eastAsia="Times New Roman" w:cstheme="minorHAnsi"/>
          <w:color w:val="333333"/>
          <w:shd w:val="clear" w:color="auto" w:fill="FFFFFF"/>
          <w:lang w:eastAsia="en-CA"/>
        </w:rPr>
        <w:t>s</w:t>
      </w:r>
      <w:r w:rsidR="00581F1A">
        <w:rPr>
          <w:rFonts w:eastAsia="Times New Roman" w:cstheme="minorHAnsi"/>
          <w:color w:val="333333"/>
          <w:shd w:val="clear" w:color="auto" w:fill="FFFFFF"/>
          <w:lang w:eastAsia="en-CA"/>
        </w:rPr>
        <w:t>,</w:t>
      </w:r>
      <w:r w:rsidR="00436517">
        <w:rPr>
          <w:rFonts w:eastAsia="Times New Roman" w:cstheme="minorHAnsi"/>
          <w:color w:val="333333"/>
          <w:shd w:val="clear" w:color="auto" w:fill="FFFFFF"/>
          <w:lang w:eastAsia="en-CA"/>
        </w:rPr>
        <w:t xml:space="preserve"> largely prior to the establishment of the Turner Valley Court,</w:t>
      </w:r>
      <w:r w:rsidR="00581F1A">
        <w:rPr>
          <w:rFonts w:eastAsia="Times New Roman" w:cstheme="minorHAnsi"/>
          <w:color w:val="333333"/>
          <w:shd w:val="clear" w:color="auto" w:fill="FFFFFF"/>
          <w:lang w:eastAsia="en-CA"/>
        </w:rPr>
        <w:t xml:space="preserve"> citing the significant distance between them and the nearest Nations, and the ensuing barriers to arriving at court</w:t>
      </w:r>
      <w:r w:rsidR="00436517">
        <w:rPr>
          <w:rFonts w:eastAsia="Times New Roman" w:cstheme="minorHAnsi"/>
          <w:color w:val="333333"/>
          <w:shd w:val="clear" w:color="auto" w:fill="FFFFFF"/>
          <w:lang w:eastAsia="en-CA"/>
        </w:rPr>
        <w:t>.</w:t>
      </w:r>
      <w:r w:rsidR="007576D4">
        <w:rPr>
          <w:rFonts w:eastAsia="Times New Roman" w:cstheme="minorHAnsi"/>
          <w:color w:val="333333"/>
          <w:shd w:val="clear" w:color="auto" w:fill="FFFFFF"/>
          <w:lang w:eastAsia="en-CA"/>
        </w:rPr>
        <w:t xml:space="preserve"> Wi</w:t>
      </w:r>
      <w:r w:rsidR="001C0DE9">
        <w:rPr>
          <w:rFonts w:eastAsia="Times New Roman" w:cstheme="minorHAnsi"/>
          <w:color w:val="333333"/>
          <w:shd w:val="clear" w:color="auto" w:fill="FFFFFF"/>
          <w:lang w:eastAsia="en-CA"/>
        </w:rPr>
        <w:t xml:space="preserve">thin </w:t>
      </w:r>
      <w:r w:rsidR="00436517">
        <w:rPr>
          <w:rFonts w:eastAsia="Times New Roman" w:cstheme="minorHAnsi"/>
          <w:color w:val="333333"/>
          <w:shd w:val="clear" w:color="auto" w:fill="FFFFFF"/>
          <w:lang w:eastAsia="en-CA"/>
        </w:rPr>
        <w:t xml:space="preserve">the </w:t>
      </w:r>
      <w:r w:rsidR="008D12A5">
        <w:rPr>
          <w:rFonts w:eastAsia="Times New Roman" w:cstheme="minorHAnsi"/>
          <w:color w:val="333333"/>
          <w:shd w:val="clear" w:color="auto" w:fill="FFFFFF"/>
          <w:lang w:eastAsia="en-CA"/>
        </w:rPr>
        <w:t>North Adult Court</w:t>
      </w:r>
      <w:r w:rsidR="00436517">
        <w:rPr>
          <w:rFonts w:eastAsia="Times New Roman" w:cstheme="minorHAnsi"/>
          <w:color w:val="333333"/>
          <w:shd w:val="clear" w:color="auto" w:fill="FFFFFF"/>
          <w:lang w:eastAsia="en-CA"/>
        </w:rPr>
        <w:t>s</w:t>
      </w:r>
      <w:r w:rsidR="001C0DE9">
        <w:rPr>
          <w:rFonts w:eastAsia="Times New Roman" w:cstheme="minorHAnsi"/>
          <w:color w:val="333333"/>
          <w:shd w:val="clear" w:color="auto" w:fill="FFFFFF"/>
          <w:lang w:eastAsia="en-CA"/>
        </w:rPr>
        <w:t xml:space="preserve">, it was noted that </w:t>
      </w:r>
      <w:r w:rsidR="001C0DE9" w:rsidRPr="00331742">
        <w:rPr>
          <w:rFonts w:eastAsia="Times New Roman" w:cstheme="minorHAnsi"/>
          <w:color w:val="333333"/>
          <w:shd w:val="clear" w:color="auto" w:fill="FFFFFF"/>
          <w:lang w:eastAsia="en-CA"/>
        </w:rPr>
        <w:t>"</w:t>
      </w:r>
      <w:r w:rsidR="001C0DE9">
        <w:rPr>
          <w:rFonts w:eastAsia="Times New Roman" w:cstheme="minorHAnsi"/>
          <w:color w:val="333333"/>
          <w:shd w:val="clear" w:color="auto" w:fill="FFFFFF"/>
          <w:lang w:eastAsia="en-CA"/>
        </w:rPr>
        <w:t>failure to comply</w:t>
      </w:r>
      <w:r w:rsidR="001C0DE9" w:rsidRPr="00331742">
        <w:rPr>
          <w:rFonts w:eastAsia="Times New Roman" w:cstheme="minorHAnsi"/>
          <w:color w:val="333333"/>
          <w:shd w:val="clear" w:color="auto" w:fill="FFFFFF"/>
          <w:lang w:eastAsia="en-CA"/>
        </w:rPr>
        <w:t>"</w:t>
      </w:r>
      <w:r w:rsidR="001C0DE9">
        <w:rPr>
          <w:rFonts w:eastAsia="Times New Roman" w:cstheme="minorHAnsi"/>
          <w:color w:val="333333"/>
          <w:shd w:val="clear" w:color="auto" w:fill="FFFFFF"/>
          <w:lang w:eastAsia="en-CA"/>
        </w:rPr>
        <w:t xml:space="preserve"> (38.42%) was also a significant contributory </w:t>
      </w:r>
      <w:r w:rsidR="00EF050D">
        <w:rPr>
          <w:rFonts w:eastAsia="Times New Roman" w:cstheme="minorHAnsi"/>
          <w:color w:val="333333"/>
          <w:shd w:val="clear" w:color="auto" w:fill="FFFFFF"/>
          <w:lang w:eastAsia="en-CA"/>
        </w:rPr>
        <w:t xml:space="preserve">offence that was evenly represented between </w:t>
      </w:r>
      <w:r w:rsidR="006F6553">
        <w:rPr>
          <w:rFonts w:eastAsia="Times New Roman" w:cstheme="minorHAnsi"/>
          <w:color w:val="333333"/>
          <w:shd w:val="clear" w:color="auto" w:fill="FFFFFF"/>
          <w:lang w:eastAsia="en-CA"/>
        </w:rPr>
        <w:t>Indigenous attendees and those</w:t>
      </w:r>
      <w:r w:rsidR="00EF050D">
        <w:rPr>
          <w:rFonts w:eastAsia="Times New Roman" w:cstheme="minorHAnsi"/>
          <w:color w:val="333333"/>
          <w:shd w:val="clear" w:color="auto" w:fill="FFFFFF"/>
          <w:lang w:eastAsia="en-CA"/>
        </w:rPr>
        <w:t xml:space="preserve"> without minority status (F</w:t>
      </w:r>
      <w:r w:rsidR="006F6553">
        <w:rPr>
          <w:rFonts w:eastAsia="Times New Roman" w:cstheme="minorHAnsi"/>
          <w:color w:val="333333"/>
          <w:shd w:val="clear" w:color="auto" w:fill="FFFFFF"/>
          <w:lang w:eastAsia="en-CA"/>
        </w:rPr>
        <w:t xml:space="preserve">igure </w:t>
      </w:r>
      <w:r w:rsidR="00802DA4">
        <w:rPr>
          <w:rFonts w:eastAsia="Times New Roman" w:cstheme="minorHAnsi"/>
          <w:color w:val="333333"/>
          <w:shd w:val="clear" w:color="auto" w:fill="FFFFFF"/>
          <w:lang w:eastAsia="en-CA"/>
        </w:rPr>
        <w:t>21</w:t>
      </w:r>
      <w:r w:rsidR="00EF050D">
        <w:rPr>
          <w:rFonts w:eastAsia="Times New Roman" w:cstheme="minorHAnsi"/>
          <w:color w:val="333333"/>
          <w:shd w:val="clear" w:color="auto" w:fill="FFFFFF"/>
          <w:lang w:eastAsia="en-CA"/>
        </w:rPr>
        <w:t xml:space="preserve">). </w:t>
      </w:r>
      <w:r w:rsidR="00CA4676">
        <w:rPr>
          <w:rFonts w:eastAsia="Times New Roman" w:cstheme="minorHAnsi"/>
          <w:color w:val="333333"/>
          <w:shd w:val="clear" w:color="auto" w:fill="FFFFFF"/>
          <w:lang w:eastAsia="en-CA"/>
        </w:rPr>
        <w:t xml:space="preserve">While limited data precluded the analysis of bylaws offences in certain courts, and by minority status, the most </w:t>
      </w:r>
      <w:r w:rsidR="001E0A3C">
        <w:rPr>
          <w:rFonts w:eastAsia="Times New Roman" w:cstheme="minorHAnsi"/>
          <w:color w:val="333333"/>
          <w:shd w:val="clear" w:color="auto" w:fill="FFFFFF"/>
          <w:lang w:eastAsia="en-CA"/>
        </w:rPr>
        <w:t xml:space="preserve">contributory </w:t>
      </w:r>
      <w:r w:rsidR="00CA4676">
        <w:rPr>
          <w:rFonts w:eastAsia="Times New Roman" w:cstheme="minorHAnsi"/>
          <w:color w:val="333333"/>
          <w:shd w:val="clear" w:color="auto" w:fill="FFFFFF"/>
          <w:lang w:eastAsia="en-CA"/>
        </w:rPr>
        <w:t xml:space="preserve">bylaw offence types in </w:t>
      </w:r>
      <w:r w:rsidR="008D12A5">
        <w:rPr>
          <w:rFonts w:eastAsia="Times New Roman" w:cstheme="minorHAnsi"/>
          <w:color w:val="333333"/>
          <w:shd w:val="clear" w:color="auto" w:fill="FFFFFF"/>
          <w:lang w:eastAsia="en-CA"/>
        </w:rPr>
        <w:t>Calgary’s Adult Court</w:t>
      </w:r>
      <w:r w:rsidR="00CA4676">
        <w:rPr>
          <w:rFonts w:eastAsia="Times New Roman" w:cstheme="minorHAnsi"/>
          <w:color w:val="333333"/>
          <w:shd w:val="clear" w:color="auto" w:fill="FFFFFF"/>
          <w:lang w:eastAsia="en-CA"/>
        </w:rPr>
        <w:t xml:space="preserve"> were</w:t>
      </w:r>
      <w:r w:rsidR="001E0A3C">
        <w:rPr>
          <w:rFonts w:eastAsia="Times New Roman" w:cstheme="minorHAnsi"/>
          <w:color w:val="333333"/>
          <w:shd w:val="clear" w:color="auto" w:fill="FFFFFF"/>
          <w:lang w:eastAsia="en-CA"/>
        </w:rPr>
        <w:t xml:space="preserve"> </w:t>
      </w:r>
      <w:r w:rsidR="001E0A3C" w:rsidRPr="00331742">
        <w:rPr>
          <w:rFonts w:eastAsia="Times New Roman" w:cstheme="minorHAnsi"/>
          <w:color w:val="333333"/>
          <w:shd w:val="clear" w:color="auto" w:fill="FFFFFF"/>
          <w:lang w:eastAsia="en-CA"/>
        </w:rPr>
        <w:t>"</w:t>
      </w:r>
      <w:r w:rsidR="001E0A3C">
        <w:rPr>
          <w:rFonts w:eastAsia="Times New Roman" w:cstheme="minorHAnsi"/>
          <w:color w:val="333333"/>
          <w:shd w:val="clear" w:color="auto" w:fill="FFFFFF"/>
          <w:lang w:eastAsia="en-CA"/>
        </w:rPr>
        <w:t>other bylaw offences</w:t>
      </w:r>
      <w:r w:rsidR="001E0A3C" w:rsidRPr="00331742">
        <w:rPr>
          <w:rFonts w:eastAsia="Times New Roman" w:cstheme="minorHAnsi"/>
          <w:color w:val="333333"/>
          <w:shd w:val="clear" w:color="auto" w:fill="FFFFFF"/>
          <w:lang w:eastAsia="en-CA"/>
        </w:rPr>
        <w:t>"</w:t>
      </w:r>
      <w:r w:rsidR="001E0A3C">
        <w:rPr>
          <w:rFonts w:eastAsia="Times New Roman" w:cstheme="minorHAnsi"/>
          <w:color w:val="333333"/>
          <w:shd w:val="clear" w:color="auto" w:fill="FFFFFF"/>
          <w:lang w:eastAsia="en-CA"/>
        </w:rPr>
        <w:t xml:space="preserve">, </w:t>
      </w:r>
      <w:bookmarkStart w:id="67" w:name="_Hlk16071407"/>
      <w:r w:rsidR="001E0A3C" w:rsidRPr="00331742">
        <w:rPr>
          <w:rFonts w:eastAsia="Times New Roman" w:cstheme="minorHAnsi"/>
          <w:color w:val="333333"/>
          <w:shd w:val="clear" w:color="auto" w:fill="FFFFFF"/>
          <w:lang w:eastAsia="en-CA"/>
        </w:rPr>
        <w:t>"</w:t>
      </w:r>
      <w:bookmarkEnd w:id="67"/>
      <w:r w:rsidR="001E0A3C">
        <w:rPr>
          <w:rFonts w:eastAsia="Times New Roman" w:cstheme="minorHAnsi"/>
          <w:color w:val="333333"/>
          <w:shd w:val="clear" w:color="auto" w:fill="FFFFFF"/>
          <w:lang w:eastAsia="en-CA"/>
        </w:rPr>
        <w:t xml:space="preserve">Calgary </w:t>
      </w:r>
      <w:r w:rsidR="00620910">
        <w:rPr>
          <w:rFonts w:eastAsia="Times New Roman" w:cstheme="minorHAnsi"/>
          <w:color w:val="333333"/>
          <w:shd w:val="clear" w:color="auto" w:fill="FFFFFF"/>
          <w:lang w:eastAsia="en-CA"/>
        </w:rPr>
        <w:t>traffic offences</w:t>
      </w:r>
      <w:r w:rsidR="001E0A3C" w:rsidRPr="00331742">
        <w:rPr>
          <w:rFonts w:eastAsia="Times New Roman" w:cstheme="minorHAnsi"/>
          <w:color w:val="333333"/>
          <w:shd w:val="clear" w:color="auto" w:fill="FFFFFF"/>
          <w:lang w:eastAsia="en-CA"/>
        </w:rPr>
        <w:t>"</w:t>
      </w:r>
      <w:r w:rsidR="001E0A3C">
        <w:rPr>
          <w:rFonts w:eastAsia="Times New Roman" w:cstheme="minorHAnsi"/>
          <w:color w:val="333333"/>
          <w:shd w:val="clear" w:color="auto" w:fill="FFFFFF"/>
          <w:lang w:eastAsia="en-CA"/>
        </w:rPr>
        <w:t xml:space="preserve">, and </w:t>
      </w:r>
      <w:r w:rsidR="001E0A3C" w:rsidRPr="00331742">
        <w:rPr>
          <w:rFonts w:eastAsia="Times New Roman" w:cstheme="minorHAnsi"/>
          <w:color w:val="333333"/>
          <w:shd w:val="clear" w:color="auto" w:fill="FFFFFF"/>
          <w:lang w:eastAsia="en-CA"/>
        </w:rPr>
        <w:t>"</w:t>
      </w:r>
      <w:r w:rsidR="00CA4676">
        <w:rPr>
          <w:rFonts w:eastAsia="Times New Roman" w:cstheme="minorHAnsi"/>
          <w:color w:val="333333"/>
          <w:shd w:val="clear" w:color="auto" w:fill="FFFFFF"/>
          <w:lang w:eastAsia="en-CA"/>
        </w:rPr>
        <w:t>disturbing the peace</w:t>
      </w:r>
      <w:r w:rsidR="00CA4676" w:rsidRPr="00331742">
        <w:rPr>
          <w:rFonts w:eastAsia="Times New Roman" w:cstheme="minorHAnsi"/>
          <w:color w:val="333333"/>
          <w:shd w:val="clear" w:color="auto" w:fill="FFFFFF"/>
          <w:lang w:eastAsia="en-CA"/>
        </w:rPr>
        <w:t>"</w:t>
      </w:r>
      <w:r w:rsidR="00CA4676">
        <w:rPr>
          <w:rFonts w:eastAsia="Times New Roman" w:cstheme="minorHAnsi"/>
          <w:color w:val="333333"/>
          <w:shd w:val="clear" w:color="auto" w:fill="FFFFFF"/>
          <w:lang w:eastAsia="en-CA"/>
        </w:rPr>
        <w:t>, with frequencies of 35.00%, 30.00%, and 20.00%, respectively (</w:t>
      </w:r>
      <w:r w:rsidR="00802DA4">
        <w:rPr>
          <w:rFonts w:eastAsia="Times New Roman" w:cstheme="minorHAnsi"/>
          <w:color w:val="333333"/>
          <w:shd w:val="clear" w:color="auto" w:fill="FFFFFF"/>
          <w:lang w:eastAsia="en-CA"/>
        </w:rPr>
        <w:t>Figure 13</w:t>
      </w:r>
      <w:r w:rsidR="00CA4676">
        <w:rPr>
          <w:rFonts w:eastAsia="Times New Roman" w:cstheme="minorHAnsi"/>
          <w:color w:val="333333"/>
          <w:shd w:val="clear" w:color="auto" w:fill="FFFFFF"/>
          <w:lang w:eastAsia="en-CA"/>
        </w:rPr>
        <w:t>).</w:t>
      </w:r>
    </w:p>
    <w:p w14:paraId="582B284E" w14:textId="4A480179" w:rsidR="005C3064" w:rsidRDefault="007952BD" w:rsidP="005C3064">
      <w:pPr>
        <w:pStyle w:val="Heading3"/>
      </w:pPr>
      <w:bookmarkStart w:id="68" w:name="_Toc16262378"/>
      <w:r>
        <w:t>Traffic courts</w:t>
      </w:r>
      <w:bookmarkEnd w:id="68"/>
      <w:r>
        <w:t xml:space="preserve"> </w:t>
      </w:r>
    </w:p>
    <w:p w14:paraId="1ED47BB6" w14:textId="589AC0CB" w:rsidR="005C3064" w:rsidRDefault="005C3064" w:rsidP="005C3064"/>
    <w:p w14:paraId="207C2BFD" w14:textId="5CFF828A" w:rsidR="006E5620" w:rsidRPr="00F010AC" w:rsidRDefault="006E5620" w:rsidP="006E5620">
      <w:r>
        <w:t xml:space="preserve">It was observed that the majority – 89.00% and 90.00% - of attendees at Calgary’s and </w:t>
      </w:r>
      <w:r w:rsidR="00436517">
        <w:t xml:space="preserve">the </w:t>
      </w:r>
      <w:r w:rsidR="007952BD">
        <w:t>South</w:t>
      </w:r>
      <w:r>
        <w:t xml:space="preserve"> </w:t>
      </w:r>
      <w:r w:rsidR="007952BD">
        <w:t>Traffic Court</w:t>
      </w:r>
      <w:r w:rsidR="00436517">
        <w:t>s</w:t>
      </w:r>
      <w:r>
        <w:t xml:space="preserve"> had only one type of charge (</w:t>
      </w:r>
      <w:r w:rsidR="00CE4A5E">
        <w:t>Figures 61 and 74</w:t>
      </w:r>
      <w:r>
        <w:t xml:space="preserve">); in </w:t>
      </w:r>
      <w:r w:rsidR="00436517">
        <w:t>these</w:t>
      </w:r>
      <w:r>
        <w:t xml:space="preserve"> courts, attendees overwhelmingly were presenting to court with single charges (</w:t>
      </w:r>
      <w:r w:rsidR="00CE4A5E">
        <w:t>Figure 62</w:t>
      </w:r>
      <w:r>
        <w:t xml:space="preserve">). </w:t>
      </w:r>
      <w:r w:rsidRPr="00331742">
        <w:rPr>
          <w:rFonts w:eastAsia="Times New Roman" w:cstheme="minorHAnsi"/>
          <w:color w:val="333333"/>
          <w:shd w:val="clear" w:color="auto" w:fill="FFFFFF"/>
          <w:lang w:eastAsia="en-CA"/>
        </w:rPr>
        <w:t>"</w:t>
      </w:r>
      <w:r>
        <w:rPr>
          <w:rFonts w:eastAsia="Times New Roman" w:cstheme="minorHAnsi"/>
          <w:color w:val="333333"/>
          <w:shd w:val="clear" w:color="auto" w:fill="FFFFFF"/>
          <w:lang w:eastAsia="en-CA"/>
        </w:rPr>
        <w:t>Speeding</w:t>
      </w:r>
      <w:r w:rsidRPr="00331742">
        <w:rPr>
          <w:rFonts w:eastAsia="Times New Roman" w:cstheme="minorHAnsi"/>
          <w:color w:val="333333"/>
          <w:shd w:val="clear" w:color="auto" w:fill="FFFFFF"/>
          <w:lang w:eastAsia="en-CA"/>
        </w:rPr>
        <w:t>"</w:t>
      </w:r>
      <w:r>
        <w:rPr>
          <w:rFonts w:eastAsia="Times New Roman" w:cstheme="minorHAnsi"/>
          <w:color w:val="333333"/>
          <w:shd w:val="clear" w:color="auto" w:fill="FFFFFF"/>
          <w:lang w:eastAsia="en-CA"/>
        </w:rPr>
        <w:t xml:space="preserve"> represented the most common </w:t>
      </w:r>
      <w:r w:rsidR="00620910">
        <w:rPr>
          <w:rFonts w:eastAsia="Times New Roman" w:cstheme="minorHAnsi"/>
          <w:color w:val="333333"/>
          <w:shd w:val="clear" w:color="auto" w:fill="FFFFFF"/>
          <w:lang w:eastAsia="en-CA"/>
        </w:rPr>
        <w:t>traffic offence</w:t>
      </w:r>
      <w:r>
        <w:rPr>
          <w:rFonts w:eastAsia="Times New Roman" w:cstheme="minorHAnsi"/>
          <w:color w:val="333333"/>
          <w:shd w:val="clear" w:color="auto" w:fill="FFFFFF"/>
          <w:lang w:eastAsia="en-CA"/>
        </w:rPr>
        <w:t xml:space="preserve"> in both courts, making up 53.00% and 44.88% of the total offences in Calgary and </w:t>
      </w:r>
      <w:r w:rsidR="00436517">
        <w:rPr>
          <w:rFonts w:eastAsia="Times New Roman" w:cstheme="minorHAnsi"/>
          <w:color w:val="333333"/>
          <w:shd w:val="clear" w:color="auto" w:fill="FFFFFF"/>
          <w:lang w:eastAsia="en-CA"/>
        </w:rPr>
        <w:t xml:space="preserve">the </w:t>
      </w:r>
      <w:r w:rsidR="007952BD">
        <w:rPr>
          <w:rFonts w:eastAsia="Times New Roman" w:cstheme="minorHAnsi"/>
          <w:color w:val="333333"/>
          <w:shd w:val="clear" w:color="auto" w:fill="FFFFFF"/>
          <w:lang w:eastAsia="en-CA"/>
        </w:rPr>
        <w:t>South</w:t>
      </w:r>
      <w:r>
        <w:rPr>
          <w:rFonts w:eastAsia="Times New Roman" w:cstheme="minorHAnsi"/>
          <w:color w:val="333333"/>
          <w:shd w:val="clear" w:color="auto" w:fill="FFFFFF"/>
          <w:lang w:eastAsia="en-CA"/>
        </w:rPr>
        <w:t xml:space="preserve"> </w:t>
      </w:r>
      <w:r w:rsidR="007952BD">
        <w:rPr>
          <w:rFonts w:eastAsia="Times New Roman" w:cstheme="minorHAnsi"/>
          <w:color w:val="333333"/>
          <w:shd w:val="clear" w:color="auto" w:fill="FFFFFF"/>
          <w:lang w:eastAsia="en-CA"/>
        </w:rPr>
        <w:t>Traffic Court</w:t>
      </w:r>
      <w:r w:rsidR="00436517">
        <w:rPr>
          <w:rFonts w:eastAsia="Times New Roman" w:cstheme="minorHAnsi"/>
          <w:color w:val="333333"/>
          <w:shd w:val="clear" w:color="auto" w:fill="FFFFFF"/>
          <w:lang w:eastAsia="en-CA"/>
        </w:rPr>
        <w:t>s</w:t>
      </w:r>
      <w:r>
        <w:rPr>
          <w:rFonts w:eastAsia="Times New Roman" w:cstheme="minorHAnsi"/>
          <w:color w:val="333333"/>
          <w:shd w:val="clear" w:color="auto" w:fill="FFFFFF"/>
          <w:lang w:eastAsia="en-CA"/>
        </w:rPr>
        <w:t>, respectively (</w:t>
      </w:r>
      <w:r w:rsidR="00CE4A5E">
        <w:rPr>
          <w:rFonts w:eastAsia="Times New Roman" w:cstheme="minorHAnsi"/>
          <w:color w:val="333333"/>
          <w:shd w:val="clear" w:color="auto" w:fill="FFFFFF"/>
          <w:lang w:eastAsia="en-CA"/>
        </w:rPr>
        <w:t>Figures 63 and 75</w:t>
      </w:r>
      <w:r>
        <w:rPr>
          <w:rFonts w:eastAsia="Times New Roman" w:cstheme="minorHAnsi"/>
          <w:color w:val="333333"/>
          <w:shd w:val="clear" w:color="auto" w:fill="FFFFFF"/>
          <w:lang w:eastAsia="en-CA"/>
        </w:rPr>
        <w:t xml:space="preserve">). Within Calgary’s </w:t>
      </w:r>
      <w:r w:rsidR="007952BD">
        <w:rPr>
          <w:rFonts w:eastAsia="Times New Roman" w:cstheme="minorHAnsi"/>
          <w:color w:val="333333"/>
          <w:shd w:val="clear" w:color="auto" w:fill="FFFFFF"/>
          <w:lang w:eastAsia="en-CA"/>
        </w:rPr>
        <w:t>Traffic Court</w:t>
      </w:r>
      <w:r>
        <w:rPr>
          <w:rFonts w:eastAsia="Times New Roman" w:cstheme="minorHAnsi"/>
          <w:color w:val="333333"/>
          <w:shd w:val="clear" w:color="auto" w:fill="FFFFFF"/>
          <w:lang w:eastAsia="en-CA"/>
        </w:rPr>
        <w:t>, it was noted that Indigenous attendees had</w:t>
      </w:r>
      <w:r w:rsidR="00CE4A5E">
        <w:rPr>
          <w:rFonts w:eastAsia="Times New Roman" w:cstheme="minorHAnsi"/>
          <w:color w:val="333333"/>
          <w:shd w:val="clear" w:color="auto" w:fill="FFFFFF"/>
          <w:lang w:eastAsia="en-CA"/>
        </w:rPr>
        <w:t xml:space="preserve"> </w:t>
      </w:r>
      <w:r>
        <w:rPr>
          <w:rFonts w:eastAsia="Times New Roman" w:cstheme="minorHAnsi"/>
          <w:color w:val="333333"/>
          <w:shd w:val="clear" w:color="auto" w:fill="FFFFFF"/>
          <w:lang w:eastAsia="en-CA"/>
        </w:rPr>
        <w:t>1.54X (X</w:t>
      </w:r>
      <w:r w:rsidRPr="006E5620">
        <w:rPr>
          <w:rFonts w:eastAsia="Times New Roman" w:cstheme="minorHAnsi"/>
          <w:color w:val="333333"/>
          <w:shd w:val="clear" w:color="auto" w:fill="FFFFFF"/>
          <w:vertAlign w:val="superscript"/>
          <w:lang w:eastAsia="en-CA"/>
        </w:rPr>
        <w:t>2</w:t>
      </w:r>
      <w:r>
        <w:rPr>
          <w:rFonts w:eastAsia="Times New Roman" w:cstheme="minorHAnsi"/>
          <w:color w:val="333333"/>
          <w:shd w:val="clear" w:color="auto" w:fill="FFFFFF"/>
          <w:lang w:eastAsia="en-CA"/>
        </w:rPr>
        <w:t xml:space="preserve"> = 8.63, </w:t>
      </w:r>
      <w:r w:rsidR="006D5E4C">
        <w:rPr>
          <w:rFonts w:eastAsia="Times New Roman" w:cstheme="minorHAnsi"/>
          <w:color w:val="333333"/>
          <w:shd w:val="clear" w:color="auto" w:fill="FFFFFF"/>
          <w:lang w:eastAsia="en-CA"/>
        </w:rPr>
        <w:t>p</w:t>
      </w:r>
      <w:r>
        <w:rPr>
          <w:rFonts w:eastAsia="Times New Roman" w:cstheme="minorHAnsi"/>
          <w:color w:val="333333"/>
          <w:shd w:val="clear" w:color="auto" w:fill="FFFFFF"/>
          <w:lang w:eastAsia="en-CA"/>
        </w:rPr>
        <w:t>&lt;0.01), 1.95X (X</w:t>
      </w:r>
      <w:r w:rsidRPr="006E5620">
        <w:rPr>
          <w:rFonts w:eastAsia="Times New Roman" w:cstheme="minorHAnsi"/>
          <w:color w:val="333333"/>
          <w:shd w:val="clear" w:color="auto" w:fill="FFFFFF"/>
          <w:vertAlign w:val="superscript"/>
          <w:lang w:eastAsia="en-CA"/>
        </w:rPr>
        <w:t>2</w:t>
      </w:r>
      <w:r>
        <w:rPr>
          <w:rFonts w:eastAsia="Times New Roman" w:cstheme="minorHAnsi"/>
          <w:color w:val="333333"/>
          <w:shd w:val="clear" w:color="auto" w:fill="FFFFFF"/>
          <w:lang w:eastAsia="en-CA"/>
        </w:rPr>
        <w:t xml:space="preserve"> = </w:t>
      </w:r>
      <w:r w:rsidR="006D5E4C">
        <w:rPr>
          <w:rFonts w:eastAsia="Times New Roman" w:cstheme="minorHAnsi"/>
          <w:color w:val="333333"/>
          <w:shd w:val="clear" w:color="auto" w:fill="FFFFFF"/>
          <w:lang w:eastAsia="en-CA"/>
        </w:rPr>
        <w:t>5.10, p&lt;0.02), and 1.90X (X</w:t>
      </w:r>
      <w:r w:rsidR="006D5E4C" w:rsidRPr="006E5620">
        <w:rPr>
          <w:rFonts w:eastAsia="Times New Roman" w:cstheme="minorHAnsi"/>
          <w:color w:val="333333"/>
          <w:shd w:val="clear" w:color="auto" w:fill="FFFFFF"/>
          <w:vertAlign w:val="superscript"/>
          <w:lang w:eastAsia="en-CA"/>
        </w:rPr>
        <w:t>2</w:t>
      </w:r>
      <w:r w:rsidR="006D5E4C">
        <w:rPr>
          <w:rFonts w:eastAsia="Times New Roman" w:cstheme="minorHAnsi"/>
          <w:color w:val="333333"/>
          <w:shd w:val="clear" w:color="auto" w:fill="FFFFFF"/>
          <w:lang w:eastAsia="en-CA"/>
        </w:rPr>
        <w:t xml:space="preserve"> = 22.92, p&lt;0.01) the odds </w:t>
      </w:r>
      <w:r w:rsidR="00CE4A5E">
        <w:rPr>
          <w:rFonts w:eastAsia="Times New Roman" w:cstheme="minorHAnsi"/>
          <w:color w:val="333333"/>
          <w:shd w:val="clear" w:color="auto" w:fill="FFFFFF"/>
          <w:lang w:eastAsia="en-CA"/>
        </w:rPr>
        <w:t xml:space="preserve">of </w:t>
      </w:r>
      <w:r w:rsidR="006D5E4C">
        <w:rPr>
          <w:rFonts w:eastAsia="Times New Roman" w:cstheme="minorHAnsi"/>
          <w:color w:val="333333"/>
          <w:shd w:val="clear" w:color="auto" w:fill="FFFFFF"/>
          <w:lang w:eastAsia="en-CA"/>
        </w:rPr>
        <w:t xml:space="preserve">having a </w:t>
      </w:r>
      <w:r w:rsidR="006D5E4C">
        <w:rPr>
          <w:color w:val="333333"/>
          <w:shd w:val="clear" w:color="auto" w:fill="FFFFFF"/>
        </w:rPr>
        <w:t xml:space="preserve">"driving through a stop light", "careless driving", or "other </w:t>
      </w:r>
      <w:r w:rsidR="00436517">
        <w:rPr>
          <w:color w:val="333333"/>
          <w:shd w:val="clear" w:color="auto" w:fill="FFFFFF"/>
        </w:rPr>
        <w:t>t</w:t>
      </w:r>
      <w:r w:rsidR="007952BD">
        <w:rPr>
          <w:color w:val="333333"/>
          <w:shd w:val="clear" w:color="auto" w:fill="FFFFFF"/>
        </w:rPr>
        <w:t>raffic</w:t>
      </w:r>
      <w:r w:rsidR="006D5E4C">
        <w:rPr>
          <w:color w:val="333333"/>
          <w:shd w:val="clear" w:color="auto" w:fill="FFFFFF"/>
        </w:rPr>
        <w:t>" offence type</w:t>
      </w:r>
      <w:r w:rsidR="00CE4A5E">
        <w:rPr>
          <w:color w:val="333333"/>
          <w:shd w:val="clear" w:color="auto" w:fill="FFFFFF"/>
        </w:rPr>
        <w:t>, than attendees without minority status</w:t>
      </w:r>
      <w:r w:rsidR="006D5E4C">
        <w:rPr>
          <w:color w:val="333333"/>
          <w:shd w:val="clear" w:color="auto" w:fill="FFFFFF"/>
        </w:rPr>
        <w:t xml:space="preserve"> (F</w:t>
      </w:r>
      <w:r w:rsidR="00CE4A5E">
        <w:rPr>
          <w:color w:val="333333"/>
          <w:shd w:val="clear" w:color="auto" w:fill="FFFFFF"/>
        </w:rPr>
        <w:t>igures 64 and 65; Table 25</w:t>
      </w:r>
      <w:r w:rsidR="006D5E4C">
        <w:rPr>
          <w:color w:val="333333"/>
          <w:shd w:val="clear" w:color="auto" w:fill="FFFFFF"/>
        </w:rPr>
        <w:t xml:space="preserve">). </w:t>
      </w:r>
      <w:r w:rsidR="007C3E74">
        <w:rPr>
          <w:color w:val="333333"/>
          <w:shd w:val="clear" w:color="auto" w:fill="FFFFFF"/>
        </w:rPr>
        <w:t>In contrast, attendees with newcomer status had lower odds - 0.88X (</w:t>
      </w:r>
      <w:r w:rsidR="007C3E74">
        <w:rPr>
          <w:rFonts w:eastAsia="Times New Roman" w:cstheme="minorHAnsi"/>
          <w:color w:val="333333"/>
          <w:shd w:val="clear" w:color="auto" w:fill="FFFFFF"/>
          <w:lang w:eastAsia="en-CA"/>
        </w:rPr>
        <w:t>X</w:t>
      </w:r>
      <w:r w:rsidR="007C3E74" w:rsidRPr="006E5620">
        <w:rPr>
          <w:rFonts w:eastAsia="Times New Roman" w:cstheme="minorHAnsi"/>
          <w:color w:val="333333"/>
          <w:shd w:val="clear" w:color="auto" w:fill="FFFFFF"/>
          <w:vertAlign w:val="superscript"/>
          <w:lang w:eastAsia="en-CA"/>
        </w:rPr>
        <w:t>2</w:t>
      </w:r>
      <w:r w:rsidR="007C3E74">
        <w:rPr>
          <w:rFonts w:eastAsia="Times New Roman" w:cstheme="minorHAnsi"/>
          <w:color w:val="333333"/>
          <w:shd w:val="clear" w:color="auto" w:fill="FFFFFF"/>
          <w:lang w:eastAsia="en-CA"/>
        </w:rPr>
        <w:t xml:space="preserve"> = 32.51, p&lt;0.01) and 0.95X </w:t>
      </w:r>
      <w:r w:rsidR="007C3E74">
        <w:rPr>
          <w:color w:val="333333"/>
          <w:shd w:val="clear" w:color="auto" w:fill="FFFFFF"/>
        </w:rPr>
        <w:t>(</w:t>
      </w:r>
      <w:r w:rsidR="007C3E74">
        <w:rPr>
          <w:rFonts w:eastAsia="Times New Roman" w:cstheme="minorHAnsi"/>
          <w:color w:val="333333"/>
          <w:shd w:val="clear" w:color="auto" w:fill="FFFFFF"/>
          <w:lang w:eastAsia="en-CA"/>
        </w:rPr>
        <w:t>X</w:t>
      </w:r>
      <w:r w:rsidR="007C3E74" w:rsidRPr="006E5620">
        <w:rPr>
          <w:rFonts w:eastAsia="Times New Roman" w:cstheme="minorHAnsi"/>
          <w:color w:val="333333"/>
          <w:shd w:val="clear" w:color="auto" w:fill="FFFFFF"/>
          <w:vertAlign w:val="superscript"/>
          <w:lang w:eastAsia="en-CA"/>
        </w:rPr>
        <w:t>2</w:t>
      </w:r>
      <w:r w:rsidR="007C3E74">
        <w:rPr>
          <w:rFonts w:eastAsia="Times New Roman" w:cstheme="minorHAnsi"/>
          <w:color w:val="333333"/>
          <w:shd w:val="clear" w:color="auto" w:fill="FFFFFF"/>
          <w:lang w:eastAsia="en-CA"/>
        </w:rPr>
        <w:t xml:space="preserve"> = 216.87, p&lt;0.01) the odds </w:t>
      </w:r>
      <w:r w:rsidR="00436517">
        <w:rPr>
          <w:rFonts w:eastAsia="Times New Roman" w:cstheme="minorHAnsi"/>
          <w:color w:val="333333"/>
          <w:shd w:val="clear" w:color="auto" w:fill="FFFFFF"/>
          <w:lang w:eastAsia="en-CA"/>
        </w:rPr>
        <w:t xml:space="preserve">- </w:t>
      </w:r>
      <w:r w:rsidR="007C3E74">
        <w:rPr>
          <w:rFonts w:eastAsia="Times New Roman" w:cstheme="minorHAnsi"/>
          <w:color w:val="333333"/>
          <w:shd w:val="clear" w:color="auto" w:fill="FFFFFF"/>
          <w:lang w:eastAsia="en-CA"/>
        </w:rPr>
        <w:t xml:space="preserve">of having a </w:t>
      </w:r>
      <w:r w:rsidR="007C3E74">
        <w:rPr>
          <w:color w:val="333333"/>
          <w:shd w:val="clear" w:color="auto" w:fill="FFFFFF"/>
        </w:rPr>
        <w:t>"careless driving" or a "</w:t>
      </w:r>
      <w:r w:rsidR="000F3D20">
        <w:rPr>
          <w:color w:val="333333"/>
          <w:shd w:val="clear" w:color="auto" w:fill="FFFFFF"/>
        </w:rPr>
        <w:t>failure to provide a licence or registration</w:t>
      </w:r>
      <w:r w:rsidR="007C3E74">
        <w:rPr>
          <w:color w:val="333333"/>
          <w:shd w:val="clear" w:color="auto" w:fill="FFFFFF"/>
        </w:rPr>
        <w:t>" charge</w:t>
      </w:r>
      <w:r w:rsidR="00CE4A5E">
        <w:rPr>
          <w:color w:val="333333"/>
          <w:shd w:val="clear" w:color="auto" w:fill="FFFFFF"/>
        </w:rPr>
        <w:t xml:space="preserve"> than attendees without minority status</w:t>
      </w:r>
      <w:r w:rsidR="000F3D20">
        <w:rPr>
          <w:color w:val="333333"/>
          <w:shd w:val="clear" w:color="auto" w:fill="FFFFFF"/>
        </w:rPr>
        <w:t>, respectively (</w:t>
      </w:r>
      <w:r w:rsidR="00CE4A5E">
        <w:rPr>
          <w:color w:val="333333"/>
          <w:shd w:val="clear" w:color="auto" w:fill="FFFFFF"/>
        </w:rPr>
        <w:t>Figures 64 and 66; Table 25</w:t>
      </w:r>
      <w:r w:rsidR="000F3D20">
        <w:rPr>
          <w:color w:val="333333"/>
          <w:shd w:val="clear" w:color="auto" w:fill="FFFFFF"/>
        </w:rPr>
        <w:t>). However, it was noted that newcomer attendees had greater odds – 1.36X (</w:t>
      </w:r>
      <w:r w:rsidR="000F3D20">
        <w:rPr>
          <w:rFonts w:eastAsia="Times New Roman" w:cstheme="minorHAnsi"/>
          <w:color w:val="333333"/>
          <w:shd w:val="clear" w:color="auto" w:fill="FFFFFF"/>
          <w:lang w:eastAsia="en-CA"/>
        </w:rPr>
        <w:t>X</w:t>
      </w:r>
      <w:r w:rsidR="000F3D20" w:rsidRPr="006E5620">
        <w:rPr>
          <w:rFonts w:eastAsia="Times New Roman" w:cstheme="minorHAnsi"/>
          <w:color w:val="333333"/>
          <w:shd w:val="clear" w:color="auto" w:fill="FFFFFF"/>
          <w:vertAlign w:val="superscript"/>
          <w:lang w:eastAsia="en-CA"/>
        </w:rPr>
        <w:t>2</w:t>
      </w:r>
      <w:r w:rsidR="000F3D20">
        <w:rPr>
          <w:rFonts w:eastAsia="Times New Roman" w:cstheme="minorHAnsi"/>
          <w:color w:val="333333"/>
          <w:shd w:val="clear" w:color="auto" w:fill="FFFFFF"/>
          <w:lang w:eastAsia="en-CA"/>
        </w:rPr>
        <w:t xml:space="preserve"> = 13.33, p&lt;0.01), 2.43X </w:t>
      </w:r>
      <w:r w:rsidR="000F3D20">
        <w:rPr>
          <w:color w:val="333333"/>
          <w:shd w:val="clear" w:color="auto" w:fill="FFFFFF"/>
        </w:rPr>
        <w:t>(</w:t>
      </w:r>
      <w:r w:rsidR="000F3D20">
        <w:rPr>
          <w:rFonts w:eastAsia="Times New Roman" w:cstheme="minorHAnsi"/>
          <w:color w:val="333333"/>
          <w:shd w:val="clear" w:color="auto" w:fill="FFFFFF"/>
          <w:lang w:eastAsia="en-CA"/>
        </w:rPr>
        <w:t>X</w:t>
      </w:r>
      <w:r w:rsidR="000F3D20" w:rsidRPr="006E5620">
        <w:rPr>
          <w:rFonts w:eastAsia="Times New Roman" w:cstheme="minorHAnsi"/>
          <w:color w:val="333333"/>
          <w:shd w:val="clear" w:color="auto" w:fill="FFFFFF"/>
          <w:vertAlign w:val="superscript"/>
          <w:lang w:eastAsia="en-CA"/>
        </w:rPr>
        <w:t>2</w:t>
      </w:r>
      <w:r w:rsidR="000F3D20">
        <w:rPr>
          <w:rFonts w:eastAsia="Times New Roman" w:cstheme="minorHAnsi"/>
          <w:color w:val="333333"/>
          <w:shd w:val="clear" w:color="auto" w:fill="FFFFFF"/>
          <w:lang w:eastAsia="en-CA"/>
        </w:rPr>
        <w:t xml:space="preserve"> = 9.39, p&lt;0.01), 1.29 </w:t>
      </w:r>
      <w:r w:rsidR="000F3D20">
        <w:rPr>
          <w:color w:val="333333"/>
          <w:shd w:val="clear" w:color="auto" w:fill="FFFFFF"/>
        </w:rPr>
        <w:t>(</w:t>
      </w:r>
      <w:r w:rsidR="000F3D20">
        <w:rPr>
          <w:rFonts w:eastAsia="Times New Roman" w:cstheme="minorHAnsi"/>
          <w:color w:val="333333"/>
          <w:shd w:val="clear" w:color="auto" w:fill="FFFFFF"/>
          <w:lang w:eastAsia="en-CA"/>
        </w:rPr>
        <w:t>X</w:t>
      </w:r>
      <w:r w:rsidR="000F3D20" w:rsidRPr="006E5620">
        <w:rPr>
          <w:rFonts w:eastAsia="Times New Roman" w:cstheme="minorHAnsi"/>
          <w:color w:val="333333"/>
          <w:shd w:val="clear" w:color="auto" w:fill="FFFFFF"/>
          <w:vertAlign w:val="superscript"/>
          <w:lang w:eastAsia="en-CA"/>
        </w:rPr>
        <w:t>2</w:t>
      </w:r>
      <w:r w:rsidR="000F3D20">
        <w:rPr>
          <w:rFonts w:eastAsia="Times New Roman" w:cstheme="minorHAnsi"/>
          <w:color w:val="333333"/>
          <w:shd w:val="clear" w:color="auto" w:fill="FFFFFF"/>
          <w:lang w:eastAsia="en-CA"/>
        </w:rPr>
        <w:t xml:space="preserve"> = 21.40, p&lt;0.01), 1.95X </w:t>
      </w:r>
      <w:r w:rsidR="000F3D20">
        <w:rPr>
          <w:color w:val="333333"/>
          <w:shd w:val="clear" w:color="auto" w:fill="FFFFFF"/>
        </w:rPr>
        <w:t>(</w:t>
      </w:r>
      <w:r w:rsidR="000F3D20">
        <w:rPr>
          <w:rFonts w:eastAsia="Times New Roman" w:cstheme="minorHAnsi"/>
          <w:color w:val="333333"/>
          <w:shd w:val="clear" w:color="auto" w:fill="FFFFFF"/>
          <w:lang w:eastAsia="en-CA"/>
        </w:rPr>
        <w:t>X</w:t>
      </w:r>
      <w:r w:rsidR="000F3D20" w:rsidRPr="006E5620">
        <w:rPr>
          <w:rFonts w:eastAsia="Times New Roman" w:cstheme="minorHAnsi"/>
          <w:color w:val="333333"/>
          <w:shd w:val="clear" w:color="auto" w:fill="FFFFFF"/>
          <w:vertAlign w:val="superscript"/>
          <w:lang w:eastAsia="en-CA"/>
        </w:rPr>
        <w:t>2</w:t>
      </w:r>
      <w:r w:rsidR="000F3D20">
        <w:rPr>
          <w:rFonts w:eastAsia="Times New Roman" w:cstheme="minorHAnsi"/>
          <w:color w:val="333333"/>
          <w:shd w:val="clear" w:color="auto" w:fill="FFFFFF"/>
          <w:lang w:eastAsia="en-CA"/>
        </w:rPr>
        <w:t xml:space="preserve"> = 16.35, p&lt;0.01), and 1.30X </w:t>
      </w:r>
      <w:r w:rsidR="000F3D20">
        <w:rPr>
          <w:color w:val="333333"/>
          <w:shd w:val="clear" w:color="auto" w:fill="FFFFFF"/>
        </w:rPr>
        <w:t>(</w:t>
      </w:r>
      <w:r w:rsidR="000F3D20">
        <w:rPr>
          <w:rFonts w:eastAsia="Times New Roman" w:cstheme="minorHAnsi"/>
          <w:color w:val="333333"/>
          <w:shd w:val="clear" w:color="auto" w:fill="FFFFFF"/>
          <w:lang w:eastAsia="en-CA"/>
        </w:rPr>
        <w:t>X</w:t>
      </w:r>
      <w:r w:rsidR="000F3D20" w:rsidRPr="006E5620">
        <w:rPr>
          <w:rFonts w:eastAsia="Times New Roman" w:cstheme="minorHAnsi"/>
          <w:color w:val="333333"/>
          <w:shd w:val="clear" w:color="auto" w:fill="FFFFFF"/>
          <w:vertAlign w:val="superscript"/>
          <w:lang w:eastAsia="en-CA"/>
        </w:rPr>
        <w:t>2</w:t>
      </w:r>
      <w:r w:rsidR="000F3D20">
        <w:rPr>
          <w:rFonts w:eastAsia="Times New Roman" w:cstheme="minorHAnsi"/>
          <w:color w:val="333333"/>
          <w:shd w:val="clear" w:color="auto" w:fill="FFFFFF"/>
          <w:lang w:eastAsia="en-CA"/>
        </w:rPr>
        <w:t xml:space="preserve"> = 568.81, p&lt;0.01) the odds </w:t>
      </w:r>
      <w:r w:rsidR="00436517">
        <w:rPr>
          <w:rFonts w:eastAsia="Times New Roman" w:cstheme="minorHAnsi"/>
          <w:color w:val="333333"/>
          <w:shd w:val="clear" w:color="auto" w:fill="FFFFFF"/>
          <w:lang w:eastAsia="en-CA"/>
        </w:rPr>
        <w:t xml:space="preserve">- </w:t>
      </w:r>
      <w:r w:rsidR="00CE4A5E">
        <w:rPr>
          <w:rFonts w:eastAsia="Times New Roman" w:cstheme="minorHAnsi"/>
          <w:color w:val="333333"/>
          <w:shd w:val="clear" w:color="auto" w:fill="FFFFFF"/>
          <w:lang w:eastAsia="en-CA"/>
        </w:rPr>
        <w:t xml:space="preserve">of </w:t>
      </w:r>
      <w:r w:rsidR="000F3D20">
        <w:rPr>
          <w:rFonts w:eastAsia="Times New Roman" w:cstheme="minorHAnsi"/>
          <w:color w:val="333333"/>
          <w:shd w:val="clear" w:color="auto" w:fill="FFFFFF"/>
          <w:lang w:eastAsia="en-CA"/>
        </w:rPr>
        <w:t xml:space="preserve">having </w:t>
      </w:r>
      <w:r w:rsidR="000F3D20">
        <w:rPr>
          <w:color w:val="333333"/>
          <w:shd w:val="clear" w:color="auto" w:fill="FFFFFF"/>
        </w:rPr>
        <w:t xml:space="preserve">"driving through a stoplight", "not wearing a seatbelt", "speeding", "illegal U-turn", or "other </w:t>
      </w:r>
      <w:r w:rsidR="00436517">
        <w:rPr>
          <w:color w:val="333333"/>
          <w:shd w:val="clear" w:color="auto" w:fill="FFFFFF"/>
        </w:rPr>
        <w:t>t</w:t>
      </w:r>
      <w:r w:rsidR="007952BD">
        <w:rPr>
          <w:color w:val="333333"/>
          <w:shd w:val="clear" w:color="auto" w:fill="FFFFFF"/>
        </w:rPr>
        <w:t>raffic</w:t>
      </w:r>
      <w:r w:rsidR="000F3D20">
        <w:rPr>
          <w:color w:val="333333"/>
          <w:shd w:val="clear" w:color="auto" w:fill="FFFFFF"/>
        </w:rPr>
        <w:t>" offence</w:t>
      </w:r>
      <w:r w:rsidR="00CE4A5E">
        <w:rPr>
          <w:color w:val="333333"/>
          <w:shd w:val="clear" w:color="auto" w:fill="FFFFFF"/>
        </w:rPr>
        <w:t>s, than attendees without minority status, respectively</w:t>
      </w:r>
      <w:r w:rsidR="000F3D20">
        <w:rPr>
          <w:color w:val="333333"/>
          <w:shd w:val="clear" w:color="auto" w:fill="FFFFFF"/>
        </w:rPr>
        <w:t xml:space="preserve"> (</w:t>
      </w:r>
      <w:r w:rsidR="00CE4A5E">
        <w:rPr>
          <w:color w:val="333333"/>
          <w:shd w:val="clear" w:color="auto" w:fill="FFFFFF"/>
        </w:rPr>
        <w:t>Figures 64 and 66; Table 25</w:t>
      </w:r>
      <w:r w:rsidR="000F3D20">
        <w:rPr>
          <w:color w:val="333333"/>
          <w:shd w:val="clear" w:color="auto" w:fill="FFFFFF"/>
        </w:rPr>
        <w:t xml:space="preserve">). </w:t>
      </w:r>
      <w:r w:rsidR="00052F85">
        <w:t xml:space="preserve">The cause of these discrepancies is currently unclear, but differing social norms, experience driving, language barriers, and other factors may affect the </w:t>
      </w:r>
      <w:r w:rsidR="00620910">
        <w:t>traffic offence</w:t>
      </w:r>
      <w:r w:rsidR="00052F85">
        <w:t xml:space="preserve"> frequencies highlighted in newcomer attendees. Further analysis of the composition of Calgary’s new immigrant population and licensing statistics might better illuminate potential relationships between offence types and newcomer status. </w:t>
      </w:r>
      <w:r w:rsidR="000F3D20">
        <w:rPr>
          <w:color w:val="333333"/>
          <w:shd w:val="clear" w:color="auto" w:fill="FFFFFF"/>
        </w:rPr>
        <w:t xml:space="preserve">Regrettably, </w:t>
      </w:r>
      <w:r w:rsidR="008F2500">
        <w:rPr>
          <w:color w:val="333333"/>
          <w:shd w:val="clear" w:color="auto" w:fill="FFFFFF"/>
        </w:rPr>
        <w:t xml:space="preserve">as </w:t>
      </w:r>
      <w:r w:rsidR="00167A81">
        <w:rPr>
          <w:color w:val="333333"/>
          <w:shd w:val="clear" w:color="auto" w:fill="FFFFFF"/>
        </w:rPr>
        <w:t xml:space="preserve">the </w:t>
      </w:r>
      <w:r w:rsidR="008F2500">
        <w:rPr>
          <w:color w:val="333333"/>
          <w:shd w:val="clear" w:color="auto" w:fill="FFFFFF"/>
        </w:rPr>
        <w:t>South Traffic Court</w:t>
      </w:r>
      <w:r w:rsidR="00167A81">
        <w:rPr>
          <w:color w:val="333333"/>
          <w:shd w:val="clear" w:color="auto" w:fill="FFFFFF"/>
        </w:rPr>
        <w:t>s</w:t>
      </w:r>
      <w:r w:rsidR="008F2500">
        <w:rPr>
          <w:color w:val="333333"/>
          <w:shd w:val="clear" w:color="auto" w:fill="FFFFFF"/>
        </w:rPr>
        <w:t xml:space="preserve"> only commenced in 2018, the dataset is currently insufficient to </w:t>
      </w:r>
      <w:r w:rsidR="00167A81">
        <w:rPr>
          <w:color w:val="333333"/>
          <w:shd w:val="clear" w:color="auto" w:fill="FFFFFF"/>
        </w:rPr>
        <w:t>permit drawing</w:t>
      </w:r>
      <w:r w:rsidR="008F2500">
        <w:rPr>
          <w:color w:val="333333"/>
          <w:shd w:val="clear" w:color="auto" w:fill="FFFFFF"/>
        </w:rPr>
        <w:t xml:space="preserve"> strong conclusions, for any relationships</w:t>
      </w:r>
      <w:r w:rsidR="000F3D20">
        <w:rPr>
          <w:color w:val="333333"/>
          <w:shd w:val="clear" w:color="auto" w:fill="FFFFFF"/>
        </w:rPr>
        <w:t xml:space="preserve"> </w:t>
      </w:r>
      <w:r w:rsidR="008F2500">
        <w:rPr>
          <w:color w:val="333333"/>
          <w:shd w:val="clear" w:color="auto" w:fill="FFFFFF"/>
        </w:rPr>
        <w:t>between</w:t>
      </w:r>
      <w:r w:rsidR="000F3D20">
        <w:rPr>
          <w:color w:val="333333"/>
          <w:shd w:val="clear" w:color="auto" w:fill="FFFFFF"/>
        </w:rPr>
        <w:t xml:space="preserve"> </w:t>
      </w:r>
      <w:r w:rsidR="00620910">
        <w:rPr>
          <w:color w:val="333333"/>
          <w:shd w:val="clear" w:color="auto" w:fill="FFFFFF"/>
        </w:rPr>
        <w:t>traffic offence</w:t>
      </w:r>
      <w:r w:rsidR="000F3D20">
        <w:rPr>
          <w:color w:val="333333"/>
          <w:shd w:val="clear" w:color="auto" w:fill="FFFFFF"/>
        </w:rPr>
        <w:t xml:space="preserve"> frequency</w:t>
      </w:r>
      <w:r w:rsidR="00CE4A5E">
        <w:rPr>
          <w:color w:val="333333"/>
          <w:shd w:val="clear" w:color="auto" w:fill="FFFFFF"/>
        </w:rPr>
        <w:t xml:space="preserve"> </w:t>
      </w:r>
      <w:r w:rsidR="008F2500">
        <w:rPr>
          <w:color w:val="333333"/>
          <w:shd w:val="clear" w:color="auto" w:fill="FFFFFF"/>
        </w:rPr>
        <w:t>and</w:t>
      </w:r>
      <w:r w:rsidR="00CE4A5E">
        <w:rPr>
          <w:color w:val="333333"/>
          <w:shd w:val="clear" w:color="auto" w:fill="FFFFFF"/>
        </w:rPr>
        <w:t xml:space="preserve"> minority status</w:t>
      </w:r>
      <w:r w:rsidR="008F2500">
        <w:rPr>
          <w:color w:val="333333"/>
          <w:shd w:val="clear" w:color="auto" w:fill="FFFFFF"/>
        </w:rPr>
        <w:t xml:space="preserve">; future data collection </w:t>
      </w:r>
      <w:r w:rsidR="00623080">
        <w:rPr>
          <w:color w:val="333333"/>
          <w:shd w:val="clear" w:color="auto" w:fill="FFFFFF"/>
        </w:rPr>
        <w:t>may help elucidate any existing relationships between these variables</w:t>
      </w:r>
      <w:r w:rsidR="000F3D20">
        <w:rPr>
          <w:color w:val="333333"/>
          <w:shd w:val="clear" w:color="auto" w:fill="FFFFFF"/>
        </w:rPr>
        <w:t>.</w:t>
      </w:r>
    </w:p>
    <w:p w14:paraId="69BE0E8C" w14:textId="67C2E268" w:rsidR="006D3D0A" w:rsidRDefault="004770AC" w:rsidP="006D3D0A">
      <w:pPr>
        <w:pStyle w:val="Heading2"/>
      </w:pPr>
      <w:bookmarkStart w:id="69" w:name="_Toc16262379"/>
      <w:r>
        <w:t>Support</w:t>
      </w:r>
      <w:bookmarkEnd w:id="69"/>
    </w:p>
    <w:p w14:paraId="18DA38FE" w14:textId="77777777" w:rsidR="005A429A" w:rsidRDefault="005A429A" w:rsidP="00C7493B"/>
    <w:p w14:paraId="7CBE7203" w14:textId="26F82618" w:rsidR="00C7493B" w:rsidRDefault="0025678F" w:rsidP="00C7493B">
      <w:r>
        <w:t xml:space="preserve">Across each of the </w:t>
      </w:r>
      <w:r w:rsidR="006D3D0A">
        <w:t>Y</w:t>
      </w:r>
      <w:r w:rsidR="007952BD">
        <w:t xml:space="preserve">outh </w:t>
      </w:r>
      <w:r w:rsidR="006D3D0A">
        <w:t>C</w:t>
      </w:r>
      <w:r w:rsidR="007952BD">
        <w:t>ourts</w:t>
      </w:r>
      <w:r>
        <w:t xml:space="preserve">, youth largely </w:t>
      </w:r>
      <w:r w:rsidR="00163346">
        <w:t>boasted</w:t>
      </w:r>
      <w:r>
        <w:t xml:space="preserve"> supports</w:t>
      </w:r>
      <w:r w:rsidR="00163346">
        <w:t xml:space="preserve"> present in court</w:t>
      </w:r>
      <w:r>
        <w:t xml:space="preserve"> </w:t>
      </w:r>
      <w:r w:rsidR="00163346">
        <w:t>(Figures 38, 45, and 52); this is</w:t>
      </w:r>
      <w:r>
        <w:t xml:space="preserve"> particularly </w:t>
      </w:r>
      <w:r w:rsidR="00163346">
        <w:t>true of the</w:t>
      </w:r>
      <w:r>
        <w:t xml:space="preserve"> </w:t>
      </w:r>
      <w:r w:rsidR="008D12A5">
        <w:t>North Youth Court</w:t>
      </w:r>
      <w:r w:rsidR="006D3D0A">
        <w:t>s</w:t>
      </w:r>
      <w:r w:rsidR="00163346">
        <w:t xml:space="preserve"> (Figure 45)</w:t>
      </w:r>
      <w:r>
        <w:t xml:space="preserve">. </w:t>
      </w:r>
      <w:r w:rsidR="004A44C4">
        <w:t xml:space="preserve">This is not unexpected as per the Youth Criminal Defence Act, all youth are required to have legal representation in court. </w:t>
      </w:r>
      <w:r>
        <w:t xml:space="preserve">Across all </w:t>
      </w:r>
      <w:r w:rsidR="000F1D9B">
        <w:t>Y</w:t>
      </w:r>
      <w:r w:rsidR="007952BD">
        <w:t xml:space="preserve">outh </w:t>
      </w:r>
      <w:r w:rsidR="006D3D0A">
        <w:t>C</w:t>
      </w:r>
      <w:r w:rsidR="007952BD">
        <w:t>ourt</w:t>
      </w:r>
      <w:r w:rsidR="006D3D0A">
        <w:t>s</w:t>
      </w:r>
      <w:r>
        <w:t xml:space="preserve">, </w:t>
      </w:r>
      <w:r w:rsidR="00163346">
        <w:lastRenderedPageBreak/>
        <w:t xml:space="preserve">Indigenous </w:t>
      </w:r>
      <w:r>
        <w:t>attendees</w:t>
      </w:r>
      <w:r w:rsidR="00163346">
        <w:t xml:space="preserve"> </w:t>
      </w:r>
      <w:r>
        <w:t xml:space="preserve">were slightly more likely to have supports – 75.78%, 87.23%, and 81.25% – than attendees without minority status – 70.34%, 82.50%, and 78.6% </w:t>
      </w:r>
      <w:r w:rsidR="00163346">
        <w:t xml:space="preserve">- </w:t>
      </w:r>
      <w:r>
        <w:t>at each court respectively (</w:t>
      </w:r>
      <w:r w:rsidR="00163346">
        <w:t>Figures 38, 45, and 52</w:t>
      </w:r>
      <w:r>
        <w:t xml:space="preserve">). </w:t>
      </w:r>
      <w:r w:rsidR="00D85814">
        <w:t>This is surprising, as a large body of literature suggests a strong</w:t>
      </w:r>
      <w:r w:rsidR="00FE6431">
        <w:t xml:space="preserve">, inverse relationship </w:t>
      </w:r>
      <w:r w:rsidR="00D85814">
        <w:t xml:space="preserve">between family support and </w:t>
      </w:r>
      <w:r w:rsidR="00FE6431">
        <w:t xml:space="preserve">youth </w:t>
      </w:r>
      <w:r w:rsidR="00D85814">
        <w:t xml:space="preserve">involvement </w:t>
      </w:r>
      <w:r w:rsidR="00FE6431">
        <w:t>in</w:t>
      </w:r>
      <w:r w:rsidR="00D85814">
        <w:t xml:space="preserve"> the criminal justice system and recidivism (</w:t>
      </w:r>
      <w:r w:rsidR="004A01B5">
        <w:t>Barry, 2010</w:t>
      </w:r>
      <w:r w:rsidR="00D85814">
        <w:t xml:space="preserve">), and yet Indigenous youth are still disproportionally represented in court. </w:t>
      </w:r>
      <w:r w:rsidR="00FE6431">
        <w:t>The nature of the</w:t>
      </w:r>
      <w:r w:rsidR="00C71190">
        <w:t>se</w:t>
      </w:r>
      <w:r w:rsidR="00FE6431">
        <w:t xml:space="preserve"> supports – for example, personal </w:t>
      </w:r>
      <w:r w:rsidR="00C71190">
        <w:t>vs.</w:t>
      </w:r>
      <w:r w:rsidR="00FE6431">
        <w:t xml:space="preserve"> professional supports – might present an interesting area for future exploration. </w:t>
      </w:r>
      <w:r>
        <w:t xml:space="preserve">While it is challenging to comment on trends in attendees who are newcomers owing to limited data, it was noted that in </w:t>
      </w:r>
      <w:r w:rsidR="008D12A5">
        <w:t>Calgary’s Youth Court</w:t>
      </w:r>
      <w:r>
        <w:t xml:space="preserve"> this group demonstrated the lowest proportion (65.17%) of individuals presenting with support (</w:t>
      </w:r>
      <w:r w:rsidR="00163346">
        <w:t>Figure 38</w:t>
      </w:r>
      <w:r>
        <w:t xml:space="preserve">). </w:t>
      </w:r>
      <w:r w:rsidR="00161825">
        <w:t xml:space="preserve">This </w:t>
      </w:r>
      <w:r w:rsidR="00163346">
        <w:t>may be attributable to barriers to accessing professional support services, amongst other factors, and may warrant further investigation.</w:t>
      </w:r>
      <w:r w:rsidR="00161825">
        <w:t xml:space="preserve"> Statistically, no significant relationship was observed between gender and the presence of supports at any youth court, </w:t>
      </w:r>
      <w:r w:rsidR="00D85814">
        <w:t>despite</w:t>
      </w:r>
      <w:r w:rsidR="00161825">
        <w:t xml:space="preserve"> </w:t>
      </w:r>
      <w:r w:rsidR="008D12A5">
        <w:t>North Youth Court</w:t>
      </w:r>
      <w:r w:rsidR="00161825">
        <w:t xml:space="preserve"> female attendees demonstra</w:t>
      </w:r>
      <w:r w:rsidR="00D85814">
        <w:t xml:space="preserve">ting </w:t>
      </w:r>
      <w:r w:rsidR="00161825">
        <w:t>12.19% more support than their male peers (</w:t>
      </w:r>
      <w:r w:rsidR="00D85814">
        <w:t>Figures 39, 46, and 53</w:t>
      </w:r>
      <w:r w:rsidR="00161825">
        <w:t xml:space="preserve">). </w:t>
      </w:r>
    </w:p>
    <w:p w14:paraId="08E38ACE" w14:textId="369F48A2" w:rsidR="00C7493B" w:rsidRPr="00B13611" w:rsidRDefault="00C7493B" w:rsidP="00B13611">
      <w:pPr>
        <w:pStyle w:val="Heading2"/>
      </w:pPr>
      <w:bookmarkStart w:id="70" w:name="_Toc16262380"/>
      <w:r w:rsidRPr="00B13611">
        <w:t>Appearances</w:t>
      </w:r>
      <w:bookmarkEnd w:id="70"/>
      <w:r w:rsidRPr="00B13611">
        <w:t xml:space="preserve"> </w:t>
      </w:r>
    </w:p>
    <w:p w14:paraId="6E13DDC5" w14:textId="415FBA5A" w:rsidR="00C7493B" w:rsidRDefault="00462E99" w:rsidP="00C7493B">
      <w:r>
        <w:t xml:space="preserve">Across </w:t>
      </w:r>
      <w:r w:rsidR="00B13611">
        <w:t>the</w:t>
      </w:r>
      <w:r>
        <w:t xml:space="preserve"> </w:t>
      </w:r>
      <w:r w:rsidR="001418A3">
        <w:t>A</w:t>
      </w:r>
      <w:r>
        <w:t>dult</w:t>
      </w:r>
      <w:r w:rsidR="00B13611">
        <w:t>,</w:t>
      </w:r>
      <w:r>
        <w:t xml:space="preserve"> </w:t>
      </w:r>
      <w:r w:rsidR="001418A3">
        <w:t>Y</w:t>
      </w:r>
      <w:r>
        <w:t>outh</w:t>
      </w:r>
      <w:r w:rsidR="00B13611">
        <w:t xml:space="preserve">, and </w:t>
      </w:r>
      <w:r w:rsidR="007952BD">
        <w:t>Domestic Court</w:t>
      </w:r>
      <w:r>
        <w:t>s, it was noted that most attendees were present for their first court appearance</w:t>
      </w:r>
      <w:r w:rsidR="005D7BAA">
        <w:t>, with an inverse relationship between increasing appearance number and frequency</w:t>
      </w:r>
      <w:r>
        <w:t xml:space="preserve"> (</w:t>
      </w:r>
      <w:r w:rsidR="00FE7023">
        <w:t>Tables 3, 8, 12, 15, 18, and 21; Figure 82</w:t>
      </w:r>
      <w:r>
        <w:t>)</w:t>
      </w:r>
      <w:r w:rsidR="005D7BAA">
        <w:t xml:space="preserve">. This is particularly true of </w:t>
      </w:r>
      <w:r w:rsidR="008D12A5">
        <w:t>Calgary’s Adult Court</w:t>
      </w:r>
      <w:r w:rsidR="00B13611">
        <w:t xml:space="preserve"> and </w:t>
      </w:r>
      <w:r w:rsidR="007952BD">
        <w:t>Domestic Court</w:t>
      </w:r>
      <w:r w:rsidR="00B13611">
        <w:t xml:space="preserve">, </w:t>
      </w:r>
      <w:r w:rsidR="005D7BAA">
        <w:t>of which 50.86%</w:t>
      </w:r>
      <w:r w:rsidR="00B13611">
        <w:t xml:space="preserve"> and 79.71%</w:t>
      </w:r>
      <w:r w:rsidR="005D7BAA">
        <w:t xml:space="preserve"> of attendees were present for a first appearance</w:t>
      </w:r>
      <w:r w:rsidR="00B13611">
        <w:t>, respectively</w:t>
      </w:r>
      <w:r w:rsidR="005D7BAA">
        <w:t xml:space="preserve"> (</w:t>
      </w:r>
      <w:r w:rsidR="00FE7023">
        <w:t>Table 3; Figure 82</w:t>
      </w:r>
      <w:r w:rsidR="005D7BAA">
        <w:t xml:space="preserve">). </w:t>
      </w:r>
      <w:r w:rsidR="00B13611">
        <w:t xml:space="preserve">In </w:t>
      </w:r>
      <w:r w:rsidR="007952BD">
        <w:t>Domestic Court</w:t>
      </w:r>
      <w:r w:rsidR="00B13611">
        <w:t>, the most common appearance type was for legal advice; this is especially true of the newcomer group, of which 58.38% sought advice (</w:t>
      </w:r>
      <w:r w:rsidR="00FE7023">
        <w:t>Figures 82 and 85</w:t>
      </w:r>
      <w:r w:rsidR="00B13611">
        <w:t xml:space="preserve">). </w:t>
      </w:r>
    </w:p>
    <w:p w14:paraId="41E306EB" w14:textId="5A97A4D3" w:rsidR="00C7493B" w:rsidRDefault="00C7493B" w:rsidP="00C7493B">
      <w:pPr>
        <w:pStyle w:val="Heading2"/>
      </w:pPr>
      <w:bookmarkStart w:id="71" w:name="_Toc16262381"/>
      <w:r>
        <w:t>Legal Representation</w:t>
      </w:r>
      <w:bookmarkEnd w:id="71"/>
    </w:p>
    <w:p w14:paraId="34CE8243" w14:textId="5337C4B8" w:rsidR="00C71190" w:rsidRPr="004B3CBB" w:rsidRDefault="0037301C" w:rsidP="00C7493B">
      <w:r w:rsidRPr="004B3CBB">
        <w:t>Across all courts, it was observed that most attendees did not have legal representation</w:t>
      </w:r>
      <w:r w:rsidR="004733D2" w:rsidRPr="004B3CBB">
        <w:t xml:space="preserve"> (Tables 4, 10, 13, 16, 19, 22, 26, and 29)</w:t>
      </w:r>
      <w:r w:rsidRPr="004B3CBB">
        <w:t xml:space="preserve">; the courts with the lowest rates of legal representation were the Calgary and </w:t>
      </w:r>
      <w:r w:rsidR="007952BD" w:rsidRPr="004B3CBB">
        <w:t>South</w:t>
      </w:r>
      <w:r w:rsidRPr="004B3CBB">
        <w:t xml:space="preserve"> </w:t>
      </w:r>
      <w:r w:rsidR="007952BD" w:rsidRPr="004B3CBB">
        <w:t xml:space="preserve">Traffic courts </w:t>
      </w:r>
      <w:r w:rsidRPr="004B3CBB">
        <w:t>, in which 99.41% and 96.10% of individuals did not have representation, respectively (</w:t>
      </w:r>
      <w:r w:rsidR="004733D2" w:rsidRPr="004B3CBB">
        <w:t>Figures 26 and 29</w:t>
      </w:r>
      <w:r w:rsidRPr="004B3CBB">
        <w:t>). This is not surprising, given that attendees in these courts were most often facing speeding offences</w:t>
      </w:r>
      <w:r w:rsidR="004733D2" w:rsidRPr="004B3CBB">
        <w:t xml:space="preserve"> and less serious charges</w:t>
      </w:r>
      <w:r w:rsidRPr="004B3CBB">
        <w:t>, for which legal representation is</w:t>
      </w:r>
      <w:r w:rsidR="004733D2" w:rsidRPr="004B3CBB">
        <w:t xml:space="preserve"> less n</w:t>
      </w:r>
      <w:r w:rsidRPr="004B3CBB">
        <w:t>ecessary</w:t>
      </w:r>
      <w:r w:rsidR="004733D2" w:rsidRPr="004B3CBB">
        <w:t xml:space="preserve"> (Figures 63 and 75)</w:t>
      </w:r>
      <w:r w:rsidRPr="004B3CBB">
        <w:t xml:space="preserve">. The only court in which most attendees did have legal representation was </w:t>
      </w:r>
      <w:r w:rsidR="008D12A5" w:rsidRPr="004B3CBB">
        <w:t>Calgary’s Youth Court</w:t>
      </w:r>
      <w:r w:rsidRPr="004B3CBB">
        <w:t xml:space="preserve">, with 64.00% </w:t>
      </w:r>
      <w:r w:rsidR="004733D2" w:rsidRPr="004B3CBB">
        <w:t xml:space="preserve">of youth attendees </w:t>
      </w:r>
      <w:r w:rsidRPr="004B3CBB">
        <w:t>having a lawyer (</w:t>
      </w:r>
      <w:r w:rsidR="004733D2" w:rsidRPr="004B3CBB">
        <w:t>Figure 16</w:t>
      </w:r>
      <w:r w:rsidRPr="004B3CBB">
        <w:t xml:space="preserve">). </w:t>
      </w:r>
      <w:r w:rsidR="00EC163C" w:rsidRPr="004B3CBB">
        <w:t xml:space="preserve">The </w:t>
      </w:r>
      <w:r w:rsidR="007952BD" w:rsidRPr="004B3CBB">
        <w:t>North</w:t>
      </w:r>
      <w:r w:rsidR="00EC163C" w:rsidRPr="004B3CBB">
        <w:t xml:space="preserve"> and </w:t>
      </w:r>
      <w:r w:rsidR="008D12A5" w:rsidRPr="004B3CBB">
        <w:t xml:space="preserve">South Youth </w:t>
      </w:r>
      <w:r w:rsidR="007418B0" w:rsidRPr="004B3CBB">
        <w:t>Courts also</w:t>
      </w:r>
      <w:r w:rsidR="00EC163C" w:rsidRPr="004B3CBB">
        <w:t xml:space="preserve"> demonstrated </w:t>
      </w:r>
      <w:r w:rsidR="00DD36FE" w:rsidRPr="004B3CBB">
        <w:t>smaller proportions of attendees without representation – 52.46% and 58.58% respectively – than other courts (F</w:t>
      </w:r>
      <w:r w:rsidR="004733D2" w:rsidRPr="004B3CBB">
        <w:t>igures 19 and 22</w:t>
      </w:r>
      <w:r w:rsidR="00DD36FE" w:rsidRPr="004B3CBB">
        <w:t>).</w:t>
      </w:r>
      <w:r w:rsidR="00C71190" w:rsidRPr="004B3CBB">
        <w:t xml:space="preserve"> The observed prevalence of legal representation in the youth courts is believed to be attributable, at least in part, to the Youth Criminal Defence Act, which mandates that all youth are required to have legal representation in court.</w:t>
      </w:r>
      <w:r w:rsidR="008C57C5" w:rsidRPr="004B3CBB">
        <w:t xml:space="preserve"> Across many courts, newcomers demonstrated the lowest rates of legal representation. Court support staff report observing concerns surrounding the cost of accessing a lawyer, a lack of familiarity with the supports available to them, and occasionally resignation as reasons newcomers may not present with legal representation. </w:t>
      </w:r>
    </w:p>
    <w:p w14:paraId="4511B32A" w14:textId="52A02341" w:rsidR="00C7493B" w:rsidRPr="00C001A0" w:rsidRDefault="00C7493B" w:rsidP="00C001A0">
      <w:pPr>
        <w:pStyle w:val="Heading2"/>
      </w:pPr>
      <w:bookmarkStart w:id="72" w:name="_Toc16262382"/>
      <w:r w:rsidRPr="00C001A0">
        <w:t>Service Provision</w:t>
      </w:r>
      <w:bookmarkEnd w:id="72"/>
    </w:p>
    <w:p w14:paraId="052B77C4" w14:textId="0F675CCE" w:rsidR="00C001A0" w:rsidRDefault="00B13611">
      <w:r>
        <w:t>Across every court,</w:t>
      </w:r>
      <w:r w:rsidRPr="00F64463">
        <w:t xml:space="preserve"> </w:t>
      </w:r>
      <w:r w:rsidR="00017F2B">
        <w:t xml:space="preserve">most </w:t>
      </w:r>
      <w:r w:rsidRPr="00F64463">
        <w:t xml:space="preserve">attendees received services through the organization </w:t>
      </w:r>
      <w:r>
        <w:t>for</w:t>
      </w:r>
      <w:r w:rsidRPr="00F64463">
        <w:t xml:space="preserve"> a duration of 0-4 minutes</w:t>
      </w:r>
      <w:r>
        <w:t xml:space="preserve">; </w:t>
      </w:r>
      <w:r w:rsidRPr="008E5977">
        <w:t>an inverse relationship between in</w:t>
      </w:r>
      <w:r w:rsidRPr="00F64463">
        <w:t>creasing service length and attendee count</w:t>
      </w:r>
      <w:r>
        <w:t xml:space="preserve"> was apparent (</w:t>
      </w:r>
      <w:r w:rsidR="00C15A53">
        <w:t>Tables 5, 9, 14, 17, 20, 23, 27, 30, and 32</w:t>
      </w:r>
      <w:r>
        <w:t>)</w:t>
      </w:r>
      <w:r w:rsidRPr="00F64463">
        <w:t>.</w:t>
      </w:r>
      <w:r>
        <w:t xml:space="preserve"> </w:t>
      </w:r>
      <w:r w:rsidR="00751880">
        <w:t xml:space="preserve">This is particularly true of Calgary’s </w:t>
      </w:r>
      <w:r w:rsidR="007952BD">
        <w:t>Traffic Court</w:t>
      </w:r>
      <w:r w:rsidR="00751880">
        <w:t>, where 94.23% of attendees received service for under 4 minutes (</w:t>
      </w:r>
      <w:r w:rsidR="00C15A53">
        <w:t>Figure 27</w:t>
      </w:r>
      <w:r w:rsidR="00751880">
        <w:t>).</w:t>
      </w:r>
      <w:r w:rsidR="00017F2B">
        <w:t xml:space="preserve"> Of all courts, </w:t>
      </w:r>
      <w:r w:rsidR="007952BD">
        <w:t>Domestic Court</w:t>
      </w:r>
      <w:r w:rsidR="00017F2B">
        <w:t xml:space="preserve"> demonstrated the lowest proportion of defendants (0.04%) receiving services in excess of 15 minutes</w:t>
      </w:r>
      <w:r w:rsidR="008E409E">
        <w:t xml:space="preserve"> (Table 32). This is not unexpected, considering the relative brevity of the </w:t>
      </w:r>
      <w:r w:rsidR="007952BD">
        <w:t>Domestic Court</w:t>
      </w:r>
      <w:r w:rsidR="008E409E">
        <w:t xml:space="preserve"> questionnaire (Appendix 9.5), and the potential for a greater degree of discomfort for both </w:t>
      </w:r>
      <w:r w:rsidR="002E1D94">
        <w:t>court attendees and data collectors</w:t>
      </w:r>
      <w:r w:rsidR="008E409E">
        <w:t>.</w:t>
      </w:r>
      <w:r w:rsidR="00017F2B">
        <w:t xml:space="preserve"> </w:t>
      </w:r>
      <w:r w:rsidR="008E409E">
        <w:t>T</w:t>
      </w:r>
      <w:r w:rsidR="00017F2B">
        <w:t xml:space="preserve">he </w:t>
      </w:r>
      <w:r w:rsidR="007952BD">
        <w:t>North</w:t>
      </w:r>
      <w:r w:rsidR="00017F2B">
        <w:t xml:space="preserve"> and </w:t>
      </w:r>
      <w:r w:rsidR="008D12A5">
        <w:t>South Youth Court</w:t>
      </w:r>
      <w:r w:rsidR="007952BD">
        <w:t>s</w:t>
      </w:r>
      <w:r w:rsidR="008E409E">
        <w:t>,</w:t>
      </w:r>
      <w:r w:rsidR="00017F2B">
        <w:t xml:space="preserve"> and </w:t>
      </w:r>
      <w:r w:rsidR="008D12A5">
        <w:t>South Adult Court</w:t>
      </w:r>
      <w:r w:rsidR="0081339A">
        <w:t>s</w:t>
      </w:r>
      <w:r w:rsidR="008E409E">
        <w:t>,</w:t>
      </w:r>
      <w:r w:rsidR="00017F2B">
        <w:t xml:space="preserve"> had the greatest proportions of attendees with higher needs – 3.60%, 3.25%, and 3.30% respectively (Tables 19, 23, and 14). </w:t>
      </w:r>
      <w:r w:rsidR="00A6631C">
        <w:t xml:space="preserve">While the youth courts and adult courts demonstrate similar structures, it is worth noting that each court demonstrates different processes; as a </w:t>
      </w:r>
      <w:r w:rsidR="00A6631C">
        <w:lastRenderedPageBreak/>
        <w:t xml:space="preserve">result, the role of the Elizabeth Fry Society at the different courts may range from helping triage and direct attendees to an appropriate court, to offering legal advice. Certain geographic and demographic characteristics may also lend themselves to requiring additional support from the organization; anecdotally, court program advocates note that within the regional courts, access to court documents </w:t>
      </w:r>
      <w:r w:rsidR="004B3CBB">
        <w:t xml:space="preserve">and supports (including interpreters) </w:t>
      </w:r>
      <w:r w:rsidR="00A6631C">
        <w:t xml:space="preserve">is often lower, </w:t>
      </w:r>
      <w:r w:rsidR="005D2198">
        <w:t>the roles of court support staff are broader, and</w:t>
      </w:r>
      <w:r w:rsidR="00A6631C">
        <w:t xml:space="preserve"> the overall attendee populations demonstrate lower educational attainment.</w:t>
      </w:r>
    </w:p>
    <w:p w14:paraId="1B1AF8B1" w14:textId="5456651D" w:rsidR="00B65D19" w:rsidRDefault="00B65D19" w:rsidP="00B65D19">
      <w:pPr>
        <w:pStyle w:val="Heading1"/>
      </w:pPr>
      <w:bookmarkStart w:id="73" w:name="_Toc16262383"/>
      <w:r>
        <w:t>Conclusions</w:t>
      </w:r>
      <w:bookmarkEnd w:id="73"/>
      <w:r>
        <w:t xml:space="preserve"> </w:t>
      </w:r>
    </w:p>
    <w:p w14:paraId="5371F210" w14:textId="15FE5F43" w:rsidR="0028225C" w:rsidRPr="00950926" w:rsidRDefault="009D3499" w:rsidP="0028225C">
      <w:r>
        <w:t>Overall</w:t>
      </w:r>
      <w:r w:rsidR="0028225C">
        <w:t xml:space="preserve">, the trends and demographic distribution observed in the court attendee populations served by the </w:t>
      </w:r>
      <w:r w:rsidR="0028225C" w:rsidRPr="00950926">
        <w:t>Elizabeth Fry Society of Calgary between January 2017 and December 2018 were congruent with those cited in surrounding literature, and with available regional statistics. In general, young</w:t>
      </w:r>
      <w:r w:rsidR="00DE6957" w:rsidRPr="00950926">
        <w:t xml:space="preserve">er </w:t>
      </w:r>
      <w:r w:rsidR="0028225C" w:rsidRPr="00950926">
        <w:t xml:space="preserve">men were statistically overrepresented </w:t>
      </w:r>
      <w:r w:rsidR="00DE6957" w:rsidRPr="00950926">
        <w:t xml:space="preserve">in all courts, with older male teens more significantly represented in </w:t>
      </w:r>
      <w:r w:rsidR="007952BD" w:rsidRPr="00950926">
        <w:t>youth courts</w:t>
      </w:r>
      <w:r w:rsidR="00DE6957" w:rsidRPr="00950926">
        <w:t xml:space="preserve">. A trend towards </w:t>
      </w:r>
      <w:r w:rsidR="007138DD" w:rsidRPr="00950926">
        <w:t xml:space="preserve">greater representation of Indigenous women than women without minority status was also noted in multiple courts. Differential representation of individuals with minority status was apparent in nearly every court, reflecting the legacy effects of colonization, and potentially the effects of barriers to accessing services. </w:t>
      </w:r>
      <w:r w:rsidR="000D4897" w:rsidRPr="00950926">
        <w:t xml:space="preserve">Attendees that were newcomers were strongly overrepresented in the </w:t>
      </w:r>
      <w:r w:rsidR="007952BD" w:rsidRPr="00950926">
        <w:t xml:space="preserve">Traffic </w:t>
      </w:r>
      <w:r w:rsidR="00950926" w:rsidRPr="00950926">
        <w:t>C</w:t>
      </w:r>
      <w:r w:rsidR="007952BD" w:rsidRPr="00950926">
        <w:t>ourts</w:t>
      </w:r>
      <w:r w:rsidR="000D4897" w:rsidRPr="00950926">
        <w:t xml:space="preserve">. </w:t>
      </w:r>
      <w:r w:rsidR="00B35E85" w:rsidRPr="00950926">
        <w:t>Aligned with the significant body of literature on the subject, individuals with minority status, particularly those identifying as Indigenous, demonstrated poorer financial status, and larger family size. Otherwise, attendees without family (and potentially the associated support)</w:t>
      </w:r>
      <w:r w:rsidR="000D4897" w:rsidRPr="00950926">
        <w:t xml:space="preserve">, </w:t>
      </w:r>
      <w:r w:rsidR="00B35E85" w:rsidRPr="00950926">
        <w:t>or with few family members</w:t>
      </w:r>
      <w:r w:rsidR="000D4897" w:rsidRPr="00950926">
        <w:t>,</w:t>
      </w:r>
      <w:r w:rsidR="00B35E85" w:rsidRPr="00950926">
        <w:t xml:space="preserve"> were overrepresented. </w:t>
      </w:r>
      <w:r w:rsidR="000D4897" w:rsidRPr="00950926">
        <w:t>Administration charges were overwhelmingly more common than bylaws charges</w:t>
      </w:r>
      <w:r w:rsidR="00F81112" w:rsidRPr="00950926">
        <w:t xml:space="preserve"> in the </w:t>
      </w:r>
      <w:r w:rsidR="00950926" w:rsidRPr="00950926">
        <w:t>A</w:t>
      </w:r>
      <w:r w:rsidR="007952BD" w:rsidRPr="00950926">
        <w:t xml:space="preserve">dult </w:t>
      </w:r>
      <w:r w:rsidR="00950926" w:rsidRPr="00950926">
        <w:t>C</w:t>
      </w:r>
      <w:r w:rsidR="0011131B" w:rsidRPr="00950926">
        <w:t>ourts,</w:t>
      </w:r>
      <w:r w:rsidR="000D4897" w:rsidRPr="00950926">
        <w:t xml:space="preserve"> with failure to appear proving the most common administration offence across all minority groups. </w:t>
      </w:r>
      <w:r w:rsidR="00B35E85" w:rsidRPr="00950926">
        <w:t xml:space="preserve">Common </w:t>
      </w:r>
      <w:r w:rsidR="00620910">
        <w:t>traffic offences</w:t>
      </w:r>
      <w:r w:rsidR="00B35E85" w:rsidRPr="00950926">
        <w:t xml:space="preserve"> across all minority groups included speeding, failure to stop at a stoplight, and other offences. </w:t>
      </w:r>
      <w:r w:rsidR="000D4897" w:rsidRPr="00950926">
        <w:t xml:space="preserve">Across all </w:t>
      </w:r>
      <w:r w:rsidR="007952BD" w:rsidRPr="00950926">
        <w:t xml:space="preserve">youth </w:t>
      </w:r>
      <w:r w:rsidR="009611E8" w:rsidRPr="00950926">
        <w:t>courts,</w:t>
      </w:r>
      <w:r w:rsidR="000D4897" w:rsidRPr="00950926">
        <w:t xml:space="preserve"> youth most often presented to court with supports. Interestingly, this was particularly true of Indigenous youth. Most individuals served by the Elizabeth Fry Society were present for a first appearance in court, and lacked legal representation, with the notable exception of </w:t>
      </w:r>
      <w:r w:rsidR="008D12A5" w:rsidRPr="00950926">
        <w:t>Calgary’s Youth Court</w:t>
      </w:r>
      <w:r w:rsidR="000D4897" w:rsidRPr="00950926">
        <w:t xml:space="preserve">. </w:t>
      </w:r>
      <w:r w:rsidR="00C9058B" w:rsidRPr="00950926">
        <w:t>Individuals accessing services</w:t>
      </w:r>
      <w:r w:rsidR="000D4897" w:rsidRPr="00950926">
        <w:t xml:space="preserve"> were commonly seeking legal advice, with the average interaction with an Elizabeth Fry representative being under 4 minutes.</w:t>
      </w:r>
    </w:p>
    <w:p w14:paraId="21B0D770" w14:textId="799116F1" w:rsidR="00466288" w:rsidRPr="00950926" w:rsidRDefault="0055625B" w:rsidP="00466288">
      <w:r w:rsidRPr="00950926">
        <w:t xml:space="preserve">Familiarity with the </w:t>
      </w:r>
      <w:r w:rsidR="002836DC" w:rsidRPr="00950926">
        <w:t xml:space="preserve">populations most commonly served by the organization </w:t>
      </w:r>
      <w:r w:rsidR="0034271E" w:rsidRPr="00950926">
        <w:t>may</w:t>
      </w:r>
      <w:r w:rsidR="002836DC" w:rsidRPr="00950926">
        <w:t xml:space="preserve"> prove useful in directing future </w:t>
      </w:r>
      <w:r w:rsidR="0034271E" w:rsidRPr="00950926">
        <w:t>program development and service approaches</w:t>
      </w:r>
      <w:r w:rsidR="002836DC" w:rsidRPr="00950926">
        <w:t xml:space="preserve"> to best meet the needs of </w:t>
      </w:r>
      <w:r w:rsidR="0034271E" w:rsidRPr="00950926">
        <w:t>defendants accessing support</w:t>
      </w:r>
      <w:r w:rsidR="009611E8" w:rsidRPr="00950926">
        <w:t>; it is recommended that staff involved in both the coordination and provision of services have access to the contents of this report for reference, as needed. Ex</w:t>
      </w:r>
      <w:r w:rsidR="0034271E" w:rsidRPr="00950926">
        <w:t>ploring relationship</w:t>
      </w:r>
      <w:r w:rsidR="00236C54" w:rsidRPr="00950926">
        <w:t>s</w:t>
      </w:r>
      <w:r w:rsidR="0034271E" w:rsidRPr="00950926">
        <w:t xml:space="preserve"> between</w:t>
      </w:r>
      <w:r w:rsidR="00236C54" w:rsidRPr="00950926">
        <w:t xml:space="preserve"> attendee</w:t>
      </w:r>
      <w:r w:rsidR="0034271E" w:rsidRPr="00950926">
        <w:t xml:space="preserve"> demographic factors </w:t>
      </w:r>
      <w:r w:rsidR="00236C54" w:rsidRPr="00950926">
        <w:t>may prove useful in identifying areas for further investigation, and information deficits</w:t>
      </w:r>
      <w:r w:rsidR="009611E8" w:rsidRPr="00950926">
        <w:t>, and data collection represents a worthwhile endeavour for continuation</w:t>
      </w:r>
      <w:r w:rsidR="00382EE4" w:rsidRPr="00950926">
        <w:t xml:space="preserve">. </w:t>
      </w:r>
      <w:r w:rsidR="009611E8" w:rsidRPr="00950926">
        <w:t xml:space="preserve">This report highlighted many promising areas for future investigation that may prove </w:t>
      </w:r>
      <w:r w:rsidR="00466288" w:rsidRPr="00950926">
        <w:t xml:space="preserve">critical to fully appreciating the nature of select relationships </w:t>
      </w:r>
      <w:r w:rsidR="00950926" w:rsidRPr="00950926">
        <w:t>cited</w:t>
      </w:r>
      <w:r w:rsidR="00466288" w:rsidRPr="00950926">
        <w:t xml:space="preserve">. </w:t>
      </w:r>
    </w:p>
    <w:p w14:paraId="63CE3A8D" w14:textId="44E53D43" w:rsidR="007E1E6C" w:rsidRDefault="00466288">
      <w:r w:rsidRPr="00950926">
        <w:t xml:space="preserve">Moving forward, it is recommended that the organization explores discrepancies in conviction rates, and appearance numbers, by gender. </w:t>
      </w:r>
      <w:r w:rsidR="007418B0" w:rsidRPr="00950926">
        <w:t>Hotton Mahony</w:t>
      </w:r>
      <w:r w:rsidR="00E5484D" w:rsidRPr="00950926">
        <w:t xml:space="preserve"> </w:t>
      </w:r>
      <w:r w:rsidR="007418B0" w:rsidRPr="00950926">
        <w:t xml:space="preserve">et al. (2017) </w:t>
      </w:r>
      <w:r w:rsidR="00E5484D" w:rsidRPr="00950926">
        <w:t>suggests that men endure disproportional conviction rates</w:t>
      </w:r>
      <w:r w:rsidR="003A2DEC" w:rsidRPr="00950926">
        <w:t xml:space="preserve">, and more court appearances, </w:t>
      </w:r>
      <w:r w:rsidR="00E5484D" w:rsidRPr="00950926">
        <w:t xml:space="preserve">attributable to them possessing a greater number of charges on average. It is currently unknown if this relationship is observed in the individuals served by the Elizabeth Fry Society. </w:t>
      </w:r>
      <w:r w:rsidRPr="00950926">
        <w:t>Another recommended area for future investigation is the origins of discrepancies in c</w:t>
      </w:r>
      <w:r w:rsidR="001E0557" w:rsidRPr="00950926">
        <w:t>ertain offence frequencies by minority</w:t>
      </w:r>
      <w:r w:rsidR="00E5484D" w:rsidRPr="00950926">
        <w:t xml:space="preserve"> and gender</w:t>
      </w:r>
      <w:r w:rsidR="001E0557" w:rsidRPr="00950926">
        <w:t xml:space="preserve"> status</w:t>
      </w:r>
      <w:r w:rsidR="00E5484D" w:rsidRPr="00950926">
        <w:t xml:space="preserve">. Namely, on a national level it is understood that the most common offences committed by female attendees include failure to comply and breach of probation </w:t>
      </w:r>
      <w:r w:rsidR="007418B0" w:rsidRPr="00950926">
        <w:rPr>
          <w:rFonts w:cs="Arial"/>
          <w:color w:val="000000"/>
          <w:shd w:val="clear" w:color="auto" w:fill="FFFFFF"/>
        </w:rPr>
        <w:t>(Statistics Canada, 2017)</w:t>
      </w:r>
      <w:r w:rsidR="00E5484D" w:rsidRPr="00950926">
        <w:t xml:space="preserve">, and it is unclear if this is true of </w:t>
      </w:r>
      <w:r w:rsidR="003A2DEC" w:rsidRPr="00950926">
        <w:t>th</w:t>
      </w:r>
      <w:r w:rsidR="006B5A0C" w:rsidRPr="00950926">
        <w:t>e</w:t>
      </w:r>
      <w:r w:rsidR="003A2DEC" w:rsidRPr="00950926">
        <w:t xml:space="preserve"> population served</w:t>
      </w:r>
      <w:r w:rsidR="00E5484D" w:rsidRPr="00950926">
        <w:t xml:space="preserve">. As well, significant differences in </w:t>
      </w:r>
      <w:r w:rsidR="00620910">
        <w:t>traffic offence</w:t>
      </w:r>
      <w:r w:rsidR="00E5484D" w:rsidRPr="00950926">
        <w:t xml:space="preserve"> frequency were noted in attendees who identified as newcomers. </w:t>
      </w:r>
      <w:r w:rsidR="00382EE4" w:rsidRPr="00950926">
        <w:t>In addition, a</w:t>
      </w:r>
      <w:r w:rsidR="003A2DEC" w:rsidRPr="00950926">
        <w:t xml:space="preserve"> recurrent challenge in completing data analysis surrounding newcomer attendees in various courts was the limited information available on the involvement of new immigrants in the criminal justice system. Items that were of particular interest included the significant discrepancies in gender representation amongst </w:t>
      </w:r>
      <w:r w:rsidR="003A2DEC" w:rsidRPr="00950926">
        <w:lastRenderedPageBreak/>
        <w:t xml:space="preserve">newcomers in multiple courts. </w:t>
      </w:r>
      <w:r w:rsidR="00382EE4" w:rsidRPr="00950926">
        <w:t xml:space="preserve">A similarly important area for exploration is surrounding the nature of defendant supports in the </w:t>
      </w:r>
      <w:r w:rsidR="00950926" w:rsidRPr="00950926">
        <w:t>Y</w:t>
      </w:r>
      <w:r w:rsidR="00382EE4" w:rsidRPr="00950926">
        <w:t xml:space="preserve">outh </w:t>
      </w:r>
      <w:r w:rsidR="00950926" w:rsidRPr="00950926">
        <w:t>C</w:t>
      </w:r>
      <w:r w:rsidR="00382EE4" w:rsidRPr="00950926">
        <w:t>ourts; while f</w:t>
      </w:r>
      <w:r w:rsidR="003A2DEC" w:rsidRPr="00950926">
        <w:t>amily support is known to affect rates of youth involvement in the criminal justice system, and rates of recidivism (</w:t>
      </w:r>
      <w:r w:rsidR="004A01B5" w:rsidRPr="00950926">
        <w:t>Barry, 2010</w:t>
      </w:r>
      <w:r w:rsidR="003A2DEC" w:rsidRPr="00950926">
        <w:t>)</w:t>
      </w:r>
      <w:r w:rsidR="00382EE4" w:rsidRPr="00950926">
        <w:t>, despite</w:t>
      </w:r>
      <w:r w:rsidR="003A2DEC" w:rsidRPr="00950926">
        <w:t xml:space="preserve"> demonstrating more support overall, Indigenous youth remain overrepresented in court. Consequently, examining the types of support present across </w:t>
      </w:r>
      <w:r w:rsidR="007952BD" w:rsidRPr="00950926">
        <w:t xml:space="preserve">youth </w:t>
      </w:r>
      <w:r w:rsidR="00382EE4" w:rsidRPr="00950926">
        <w:t>courts and</w:t>
      </w:r>
      <w:r w:rsidR="003A2DEC" w:rsidRPr="00950926">
        <w:t xml:space="preserve"> minority statuses may shine light on </w:t>
      </w:r>
      <w:r w:rsidR="00ED763C" w:rsidRPr="00950926">
        <w:t xml:space="preserve">any </w:t>
      </w:r>
      <w:r w:rsidR="003A2DEC" w:rsidRPr="00950926">
        <w:t xml:space="preserve">differential impact of </w:t>
      </w:r>
      <w:r w:rsidR="00ED763C" w:rsidRPr="00950926">
        <w:t>support types on youth.</w:t>
      </w:r>
      <w:r w:rsidR="003A2DEC" w:rsidRPr="00950926">
        <w:t xml:space="preserve"> </w:t>
      </w:r>
      <w:r w:rsidR="00CA3AB2" w:rsidRPr="00950926">
        <w:t xml:space="preserve">Finally, a critical area warranting future attention is the need for ongoing data collection efforts; a key limitation to identifying strong relationships in certain courts, particularly newer ones such as South Traffic Court, was a lack of data availability. </w:t>
      </w:r>
      <w:r w:rsidR="00ED763C" w:rsidRPr="00950926">
        <w:t>Addressing these key i</w:t>
      </w:r>
      <w:r w:rsidR="00CA3AB2" w:rsidRPr="00950926">
        <w:t>tems of interest</w:t>
      </w:r>
      <w:r w:rsidR="00ED763C" w:rsidRPr="00950926">
        <w:t xml:space="preserve">, amongst others noted in this report, may allow for the appreciation of more nuanced relationships potentially overlooked in this </w:t>
      </w:r>
      <w:r w:rsidR="00CA3AB2" w:rsidRPr="00950926">
        <w:t>analysis.</w:t>
      </w:r>
    </w:p>
    <w:p w14:paraId="623BBCAD" w14:textId="240D5C0E" w:rsidR="007E1E6C" w:rsidRDefault="00F93420">
      <w:r>
        <w:br w:type="page"/>
      </w:r>
    </w:p>
    <w:p w14:paraId="664F7FEE" w14:textId="64B34CFE" w:rsidR="00FD549C" w:rsidRDefault="00FD549C" w:rsidP="00CF5FD1">
      <w:pPr>
        <w:pStyle w:val="Heading1"/>
      </w:pPr>
      <w:bookmarkStart w:id="74" w:name="_Toc16262384"/>
      <w:r w:rsidRPr="00FD549C">
        <w:lastRenderedPageBreak/>
        <w:t>Reference</w:t>
      </w:r>
      <w:r w:rsidR="00E64795">
        <w:t xml:space="preserve"> List</w:t>
      </w:r>
      <w:bookmarkEnd w:id="74"/>
    </w:p>
    <w:p w14:paraId="01EF96BE" w14:textId="02FF4758" w:rsidR="00154379" w:rsidRPr="00154379" w:rsidRDefault="00154379" w:rsidP="00916D83">
      <w:pPr>
        <w:rPr>
          <w:rFonts w:cs="Arial"/>
          <w:shd w:val="clear" w:color="auto" w:fill="FFFFFF"/>
        </w:rPr>
      </w:pPr>
      <w:r w:rsidRPr="00154379">
        <w:rPr>
          <w:shd w:val="clear" w:color="auto" w:fill="FFFFFF"/>
        </w:rPr>
        <w:t>Barry, M., 2010. Youth Transitions: From Offending to Desistance. </w:t>
      </w:r>
      <w:r w:rsidRPr="00154379">
        <w:rPr>
          <w:i/>
          <w:iCs/>
        </w:rPr>
        <w:t>Journal of Youth Studies </w:t>
      </w:r>
      <w:r w:rsidRPr="00154379">
        <w:rPr>
          <w:shd w:val="clear" w:color="auto" w:fill="FFFFFF"/>
        </w:rPr>
        <w:t>, 13(1), pp.121–126. Available at: https://www.tandfonline.com/doi/abs/10.1080/13676260903233712 [Accessed August 2, 2019].</w:t>
      </w:r>
      <w:r w:rsidRPr="00154379">
        <w:rPr>
          <w:rFonts w:cs="Arial"/>
          <w:shd w:val="clear" w:color="auto" w:fill="FFFFFF"/>
        </w:rPr>
        <w:t>Statistics Canada (2018). </w:t>
      </w:r>
      <w:r w:rsidRPr="00154379">
        <w:rPr>
          <w:rFonts w:cs="Arial"/>
          <w:i/>
          <w:iCs/>
          <w:shd w:val="clear" w:color="auto" w:fill="FFFFFF"/>
        </w:rPr>
        <w:t>Adult and Youth Correctional Statistics in Canada, 2016/2017</w:t>
      </w:r>
      <w:r w:rsidRPr="00154379">
        <w:rPr>
          <w:rFonts w:cs="Arial"/>
          <w:shd w:val="clear" w:color="auto" w:fill="FFFFFF"/>
        </w:rPr>
        <w:t>. Statistics Canada, pp.1-20.</w:t>
      </w:r>
    </w:p>
    <w:p w14:paraId="649D7783" w14:textId="166099C4" w:rsidR="00154379" w:rsidRPr="00154379" w:rsidRDefault="00154379" w:rsidP="00916D83">
      <w:pPr>
        <w:rPr>
          <w:shd w:val="clear" w:color="auto" w:fill="FFFFFF"/>
        </w:rPr>
      </w:pPr>
      <w:r w:rsidRPr="00154379">
        <w:rPr>
          <w:shd w:val="clear" w:color="auto" w:fill="FFFFFF"/>
        </w:rPr>
        <w:t>Barker, B. et al., 2015. Aboriginal street-involved youth experience elevated risk of incarceration. </w:t>
      </w:r>
      <w:r w:rsidRPr="00154379">
        <w:rPr>
          <w:i/>
          <w:iCs/>
        </w:rPr>
        <w:t>Public Health</w:t>
      </w:r>
      <w:r w:rsidRPr="00154379">
        <w:rPr>
          <w:shd w:val="clear" w:color="auto" w:fill="FFFFFF"/>
        </w:rPr>
        <w:t>, 129(12), pp.1662–1668.</w:t>
      </w:r>
    </w:p>
    <w:p w14:paraId="537556F1" w14:textId="12F7C0C9" w:rsidR="00154379" w:rsidRPr="00154379" w:rsidRDefault="00154379" w:rsidP="00916D83">
      <w:pPr>
        <w:rPr>
          <w:shd w:val="clear" w:color="auto" w:fill="FFFFFF"/>
        </w:rPr>
      </w:pPr>
      <w:r w:rsidRPr="00154379">
        <w:rPr>
          <w:shd w:val="clear" w:color="auto" w:fill="FFFFFF"/>
        </w:rPr>
        <w:t>Brown, C., 2018. Incarceration and Earnings: Distributional and Long-Term Effects. </w:t>
      </w:r>
      <w:r w:rsidRPr="00154379">
        <w:rPr>
          <w:i/>
          <w:iCs/>
        </w:rPr>
        <w:t>Journal of Labor Research</w:t>
      </w:r>
      <w:r w:rsidRPr="00154379">
        <w:rPr>
          <w:shd w:val="clear" w:color="auto" w:fill="FFFFFF"/>
        </w:rPr>
        <w:t>, 40(1), pp.58–83.</w:t>
      </w:r>
    </w:p>
    <w:p w14:paraId="35A56F9D" w14:textId="26FA6C3B" w:rsidR="00154379" w:rsidRPr="00154379" w:rsidRDefault="00154379" w:rsidP="00916D83">
      <w:r w:rsidRPr="00154379">
        <w:rPr>
          <w:shd w:val="clear" w:color="auto" w:fill="FFFFFF"/>
        </w:rPr>
        <w:t>Centre for Public Legal Education of Alberta, 2015. Criminal records and record suspensions. </w:t>
      </w:r>
      <w:r w:rsidRPr="00154379">
        <w:rPr>
          <w:i/>
          <w:iCs/>
        </w:rPr>
        <w:t>LawCentral</w:t>
      </w:r>
      <w:r w:rsidRPr="00154379">
        <w:rPr>
          <w:shd w:val="clear" w:color="auto" w:fill="FFFFFF"/>
        </w:rPr>
        <w:t>.</w:t>
      </w:r>
      <w:r w:rsidRPr="00154379">
        <w:rPr>
          <w:shd w:val="clear" w:color="auto" w:fill="FFFFFF"/>
        </w:rPr>
        <w:t xml:space="preserve">      </w:t>
      </w:r>
      <w:r w:rsidRPr="00154379">
        <w:rPr>
          <w:shd w:val="clear" w:color="auto" w:fill="FFFFFF"/>
        </w:rPr>
        <w:t>Available at: https://www.lawcentralalberta.ca/en/criminal-records-and-record-suspensions [Accessed August 2, 2019].</w:t>
      </w:r>
    </w:p>
    <w:p w14:paraId="6FD6E76A" w14:textId="45AB9B90" w:rsidR="00154379" w:rsidRPr="00154379" w:rsidRDefault="00154379" w:rsidP="00916D83">
      <w:pPr>
        <w:rPr>
          <w:shd w:val="clear" w:color="auto" w:fill="FFFFFF"/>
        </w:rPr>
      </w:pPr>
      <w:r w:rsidRPr="00154379">
        <w:rPr>
          <w:shd w:val="clear" w:color="auto" w:fill="FFFFFF"/>
        </w:rPr>
        <w:t>Corrado, R.R., Kuehn, S. &amp; Margaritescu, I., 2014. Policy Issues Regarding the Overrepresentation of</w:t>
      </w:r>
      <w:r w:rsidRPr="00154379">
        <w:rPr>
          <w:shd w:val="clear" w:color="auto" w:fill="FFFFFF"/>
        </w:rPr>
        <w:t xml:space="preserve">                 </w:t>
      </w:r>
      <w:r w:rsidRPr="00154379">
        <w:rPr>
          <w:shd w:val="clear" w:color="auto" w:fill="FFFFFF"/>
        </w:rPr>
        <w:t xml:space="preserve"> </w:t>
      </w:r>
      <w:r w:rsidRPr="00154379">
        <w:rPr>
          <w:shd w:val="clear" w:color="auto" w:fill="FFFFFF"/>
        </w:rPr>
        <w:t xml:space="preserve"> </w:t>
      </w:r>
      <w:r w:rsidRPr="00154379">
        <w:rPr>
          <w:shd w:val="clear" w:color="auto" w:fill="FFFFFF"/>
        </w:rPr>
        <w:t>Incarcerated Aboriginal Young Offenders in a Canadian Context. </w:t>
      </w:r>
      <w:r w:rsidRPr="00154379">
        <w:rPr>
          <w:i/>
          <w:iCs/>
        </w:rPr>
        <w:t>Youth Justice</w:t>
      </w:r>
      <w:r w:rsidRPr="00154379">
        <w:rPr>
          <w:shd w:val="clear" w:color="auto" w:fill="FFFFFF"/>
        </w:rPr>
        <w:t>, 14(1), pp.40–62.</w:t>
      </w:r>
    </w:p>
    <w:p w14:paraId="217FBC9F" w14:textId="2278BA3B" w:rsidR="00154379" w:rsidRPr="00154379" w:rsidRDefault="00154379" w:rsidP="00916D83">
      <w:r w:rsidRPr="00154379">
        <w:rPr>
          <w:shd w:val="clear" w:color="auto" w:fill="FFFFFF"/>
        </w:rPr>
        <w:t>Government of Alberta, 2000. </w:t>
      </w:r>
      <w:r w:rsidRPr="00154379">
        <w:rPr>
          <w:i/>
          <w:iCs/>
        </w:rPr>
        <w:t>Alberta Human Rights Act; Revised Statutes of Alberta</w:t>
      </w:r>
      <w:r w:rsidRPr="00154379">
        <w:rPr>
          <w:shd w:val="clear" w:color="auto" w:fill="FFFFFF"/>
        </w:rPr>
        <w:t>, Edmonton, AB: Alberta Queen's Printer.</w:t>
      </w:r>
    </w:p>
    <w:p w14:paraId="2F91D2B5" w14:textId="0D066554" w:rsidR="00DC6DFB" w:rsidRPr="00154379" w:rsidRDefault="00DC6DFB" w:rsidP="00916D83">
      <w:r w:rsidRPr="00154379">
        <w:rPr>
          <w:rFonts w:cs="Arial"/>
          <w:shd w:val="clear" w:color="auto" w:fill="FFFFFF"/>
        </w:rPr>
        <w:t xml:space="preserve">Guruge, S., Roche, B. and Catallo, C. (2012). Violence Against Women: An Exploration of the Physical and </w:t>
      </w:r>
      <w:r w:rsidR="00154379" w:rsidRPr="00154379">
        <w:rPr>
          <w:rFonts w:cs="Arial"/>
          <w:shd w:val="clear" w:color="auto" w:fill="FFFFFF"/>
        </w:rPr>
        <w:t xml:space="preserve">   </w:t>
      </w:r>
      <w:r w:rsidRPr="00154379">
        <w:rPr>
          <w:rFonts w:cs="Arial"/>
          <w:shd w:val="clear" w:color="auto" w:fill="FFFFFF"/>
        </w:rPr>
        <w:t>Mental Health Among Immigrant and Refugee Women in Canada. </w:t>
      </w:r>
      <w:r w:rsidRPr="00154379">
        <w:rPr>
          <w:rFonts w:cs="Arial"/>
          <w:i/>
          <w:iCs/>
          <w:shd w:val="clear" w:color="auto" w:fill="FFFFFF"/>
        </w:rPr>
        <w:t>Nursing Research and Practice</w:t>
      </w:r>
      <w:r w:rsidRPr="00154379">
        <w:rPr>
          <w:rFonts w:cs="Arial"/>
          <w:shd w:val="clear" w:color="auto" w:fill="FFFFFF"/>
        </w:rPr>
        <w:t>, 2012, pp.1-5.</w:t>
      </w:r>
      <w:r w:rsidRPr="00154379">
        <w:t xml:space="preserve"> </w:t>
      </w:r>
    </w:p>
    <w:p w14:paraId="766B274B" w14:textId="637BB429" w:rsidR="00154379" w:rsidRPr="00154379" w:rsidRDefault="00154379" w:rsidP="00916D83">
      <w:r w:rsidRPr="00154379">
        <w:rPr>
          <w:rFonts w:cs="Arial"/>
          <w:shd w:val="clear" w:color="auto" w:fill="FFFFFF"/>
        </w:rPr>
        <w:t>Holmes, C. and Hunt, S. (2017). </w:t>
      </w:r>
      <w:r w:rsidRPr="00154379">
        <w:rPr>
          <w:rFonts w:cs="Arial"/>
          <w:i/>
          <w:iCs/>
          <w:shd w:val="clear" w:color="auto" w:fill="FFFFFF"/>
        </w:rPr>
        <w:t>Indigenous Communities and Family Violence: Changing the Conversation</w:t>
      </w:r>
      <w:r w:rsidRPr="00154379">
        <w:rPr>
          <w:rFonts w:cs="Arial"/>
          <w:shd w:val="clear" w:color="auto" w:fill="FFFFFF"/>
        </w:rPr>
        <w:t>. Prince George, BC: National Collaborating Centre for Aboriginal Health, pp.1-60.</w:t>
      </w:r>
      <w:r w:rsidRPr="00154379">
        <w:t xml:space="preserve"> </w:t>
      </w:r>
    </w:p>
    <w:p w14:paraId="57E7086D" w14:textId="1BBB625D" w:rsidR="00154379" w:rsidRPr="00916D83" w:rsidRDefault="00154379" w:rsidP="00916D83">
      <w:pPr>
        <w:rPr>
          <w:shd w:val="clear" w:color="auto" w:fill="FFFFFF"/>
        </w:rPr>
      </w:pPr>
      <w:r w:rsidRPr="00154379">
        <w:rPr>
          <w:shd w:val="clear" w:color="auto" w:fill="FFFFFF"/>
        </w:rPr>
        <w:t>Hotton Mahony, T., Jacob, J. &amp; Hobson, H., 2017. Women and the Criminal Justice System. </w:t>
      </w:r>
      <w:r w:rsidRPr="00154379">
        <w:rPr>
          <w:i/>
          <w:iCs/>
        </w:rPr>
        <w:t>Women in Canada: A Gender-Based Statistical Report </w:t>
      </w:r>
      <w:r w:rsidRPr="00154379">
        <w:rPr>
          <w:shd w:val="clear" w:color="auto" w:fill="FFFFFF"/>
        </w:rPr>
        <w:t>, pp.1–42. Available at: https://www150.statcan.gc.ca/n1/pub/89-503-x/2015001/article/14785-eng.pdf [Accessed August 2, 2019].</w:t>
      </w:r>
    </w:p>
    <w:p w14:paraId="3AF37565" w14:textId="6BF6FFA0" w:rsidR="00154379" w:rsidRPr="00154379" w:rsidRDefault="00154379" w:rsidP="00916D83">
      <w:pPr>
        <w:rPr>
          <w:shd w:val="clear" w:color="auto" w:fill="FFFFFF"/>
        </w:rPr>
      </w:pPr>
      <w:r w:rsidRPr="00154379">
        <w:rPr>
          <w:rFonts w:cs="Arial"/>
          <w:shd w:val="clear" w:color="auto" w:fill="FFFFFF"/>
        </w:rPr>
        <w:t>Kanters, A. (2018). Women's Incarceration in Alberta Backgrounder. [online] pp.1-48. Available at: https://elizabethfrycalgary.ca/wp-content/uploads/2018/10/PCOP-Backgrounder.pdf [Accessed 2 Aug. 2019].</w:t>
      </w:r>
      <w:r w:rsidRPr="00154379">
        <w:rPr>
          <w:shd w:val="clear" w:color="auto" w:fill="FFFFFF"/>
        </w:rPr>
        <w:t xml:space="preserve"> </w:t>
      </w:r>
    </w:p>
    <w:p w14:paraId="7DB98306" w14:textId="7EB9389D" w:rsidR="00154379" w:rsidRPr="00154379" w:rsidRDefault="00154379" w:rsidP="00916D83">
      <w:pPr>
        <w:rPr>
          <w:shd w:val="clear" w:color="auto" w:fill="FFFFFF"/>
        </w:rPr>
      </w:pPr>
      <w:r w:rsidRPr="00154379">
        <w:rPr>
          <w:shd w:val="clear" w:color="auto" w:fill="FFFFFF"/>
        </w:rPr>
        <w:t>Kouyoumdjian, F. et al., 2016. Health Status of Prisoners in Canada: Narrative Review. </w:t>
      </w:r>
      <w:r w:rsidRPr="00154379">
        <w:rPr>
          <w:i/>
          <w:iCs/>
        </w:rPr>
        <w:t>Canadian Family Physician </w:t>
      </w:r>
      <w:r w:rsidRPr="00154379">
        <w:rPr>
          <w:shd w:val="clear" w:color="auto" w:fill="FFFFFF"/>
        </w:rPr>
        <w:t>, 62(3), pp.215–222. Available at: https://www.ncbi.nlm.nih.gov/pubmed/27427562 [Accessed August 2, 2019].</w:t>
      </w:r>
    </w:p>
    <w:p w14:paraId="13C12805" w14:textId="22BDCD08" w:rsidR="00154379" w:rsidRPr="00154379" w:rsidRDefault="00154379" w:rsidP="00916D83">
      <w:pPr>
        <w:rPr>
          <w:shd w:val="clear" w:color="auto" w:fill="FFFFFF"/>
        </w:rPr>
      </w:pPr>
      <w:r w:rsidRPr="00154379">
        <w:rPr>
          <w:shd w:val="clear" w:color="auto" w:fill="FFFFFF"/>
        </w:rPr>
        <w:t>Laprairie, C., 1997. Reconstructing Theory: Explaining Aboriginal Over-Representation in the Criminal Justice System in Canada. </w:t>
      </w:r>
      <w:r w:rsidRPr="00154379">
        <w:rPr>
          <w:i/>
          <w:iCs/>
        </w:rPr>
        <w:t>Australian &amp; New Zealand Journal of Criminology</w:t>
      </w:r>
      <w:r w:rsidRPr="00154379">
        <w:rPr>
          <w:shd w:val="clear" w:color="auto" w:fill="FFFFFF"/>
        </w:rPr>
        <w:t>, 30(1), pp.39–54.</w:t>
      </w:r>
    </w:p>
    <w:p w14:paraId="701CC7F4" w14:textId="1134E3ED" w:rsidR="00154379" w:rsidRPr="00154379" w:rsidRDefault="00154379" w:rsidP="00916D83">
      <w:pPr>
        <w:rPr>
          <w:shd w:val="clear" w:color="auto" w:fill="FFFFFF"/>
        </w:rPr>
      </w:pPr>
      <w:r w:rsidRPr="00154379">
        <w:rPr>
          <w:shd w:val="clear" w:color="auto" w:fill="FFFFFF"/>
        </w:rPr>
        <w:t>McFarlane, C. &amp; Milaney, K., 2008. </w:t>
      </w:r>
      <w:r w:rsidRPr="00154379">
        <w:rPr>
          <w:i/>
          <w:iCs/>
        </w:rPr>
        <w:t>Crimes of Desperation: The Truth about Poverty Related Crime</w:t>
      </w:r>
      <w:r w:rsidRPr="00154379">
        <w:rPr>
          <w:shd w:val="clear" w:color="auto" w:fill="FFFFFF"/>
        </w:rPr>
        <w:t>, Calgary, AB: Poverty Reduction Coalition of United Way of Calgary and Area.</w:t>
      </w:r>
    </w:p>
    <w:p w14:paraId="56ED7E8D" w14:textId="743C5B5C" w:rsidR="00154379" w:rsidRPr="00911BA0" w:rsidRDefault="00154379" w:rsidP="00916D83">
      <w:r w:rsidRPr="00154379">
        <w:rPr>
          <w:shd w:val="clear" w:color="auto" w:fill="FFFFFF"/>
        </w:rPr>
        <w:t>McKay-Panos, L., 2017. Human Rights Law and Inclusion of New Grounds: Criminal Record. </w:t>
      </w:r>
      <w:r w:rsidRPr="00154379">
        <w:rPr>
          <w:i/>
          <w:iCs/>
        </w:rPr>
        <w:t>LawNow</w:t>
      </w:r>
      <w:r w:rsidRPr="00154379">
        <w:rPr>
          <w:shd w:val="clear" w:color="auto" w:fill="FFFFFF"/>
        </w:rPr>
        <w:t>. Available at: https://www.lawnow.org/human-rights-laws-and-inclusion-of-new-grounds-criminal-record/ [Accessed August 2, 2019].</w:t>
      </w:r>
    </w:p>
    <w:p w14:paraId="78B5FE80" w14:textId="14211E86" w:rsidR="00154379" w:rsidRPr="00154379" w:rsidRDefault="00154379" w:rsidP="00916D83">
      <w:pPr>
        <w:rPr>
          <w:shd w:val="clear" w:color="auto" w:fill="FFFFFF"/>
        </w:rPr>
      </w:pPr>
      <w:r w:rsidRPr="00154379">
        <w:rPr>
          <w:shd w:val="clear" w:color="auto" w:fill="FFFFFF"/>
        </w:rPr>
        <w:t>Pager, D., 2003. The Mark of a Criminal Record. </w:t>
      </w:r>
      <w:r w:rsidRPr="00154379">
        <w:rPr>
          <w:i/>
          <w:iCs/>
        </w:rPr>
        <w:t>University of Chicago Press Journals </w:t>
      </w:r>
      <w:r w:rsidRPr="00154379">
        <w:rPr>
          <w:shd w:val="clear" w:color="auto" w:fill="FFFFFF"/>
        </w:rPr>
        <w:t>, 108(5), pp.937–975. Available at: http://www.jstor.org/stable/pdf/10.1086/374403.pdf?refreqid=excelsior:fbf26ced1567cfb882 e6d9b3bf9e7723 [April 11, 2018]. [Accessed August 2, 2019].</w:t>
      </w:r>
    </w:p>
    <w:p w14:paraId="54A97063" w14:textId="559CABD5" w:rsidR="00154379" w:rsidRPr="00916D83" w:rsidRDefault="00154379" w:rsidP="00916D83">
      <w:r w:rsidRPr="00154379">
        <w:rPr>
          <w:rFonts w:cs="Arial"/>
          <w:shd w:val="clear" w:color="auto" w:fill="FFFFFF"/>
        </w:rPr>
        <w:lastRenderedPageBreak/>
        <w:t>Perreault (2009). </w:t>
      </w:r>
      <w:r w:rsidRPr="00154379">
        <w:rPr>
          <w:rFonts w:cs="Arial"/>
          <w:i/>
          <w:iCs/>
          <w:shd w:val="clear" w:color="auto" w:fill="FFFFFF"/>
        </w:rPr>
        <w:t>The Incarceration of Aboriginal People in Adult Correctional Services</w:t>
      </w:r>
      <w:r w:rsidRPr="00154379">
        <w:rPr>
          <w:rFonts w:cs="Arial"/>
          <w:shd w:val="clear" w:color="auto" w:fill="FFFFFF"/>
        </w:rPr>
        <w:t>. [online] Www150.statcan.gc.ca. Available at: https://www150.statcan.gc.ca/n1/pub/85-002-x/2009003/article/10903-eng.htm [Accessed 2 Aug. 2019].</w:t>
      </w:r>
    </w:p>
    <w:p w14:paraId="1A43ED4D" w14:textId="7678EA36" w:rsidR="00154379" w:rsidRPr="00916D83" w:rsidRDefault="00154379" w:rsidP="00916D83">
      <w:pPr>
        <w:rPr>
          <w:shd w:val="clear" w:color="auto" w:fill="FFFFFF"/>
        </w:rPr>
      </w:pPr>
      <w:r w:rsidRPr="00154379">
        <w:rPr>
          <w:shd w:val="clear" w:color="auto" w:fill="FFFFFF"/>
        </w:rPr>
        <w:t>Perrin, B. &amp; Audas, R., 2018. </w:t>
      </w:r>
      <w:r w:rsidRPr="00154379">
        <w:rPr>
          <w:i/>
          <w:iCs/>
        </w:rPr>
        <w:t>Report Card on the Criminal Justice System #2</w:t>
      </w:r>
      <w:r w:rsidRPr="00154379">
        <w:rPr>
          <w:shd w:val="clear" w:color="auto" w:fill="FFFFFF"/>
        </w:rPr>
        <w:t>, Macdonald-Laurier Institute. Available at: https://macdonaldlaurier.ca/files/pdf/MLI_JusticeReportCard_Final_web2.pdf [Accessed August 2, 2019].</w:t>
      </w:r>
    </w:p>
    <w:p w14:paraId="39E998D0" w14:textId="430997EE" w:rsidR="00154379" w:rsidRPr="00154379" w:rsidRDefault="00154379" w:rsidP="00916D83">
      <w:pPr>
        <w:rPr>
          <w:rFonts w:cs="Arial"/>
          <w:shd w:val="clear" w:color="auto" w:fill="FFFFFF"/>
        </w:rPr>
      </w:pPr>
      <w:r w:rsidRPr="00154379">
        <w:rPr>
          <w:rFonts w:cs="Arial"/>
          <w:shd w:val="clear" w:color="auto" w:fill="FFFFFF"/>
        </w:rPr>
        <w:t>Public Safety Canada Portfolio Corrections Statistics Committee (2018). </w:t>
      </w:r>
      <w:r w:rsidRPr="00154379">
        <w:rPr>
          <w:rFonts w:cs="Arial"/>
          <w:i/>
          <w:iCs/>
          <w:shd w:val="clear" w:color="auto" w:fill="FFFFFF"/>
        </w:rPr>
        <w:t>Corrections and Conditional Release Statistical Overview</w:t>
      </w:r>
      <w:r w:rsidRPr="00154379">
        <w:rPr>
          <w:rFonts w:cs="Arial"/>
          <w:shd w:val="clear" w:color="auto" w:fill="FFFFFF"/>
        </w:rPr>
        <w:t>. Public Safety Canada Portfolio Corrections Statistics Committee, pp.1-150.</w:t>
      </w:r>
    </w:p>
    <w:p w14:paraId="62166AD6" w14:textId="17BDFFAC" w:rsidR="00154379" w:rsidRPr="00916D83" w:rsidRDefault="00154379" w:rsidP="00916D83">
      <w:pPr>
        <w:rPr>
          <w:shd w:val="clear" w:color="auto" w:fill="FFFFFF"/>
        </w:rPr>
      </w:pPr>
      <w:r w:rsidRPr="00154379">
        <w:rPr>
          <w:shd w:val="clear" w:color="auto" w:fill="FFFFFF"/>
        </w:rPr>
        <w:t>Roebuck, B., 2008. </w:t>
      </w:r>
      <w:r w:rsidRPr="00154379">
        <w:rPr>
          <w:i/>
          <w:iCs/>
        </w:rPr>
        <w:t>Homelessness, Victimization and Crime: Knowledge and Actionable Recommendations</w:t>
      </w:r>
      <w:r w:rsidRPr="00154379">
        <w:rPr>
          <w:shd w:val="clear" w:color="auto" w:fill="FFFFFF"/>
        </w:rPr>
        <w:t>, University of Ottawa. Available at: https://www.publicsafety.gc.ca/lbrr/archives/cnmcs-plcng/cn35305-eng.pdf [Accessed August 2, 2019].</w:t>
      </w:r>
    </w:p>
    <w:p w14:paraId="13EADFD1" w14:textId="6F062C3E" w:rsidR="00154379" w:rsidRPr="00154379" w:rsidRDefault="00154379" w:rsidP="00916D83">
      <w:pPr>
        <w:rPr>
          <w:shd w:val="clear" w:color="auto" w:fill="FFFFFF"/>
        </w:rPr>
      </w:pPr>
      <w:r w:rsidRPr="00154379">
        <w:rPr>
          <w:shd w:val="clear" w:color="auto" w:fill="FFFFFF"/>
        </w:rPr>
        <w:t>Savage, L., 2019. </w:t>
      </w:r>
      <w:r w:rsidRPr="00154379">
        <w:rPr>
          <w:i/>
          <w:iCs/>
        </w:rPr>
        <w:t>Female Offenders in Canada, 2017</w:t>
      </w:r>
      <w:r w:rsidRPr="00154379">
        <w:rPr>
          <w:shd w:val="clear" w:color="auto" w:fill="FFFFFF"/>
        </w:rPr>
        <w:t>, Statistics Canada . Available at: https://www150.statcan.gc.ca/n1/en/pub/85-002-x/2019001/article/00001-eng.pdf?st=gUCToFmC [Accessed August 2, 2019].</w:t>
      </w:r>
    </w:p>
    <w:p w14:paraId="54D24B1F" w14:textId="5ADC40A8" w:rsidR="00154379" w:rsidRPr="00916D83" w:rsidRDefault="00154379" w:rsidP="00916D83">
      <w:pPr>
        <w:rPr>
          <w:shd w:val="clear" w:color="auto" w:fill="FFFFFF"/>
        </w:rPr>
      </w:pPr>
      <w:r w:rsidRPr="00154379">
        <w:rPr>
          <w:shd w:val="clear" w:color="auto" w:fill="FFFFFF"/>
        </w:rPr>
        <w:t>Singh, D., Prowse, S. &amp; Anderson, M., 2019. Overincarceration of Indigenous people: a health crisis. </w:t>
      </w:r>
      <w:r w:rsidRPr="00154379">
        <w:rPr>
          <w:i/>
          <w:iCs/>
        </w:rPr>
        <w:t>Canadian Medical Association Journal</w:t>
      </w:r>
      <w:r w:rsidRPr="00154379">
        <w:rPr>
          <w:shd w:val="clear" w:color="auto" w:fill="FFFFFF"/>
        </w:rPr>
        <w:t>, 191(18), pp.E487–E488.</w:t>
      </w:r>
    </w:p>
    <w:p w14:paraId="6D661F9A" w14:textId="5198250D" w:rsidR="00FC6089" w:rsidRPr="00154379" w:rsidRDefault="00FC6089" w:rsidP="00916D83">
      <w:pPr>
        <w:rPr>
          <w:rFonts w:cs="Arial"/>
          <w:shd w:val="clear" w:color="auto" w:fill="FFFFFF"/>
        </w:rPr>
      </w:pPr>
      <w:r w:rsidRPr="00154379">
        <w:rPr>
          <w:rFonts w:cs="Arial"/>
          <w:shd w:val="clear" w:color="auto" w:fill="FFFFFF"/>
        </w:rPr>
        <w:t>Statistics Canada (2013). </w:t>
      </w:r>
      <w:r w:rsidRPr="00154379">
        <w:rPr>
          <w:rFonts w:cs="Arial"/>
          <w:i/>
          <w:iCs/>
          <w:shd w:val="clear" w:color="auto" w:fill="FFFFFF"/>
        </w:rPr>
        <w:t>National Household Survey (NHS) Aboriginal Population Profile</w:t>
      </w:r>
      <w:r w:rsidRPr="00154379">
        <w:rPr>
          <w:rFonts w:cs="Arial"/>
          <w:shd w:val="clear" w:color="auto" w:fill="FFFFFF"/>
        </w:rPr>
        <w:t xml:space="preserve">. [online] Available at: https://www12.statcan.gc.ca/nhs-enm/2011/dp-pd/aprof/details/page.cfm?Lang=E&amp;Geo1=CSD&amp;Code1=4806016&amp;Data=Count&amp;SearchText=Calgary&amp;SearchType=Begins&amp;SearchPR=01&amp;A1=All&amp;B1=All&amp;GeoLevel=PR&amp;GeoCode=4806016&amp;TABID=1 [Accessed 2 Aug. 2019]. </w:t>
      </w:r>
    </w:p>
    <w:p w14:paraId="285089D0" w14:textId="0E4E9E76" w:rsidR="00B82DF0" w:rsidRPr="00154379" w:rsidRDefault="008508FB" w:rsidP="00916D83">
      <w:pPr>
        <w:rPr>
          <w:rFonts w:cs="Arial"/>
          <w:shd w:val="clear" w:color="auto" w:fill="FFFFFF"/>
        </w:rPr>
      </w:pPr>
      <w:r w:rsidRPr="00154379">
        <w:rPr>
          <w:rFonts w:cs="Arial"/>
          <w:shd w:val="clear" w:color="auto" w:fill="FFFFFF"/>
        </w:rPr>
        <w:t>Statistics Canada (2016). </w:t>
      </w:r>
      <w:r w:rsidRPr="00154379">
        <w:rPr>
          <w:rFonts w:cs="Arial"/>
          <w:i/>
          <w:iCs/>
          <w:shd w:val="clear" w:color="auto" w:fill="FFFFFF"/>
        </w:rPr>
        <w:t>Aboriginal Peoples: Fact Sheet for Alberta</w:t>
      </w:r>
      <w:r w:rsidRPr="00154379">
        <w:rPr>
          <w:rFonts w:cs="Arial"/>
          <w:shd w:val="clear" w:color="auto" w:fill="FFFFFF"/>
        </w:rPr>
        <w:t>. Aboriginal Statistics Program, pp.1-8.</w:t>
      </w:r>
    </w:p>
    <w:p w14:paraId="7921C531" w14:textId="7D20F131" w:rsidR="00154379" w:rsidRPr="00154379" w:rsidRDefault="00154379" w:rsidP="00916D83">
      <w:r w:rsidRPr="00154379">
        <w:rPr>
          <w:shd w:val="clear" w:color="auto" w:fill="FFFFFF"/>
        </w:rPr>
        <w:t>Statistics Canada, 2016. </w:t>
      </w:r>
      <w:r w:rsidRPr="00154379">
        <w:rPr>
          <w:i/>
          <w:iCs/>
        </w:rPr>
        <w:t xml:space="preserve">Aboriginal Peoples in Canada: </w:t>
      </w:r>
      <w:r w:rsidRPr="00154379">
        <w:rPr>
          <w:i/>
          <w:iCs/>
        </w:rPr>
        <w:t>First</w:t>
      </w:r>
      <w:r w:rsidRPr="00154379">
        <w:rPr>
          <w:i/>
          <w:iCs/>
        </w:rPr>
        <w:t xml:space="preserve"> Nations People, Metis, and Inuit</w:t>
      </w:r>
      <w:r w:rsidRPr="00154379">
        <w:rPr>
          <w:shd w:val="clear" w:color="auto" w:fill="FFFFFF"/>
        </w:rPr>
        <w:t>, Statistics Canada . Available at: https://www12.statcan.gc.ca/nhs-enm/2011/as-sa/99-011-x/99-011-x2011001-eng.pdf [Accessed August 2, 2019].</w:t>
      </w:r>
    </w:p>
    <w:p w14:paraId="7F84ACCD" w14:textId="08866EAD" w:rsidR="0081339A" w:rsidRPr="00154379" w:rsidRDefault="0081339A" w:rsidP="00916D83">
      <w:pPr>
        <w:rPr>
          <w:rFonts w:cs="Arial"/>
          <w:shd w:val="clear" w:color="auto" w:fill="FFFFFF"/>
        </w:rPr>
      </w:pPr>
      <w:r w:rsidRPr="00154379">
        <w:rPr>
          <w:rFonts w:cs="Arial"/>
          <w:shd w:val="clear" w:color="auto" w:fill="FFFFFF"/>
        </w:rPr>
        <w:t>Statistics Canada (2017). </w:t>
      </w:r>
      <w:r w:rsidRPr="00154379">
        <w:rPr>
          <w:rFonts w:cs="Arial"/>
          <w:i/>
          <w:iCs/>
          <w:shd w:val="clear" w:color="auto" w:fill="FFFFFF"/>
        </w:rPr>
        <w:t>2016 Census of Population</w:t>
      </w:r>
      <w:r w:rsidRPr="00154379">
        <w:rPr>
          <w:rFonts w:cs="Arial"/>
          <w:shd w:val="clear" w:color="auto" w:fill="FFFFFF"/>
        </w:rPr>
        <w:t>. Statistics Canada</w:t>
      </w:r>
    </w:p>
    <w:p w14:paraId="76EFE4F8" w14:textId="41163D85" w:rsidR="00ED408E" w:rsidRPr="00154379" w:rsidRDefault="005312F2" w:rsidP="00916D83">
      <w:r w:rsidRPr="00154379">
        <w:rPr>
          <w:rFonts w:cs="Arial"/>
          <w:shd w:val="clear" w:color="auto" w:fill="FFFFFF"/>
        </w:rPr>
        <w:t>Statistics Canada (2017). </w:t>
      </w:r>
      <w:r w:rsidRPr="00154379">
        <w:rPr>
          <w:rFonts w:cs="Arial"/>
          <w:i/>
          <w:iCs/>
          <w:shd w:val="clear" w:color="auto" w:fill="FFFFFF"/>
        </w:rPr>
        <w:t>Focus on Geography Series, 2016 Census</w:t>
      </w:r>
      <w:r w:rsidRPr="00154379">
        <w:rPr>
          <w:rFonts w:cs="Arial"/>
          <w:shd w:val="clear" w:color="auto" w:fill="FFFFFF"/>
        </w:rPr>
        <w:t>. Statistics Canada.</w:t>
      </w:r>
      <w:r w:rsidRPr="00154379">
        <w:t xml:space="preserve"> </w:t>
      </w:r>
    </w:p>
    <w:p w14:paraId="0D42EE50" w14:textId="01D2B570" w:rsidR="00154379" w:rsidRPr="00154379" w:rsidRDefault="00154379" w:rsidP="00916D83">
      <w:pPr>
        <w:rPr>
          <w:rFonts w:cs="Arial"/>
          <w:shd w:val="clear" w:color="auto" w:fill="FFFFFF"/>
        </w:rPr>
      </w:pPr>
      <w:r w:rsidRPr="00154379">
        <w:rPr>
          <w:rFonts w:cs="Arial"/>
          <w:shd w:val="clear" w:color="auto" w:fill="FFFFFF"/>
        </w:rPr>
        <w:t>Statistics Canada (2017). </w:t>
      </w:r>
      <w:r w:rsidRPr="00154379">
        <w:rPr>
          <w:rFonts w:cs="Arial"/>
          <w:i/>
          <w:iCs/>
          <w:shd w:val="clear" w:color="auto" w:fill="FFFFFF"/>
        </w:rPr>
        <w:t>Women and the Criminal Justice System</w:t>
      </w:r>
      <w:r w:rsidRPr="00154379">
        <w:rPr>
          <w:rFonts w:cs="Arial"/>
          <w:shd w:val="clear" w:color="auto" w:fill="FFFFFF"/>
        </w:rPr>
        <w:t>. Statistics Canada, pp.1-42</w:t>
      </w:r>
    </w:p>
    <w:p w14:paraId="6C3002B7" w14:textId="414C77B1" w:rsidR="00ED408E" w:rsidRPr="00154379" w:rsidRDefault="0003251E" w:rsidP="00916D83">
      <w:pPr>
        <w:rPr>
          <w:rStyle w:val="Hyperlink"/>
          <w:color w:val="auto"/>
        </w:rPr>
      </w:pPr>
      <w:r w:rsidRPr="00154379">
        <w:rPr>
          <w:rFonts w:cs="Arial"/>
          <w:shd w:val="clear" w:color="auto" w:fill="FFFFFF"/>
        </w:rPr>
        <w:t>Statistics Canada (2018). </w:t>
      </w:r>
      <w:r w:rsidRPr="00154379">
        <w:rPr>
          <w:rFonts w:cs="Arial"/>
          <w:i/>
          <w:iCs/>
          <w:shd w:val="clear" w:color="auto" w:fill="FFFFFF"/>
        </w:rPr>
        <w:t>Family Violence in Canada: A Statistical Profile</w:t>
      </w:r>
      <w:r w:rsidRPr="00154379">
        <w:rPr>
          <w:rFonts w:cs="Arial"/>
          <w:shd w:val="clear" w:color="auto" w:fill="FFFFFF"/>
        </w:rPr>
        <w:t>. Statistics Canada, pp.1-96.</w:t>
      </w:r>
    </w:p>
    <w:p w14:paraId="21D5967E" w14:textId="4EA949DE" w:rsidR="00154379" w:rsidRPr="00916D83" w:rsidRDefault="003E0703" w:rsidP="00916D83">
      <w:pPr>
        <w:rPr>
          <w:rFonts w:cs="Arial"/>
          <w:shd w:val="clear" w:color="auto" w:fill="FFFFFF"/>
        </w:rPr>
      </w:pPr>
      <w:r w:rsidRPr="00154379">
        <w:rPr>
          <w:rFonts w:cs="Arial"/>
          <w:shd w:val="clear" w:color="auto" w:fill="FFFFFF"/>
        </w:rPr>
        <w:t>Statistics Canada (2019). </w:t>
      </w:r>
      <w:r w:rsidRPr="00154379">
        <w:rPr>
          <w:rFonts w:cs="Arial"/>
          <w:i/>
          <w:iCs/>
          <w:shd w:val="clear" w:color="auto" w:fill="FFFFFF"/>
        </w:rPr>
        <w:t>Adult and Youth Correctional Statistics in Canada 2017/2018</w:t>
      </w:r>
      <w:r w:rsidRPr="00154379">
        <w:rPr>
          <w:rFonts w:cs="Arial"/>
          <w:shd w:val="clear" w:color="auto" w:fill="FFFFFF"/>
        </w:rPr>
        <w:t>. Statistics Canada, pp.1-26.</w:t>
      </w:r>
    </w:p>
    <w:p w14:paraId="19FB1C9E" w14:textId="77777777" w:rsidR="00154379" w:rsidRPr="00154379" w:rsidRDefault="00154379" w:rsidP="00916D83">
      <w:pPr>
        <w:rPr>
          <w:rFonts w:cs="Arial"/>
          <w:shd w:val="clear" w:color="auto" w:fill="FFFFFF"/>
        </w:rPr>
      </w:pPr>
      <w:r w:rsidRPr="00154379">
        <w:rPr>
          <w:shd w:val="clear" w:color="auto" w:fill="FFFFFF"/>
        </w:rPr>
        <w:t>Statistics Canada, </w:t>
      </w:r>
      <w:r w:rsidRPr="00154379">
        <w:rPr>
          <w:i/>
          <w:iCs/>
        </w:rPr>
        <w:t>Market Basket Measure (MBM) thresholds for economic families and persons not in economic families, 2015</w:t>
      </w:r>
      <w:r w:rsidRPr="00154379">
        <w:rPr>
          <w:shd w:val="clear" w:color="auto" w:fill="FFFFFF"/>
        </w:rPr>
        <w:t>, Statistics Canada.</w:t>
      </w:r>
    </w:p>
    <w:p w14:paraId="79C829E6" w14:textId="5C642E9D" w:rsidR="00752DC6" w:rsidRPr="00A076C8" w:rsidRDefault="00752DC6" w:rsidP="00154379">
      <w:pPr>
        <w:spacing w:after="0" w:line="360" w:lineRule="auto"/>
        <w:rPr>
          <w:color w:val="333333"/>
          <w:shd w:val="clear" w:color="auto" w:fill="FFFFFF"/>
        </w:rPr>
      </w:pPr>
    </w:p>
    <w:p w14:paraId="1F419766" w14:textId="3259E5FE" w:rsidR="00F0445D" w:rsidRPr="00A076C8" w:rsidRDefault="00F0445D" w:rsidP="00154379">
      <w:pPr>
        <w:spacing w:after="0" w:line="360" w:lineRule="auto"/>
        <w:rPr>
          <w:color w:val="333333"/>
          <w:shd w:val="clear" w:color="auto" w:fill="FFFFFF"/>
        </w:rPr>
      </w:pPr>
    </w:p>
    <w:p w14:paraId="4EDB27B8" w14:textId="0528D88B" w:rsidR="00752DC6" w:rsidRPr="00A076C8" w:rsidRDefault="00752DC6" w:rsidP="00154379">
      <w:pPr>
        <w:spacing w:after="0" w:line="360" w:lineRule="auto"/>
        <w:rPr>
          <w:color w:val="333333"/>
          <w:shd w:val="clear" w:color="auto" w:fill="FFFFFF"/>
        </w:rPr>
      </w:pPr>
    </w:p>
    <w:p w14:paraId="617186D3" w14:textId="77777777" w:rsidR="00620910" w:rsidRDefault="00620910" w:rsidP="002871B8">
      <w:pPr>
        <w:rPr>
          <w:color w:val="FF0000"/>
        </w:rPr>
      </w:pPr>
    </w:p>
    <w:p w14:paraId="611DD306" w14:textId="20D35AE4" w:rsidR="00A11088" w:rsidRDefault="00A11088" w:rsidP="00CF5FD1">
      <w:pPr>
        <w:pStyle w:val="Heading1"/>
      </w:pPr>
      <w:bookmarkStart w:id="75" w:name="_Toc16262385"/>
      <w:r>
        <w:lastRenderedPageBreak/>
        <w:t>Appendix</w:t>
      </w:r>
      <w:bookmarkEnd w:id="75"/>
      <w:r>
        <w:t xml:space="preserve"> </w:t>
      </w:r>
    </w:p>
    <w:p w14:paraId="4D39F705" w14:textId="273F5B8E" w:rsidR="00D549ED" w:rsidRPr="000A70C6" w:rsidRDefault="006068C0" w:rsidP="000A70C6">
      <w:pPr>
        <w:pStyle w:val="Heading2"/>
      </w:pPr>
      <w:bookmarkStart w:id="76" w:name="_Toc16262386"/>
      <w:r>
        <w:t>Market Basket Measure (MBM) Thresholds for Economic Families and Persons not in Economic Families, 2015</w:t>
      </w:r>
      <w:bookmarkEnd w:id="76"/>
      <w:r w:rsidR="00D549ED" w:rsidRPr="000A70C6">
        <w:t xml:space="preserve"> </w:t>
      </w:r>
    </w:p>
    <w:tbl>
      <w:tblPr>
        <w:tblStyle w:val="GridTable4-Accent31"/>
        <w:tblW w:w="10795" w:type="dxa"/>
        <w:tblLook w:val="04A0" w:firstRow="1" w:lastRow="0" w:firstColumn="1" w:lastColumn="0" w:noHBand="0" w:noVBand="1"/>
      </w:tblPr>
      <w:tblGrid>
        <w:gridCol w:w="1798"/>
        <w:gridCol w:w="1798"/>
        <w:gridCol w:w="1798"/>
        <w:gridCol w:w="1798"/>
        <w:gridCol w:w="1799"/>
        <w:gridCol w:w="1804"/>
      </w:tblGrid>
      <w:tr w:rsidR="000A70C6" w14:paraId="3EC791F6" w14:textId="77777777" w:rsidTr="00347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vMerge w:val="restart"/>
          </w:tcPr>
          <w:p w14:paraId="62322AA3" w14:textId="77777777" w:rsidR="000A70C6" w:rsidRDefault="000A70C6" w:rsidP="00B024DB">
            <w:pPr>
              <w:jc w:val="center"/>
              <w:rPr>
                <w:lang w:eastAsia="en-CA"/>
              </w:rPr>
            </w:pPr>
          </w:p>
        </w:tc>
        <w:tc>
          <w:tcPr>
            <w:tcW w:w="8997" w:type="dxa"/>
            <w:gridSpan w:val="5"/>
          </w:tcPr>
          <w:p w14:paraId="7E027175" w14:textId="42493363" w:rsidR="000A70C6" w:rsidRDefault="000A70C6" w:rsidP="00B024DB">
            <w:pPr>
              <w:jc w:val="center"/>
              <w:cnfStyle w:val="100000000000" w:firstRow="1" w:lastRow="0" w:firstColumn="0" w:lastColumn="0" w:oddVBand="0" w:evenVBand="0" w:oddHBand="0" w:evenHBand="0" w:firstRowFirstColumn="0" w:firstRowLastColumn="0" w:lastRowFirstColumn="0" w:lastRowLastColumn="0"/>
              <w:rPr>
                <w:lang w:eastAsia="en-CA"/>
              </w:rPr>
            </w:pPr>
            <w:r>
              <w:rPr>
                <w:lang w:eastAsia="en-CA"/>
              </w:rPr>
              <w:t>Economic Families</w:t>
            </w:r>
          </w:p>
        </w:tc>
      </w:tr>
      <w:tr w:rsidR="000A70C6" w14:paraId="410A2A20" w14:textId="77777777" w:rsidTr="00347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vMerge/>
          </w:tcPr>
          <w:p w14:paraId="093758F8" w14:textId="77777777" w:rsidR="000A70C6" w:rsidRDefault="000A70C6" w:rsidP="00B024DB">
            <w:pPr>
              <w:jc w:val="center"/>
              <w:rPr>
                <w:lang w:eastAsia="en-CA"/>
              </w:rPr>
            </w:pPr>
          </w:p>
        </w:tc>
        <w:tc>
          <w:tcPr>
            <w:tcW w:w="1798" w:type="dxa"/>
            <w:shd w:val="clear" w:color="auto" w:fill="D9D9D9" w:themeFill="background1" w:themeFillShade="D9"/>
          </w:tcPr>
          <w:p w14:paraId="2B5CEA54" w14:textId="7D776A15" w:rsidR="000A70C6" w:rsidRDefault="000A70C6" w:rsidP="00B024DB">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1 Person</w:t>
            </w:r>
          </w:p>
        </w:tc>
        <w:tc>
          <w:tcPr>
            <w:tcW w:w="1798" w:type="dxa"/>
            <w:shd w:val="clear" w:color="auto" w:fill="D9D9D9" w:themeFill="background1" w:themeFillShade="D9"/>
          </w:tcPr>
          <w:p w14:paraId="26964FE4" w14:textId="7E333B4F" w:rsidR="000A70C6" w:rsidRDefault="000A70C6" w:rsidP="00B024DB">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2 Persons</w:t>
            </w:r>
          </w:p>
        </w:tc>
        <w:tc>
          <w:tcPr>
            <w:tcW w:w="1798" w:type="dxa"/>
            <w:shd w:val="clear" w:color="auto" w:fill="D9D9D9" w:themeFill="background1" w:themeFillShade="D9"/>
          </w:tcPr>
          <w:p w14:paraId="6F839A38" w14:textId="3A409A91" w:rsidR="000A70C6" w:rsidRDefault="000A70C6" w:rsidP="00B024DB">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3 Persons</w:t>
            </w:r>
          </w:p>
        </w:tc>
        <w:tc>
          <w:tcPr>
            <w:tcW w:w="1799" w:type="dxa"/>
            <w:shd w:val="clear" w:color="auto" w:fill="D9D9D9" w:themeFill="background1" w:themeFillShade="D9"/>
          </w:tcPr>
          <w:p w14:paraId="26C03F9F" w14:textId="2902D4D1" w:rsidR="000A70C6" w:rsidRDefault="000A70C6" w:rsidP="00B024DB">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4 Persons</w:t>
            </w:r>
          </w:p>
        </w:tc>
        <w:tc>
          <w:tcPr>
            <w:tcW w:w="1804" w:type="dxa"/>
            <w:shd w:val="clear" w:color="auto" w:fill="D9D9D9" w:themeFill="background1" w:themeFillShade="D9"/>
          </w:tcPr>
          <w:p w14:paraId="3855722E" w14:textId="23546FB7" w:rsidR="000A70C6" w:rsidRDefault="000A70C6" w:rsidP="00B024DB">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5 Persons</w:t>
            </w:r>
          </w:p>
        </w:tc>
      </w:tr>
      <w:tr w:rsidR="00D549ED" w14:paraId="595E838F" w14:textId="77777777" w:rsidTr="0034731A">
        <w:tc>
          <w:tcPr>
            <w:cnfStyle w:val="001000000000" w:firstRow="0" w:lastRow="0" w:firstColumn="1" w:lastColumn="0" w:oddVBand="0" w:evenVBand="0" w:oddHBand="0" w:evenHBand="0" w:firstRowFirstColumn="0" w:firstRowLastColumn="0" w:lastRowFirstColumn="0" w:lastRowLastColumn="0"/>
            <w:tcW w:w="1798" w:type="dxa"/>
          </w:tcPr>
          <w:p w14:paraId="3DFED82E" w14:textId="74C132A6" w:rsidR="00D549ED" w:rsidRDefault="00D549ED" w:rsidP="00B024DB">
            <w:pPr>
              <w:jc w:val="center"/>
              <w:rPr>
                <w:lang w:eastAsia="en-CA"/>
              </w:rPr>
            </w:pPr>
            <w:r>
              <w:rPr>
                <w:lang w:eastAsia="en-CA"/>
              </w:rPr>
              <w:t>Calgary MBM</w:t>
            </w:r>
            <w:r w:rsidR="000A70C6">
              <w:rPr>
                <w:lang w:eastAsia="en-CA"/>
              </w:rPr>
              <w:t xml:space="preserve"> Value</w:t>
            </w:r>
          </w:p>
        </w:tc>
        <w:tc>
          <w:tcPr>
            <w:tcW w:w="1798" w:type="dxa"/>
          </w:tcPr>
          <w:p w14:paraId="74B82C48" w14:textId="45BE8238" w:rsidR="00D549ED" w:rsidRDefault="000A70C6" w:rsidP="00B024DB">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$20,300</w:t>
            </w:r>
          </w:p>
        </w:tc>
        <w:tc>
          <w:tcPr>
            <w:tcW w:w="1798" w:type="dxa"/>
          </w:tcPr>
          <w:p w14:paraId="5887C29C" w14:textId="375E527F" w:rsidR="00D549ED" w:rsidRDefault="000A70C6" w:rsidP="00B024DB">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$28,708</w:t>
            </w:r>
          </w:p>
        </w:tc>
        <w:tc>
          <w:tcPr>
            <w:tcW w:w="1798" w:type="dxa"/>
          </w:tcPr>
          <w:p w14:paraId="6B41CFA2" w14:textId="02449FF2" w:rsidR="00D549ED" w:rsidRDefault="000A70C6" w:rsidP="00B024DB">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$35,160</w:t>
            </w:r>
          </w:p>
        </w:tc>
        <w:tc>
          <w:tcPr>
            <w:tcW w:w="1799" w:type="dxa"/>
          </w:tcPr>
          <w:p w14:paraId="56C76872" w14:textId="32C2A1F5" w:rsidR="00D549ED" w:rsidRDefault="000A70C6" w:rsidP="00B024DB">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$40,599</w:t>
            </w:r>
          </w:p>
        </w:tc>
        <w:tc>
          <w:tcPr>
            <w:tcW w:w="1804" w:type="dxa"/>
          </w:tcPr>
          <w:p w14:paraId="3AFEBB26" w14:textId="0EF5EE33" w:rsidR="00D549ED" w:rsidRDefault="000A70C6" w:rsidP="00B024DB">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$45,391</w:t>
            </w:r>
          </w:p>
        </w:tc>
      </w:tr>
      <w:tr w:rsidR="00127F92" w14:paraId="5AEE3D13" w14:textId="77777777" w:rsidTr="00347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3FEC4A08" w14:textId="033E0317" w:rsidR="00127F92" w:rsidRDefault="00127F92" w:rsidP="00127F92">
            <w:pPr>
              <w:jc w:val="center"/>
              <w:rPr>
                <w:lang w:eastAsia="en-CA"/>
              </w:rPr>
            </w:pPr>
            <w:r>
              <w:rPr>
                <w:lang w:eastAsia="en-CA"/>
              </w:rPr>
              <w:t>Rural Alberta MBM Value</w:t>
            </w:r>
          </w:p>
        </w:tc>
        <w:tc>
          <w:tcPr>
            <w:tcW w:w="1798" w:type="dxa"/>
          </w:tcPr>
          <w:p w14:paraId="66E0F1AB" w14:textId="4187145F" w:rsidR="00127F92" w:rsidRDefault="00127F92" w:rsidP="00127F92">
            <w:pPr>
              <w:jc w:val="center"/>
              <w:cnfStyle w:val="000000100000" w:firstRow="0" w:lastRow="0" w:firstColumn="0" w:lastColumn="0" w:oddVBand="0" w:evenVBand="0" w:oddHBand="1" w:evenHBand="0" w:firstRowFirstColumn="0" w:firstRowLastColumn="0" w:lastRowFirstColumn="0" w:lastRowLastColumn="0"/>
              <w:rPr>
                <w:lang w:eastAsia="en-CA"/>
              </w:rPr>
            </w:pPr>
            <w:r>
              <w:rPr>
                <w:rFonts w:ascii="Arial" w:hAnsi="Arial" w:cs="Arial"/>
                <w:color w:val="000000"/>
              </w:rPr>
              <w:t>$19,668</w:t>
            </w:r>
          </w:p>
        </w:tc>
        <w:tc>
          <w:tcPr>
            <w:tcW w:w="1798" w:type="dxa"/>
          </w:tcPr>
          <w:p w14:paraId="5EA40FCD" w14:textId="01881F59" w:rsidR="00127F92" w:rsidRDefault="00127F92" w:rsidP="00127F92">
            <w:pPr>
              <w:jc w:val="center"/>
              <w:cnfStyle w:val="000000100000" w:firstRow="0" w:lastRow="0" w:firstColumn="0" w:lastColumn="0" w:oddVBand="0" w:evenVBand="0" w:oddHBand="1" w:evenHBand="0" w:firstRowFirstColumn="0" w:firstRowLastColumn="0" w:lastRowFirstColumn="0" w:lastRowLastColumn="0"/>
              <w:rPr>
                <w:lang w:eastAsia="en-CA"/>
              </w:rPr>
            </w:pPr>
            <w:r>
              <w:rPr>
                <w:rFonts w:ascii="Arial" w:hAnsi="Arial" w:cs="Arial"/>
                <w:color w:val="000000"/>
              </w:rPr>
              <w:t>$27,814</w:t>
            </w:r>
          </w:p>
        </w:tc>
        <w:tc>
          <w:tcPr>
            <w:tcW w:w="1798" w:type="dxa"/>
          </w:tcPr>
          <w:p w14:paraId="56FF0DC7" w14:textId="5E274D2E" w:rsidR="00127F92" w:rsidRDefault="00127F92" w:rsidP="00127F92">
            <w:pPr>
              <w:jc w:val="center"/>
              <w:cnfStyle w:val="000000100000" w:firstRow="0" w:lastRow="0" w:firstColumn="0" w:lastColumn="0" w:oddVBand="0" w:evenVBand="0" w:oddHBand="1" w:evenHBand="0" w:firstRowFirstColumn="0" w:firstRowLastColumn="0" w:lastRowFirstColumn="0" w:lastRowLastColumn="0"/>
              <w:rPr>
                <w:lang w:eastAsia="en-CA"/>
              </w:rPr>
            </w:pPr>
            <w:r>
              <w:rPr>
                <w:rFonts w:ascii="Arial" w:hAnsi="Arial" w:cs="Arial"/>
                <w:color w:val="000000"/>
              </w:rPr>
              <w:t>$34,065</w:t>
            </w:r>
          </w:p>
        </w:tc>
        <w:tc>
          <w:tcPr>
            <w:tcW w:w="1799" w:type="dxa"/>
          </w:tcPr>
          <w:p w14:paraId="11C07120" w14:textId="24C8D23A" w:rsidR="00127F92" w:rsidRDefault="00127F92" w:rsidP="00127F92">
            <w:pPr>
              <w:jc w:val="center"/>
              <w:cnfStyle w:val="000000100000" w:firstRow="0" w:lastRow="0" w:firstColumn="0" w:lastColumn="0" w:oddVBand="0" w:evenVBand="0" w:oddHBand="1" w:evenHBand="0" w:firstRowFirstColumn="0" w:firstRowLastColumn="0" w:lastRowFirstColumn="0" w:lastRowLastColumn="0"/>
              <w:rPr>
                <w:lang w:eastAsia="en-CA"/>
              </w:rPr>
            </w:pPr>
            <w:r>
              <w:rPr>
                <w:rFonts w:ascii="Arial" w:hAnsi="Arial" w:cs="Arial"/>
                <w:color w:val="000000"/>
              </w:rPr>
              <w:t>$39,335</w:t>
            </w:r>
          </w:p>
        </w:tc>
        <w:tc>
          <w:tcPr>
            <w:tcW w:w="1804" w:type="dxa"/>
          </w:tcPr>
          <w:p w14:paraId="1EC08655" w14:textId="4735CB52" w:rsidR="00127F92" w:rsidRDefault="00127F92" w:rsidP="00127F92">
            <w:pPr>
              <w:jc w:val="center"/>
              <w:cnfStyle w:val="000000100000" w:firstRow="0" w:lastRow="0" w:firstColumn="0" w:lastColumn="0" w:oddVBand="0" w:evenVBand="0" w:oddHBand="1" w:evenHBand="0" w:firstRowFirstColumn="0" w:firstRowLastColumn="0" w:lastRowFirstColumn="0" w:lastRowLastColumn="0"/>
              <w:rPr>
                <w:lang w:eastAsia="en-CA"/>
              </w:rPr>
            </w:pPr>
            <w:r>
              <w:rPr>
                <w:rFonts w:ascii="Arial" w:hAnsi="Arial" w:cs="Arial"/>
                <w:color w:val="000000"/>
              </w:rPr>
              <w:t>$43,978</w:t>
            </w:r>
          </w:p>
        </w:tc>
      </w:tr>
    </w:tbl>
    <w:p w14:paraId="4DCE3530" w14:textId="751A0850" w:rsidR="00D549ED" w:rsidRPr="001547F0" w:rsidRDefault="001547F0" w:rsidP="00D549ED">
      <w:pPr>
        <w:rPr>
          <w:lang w:eastAsia="en-CA"/>
        </w:rPr>
      </w:pPr>
      <w:r w:rsidRPr="001547F0">
        <w:rPr>
          <w:lang w:eastAsia="en-CA"/>
        </w:rPr>
        <w:t>(Statistics Canada, 2019)</w:t>
      </w:r>
    </w:p>
    <w:p w14:paraId="280303B3" w14:textId="3F00308C" w:rsidR="00E96785" w:rsidRDefault="00E96785" w:rsidP="00402B8D">
      <w:pPr>
        <w:pStyle w:val="Heading2"/>
        <w:rPr>
          <w:lang w:eastAsia="en-CA"/>
        </w:rPr>
      </w:pPr>
      <w:bookmarkStart w:id="77" w:name="_Toc16262387"/>
      <w:r>
        <w:rPr>
          <w:lang w:eastAsia="en-CA"/>
        </w:rPr>
        <w:t xml:space="preserve">Odds Ratio Formula and </w:t>
      </w:r>
      <w:r w:rsidR="00472C9B">
        <w:rPr>
          <w:lang w:eastAsia="en-CA"/>
        </w:rPr>
        <w:t>Sampl</w:t>
      </w:r>
      <w:r>
        <w:rPr>
          <w:lang w:eastAsia="en-CA"/>
        </w:rPr>
        <w:t>e Calculation</w:t>
      </w:r>
      <w:bookmarkEnd w:id="77"/>
      <w:r>
        <w:rPr>
          <w:lang w:eastAsia="en-CA"/>
        </w:rPr>
        <w:t xml:space="preserve"> </w:t>
      </w:r>
    </w:p>
    <w:tbl>
      <w:tblPr>
        <w:tblStyle w:val="GridTable4-Accent41"/>
        <w:tblpPr w:leftFromText="180" w:rightFromText="180" w:vertAnchor="text" w:horzAnchor="margin" w:tblpY="270"/>
        <w:tblW w:w="0" w:type="auto"/>
        <w:tblLook w:val="04A0" w:firstRow="1" w:lastRow="0" w:firstColumn="1" w:lastColumn="0" w:noHBand="0" w:noVBand="1"/>
      </w:tblPr>
      <w:tblGrid>
        <w:gridCol w:w="2015"/>
        <w:gridCol w:w="2186"/>
        <w:gridCol w:w="2321"/>
        <w:gridCol w:w="2252"/>
      </w:tblGrid>
      <w:tr w:rsidR="009C72D8" w14:paraId="5C16553A" w14:textId="77777777" w:rsidTr="009C7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gridSpan w:val="2"/>
            <w:vMerge w:val="restart"/>
            <w:shd w:val="clear" w:color="auto" w:fill="FFFFFF" w:themeFill="background1"/>
          </w:tcPr>
          <w:p w14:paraId="45EE13FD" w14:textId="77777777" w:rsidR="009C72D8" w:rsidRPr="00F25A1C" w:rsidRDefault="009C72D8" w:rsidP="009C72D8">
            <w:pPr>
              <w:jc w:val="center"/>
              <w:rPr>
                <w:rFonts w:eastAsiaTheme="majorEastAsia"/>
                <w:lang w:eastAsia="en-CA"/>
              </w:rPr>
            </w:pPr>
          </w:p>
        </w:tc>
        <w:tc>
          <w:tcPr>
            <w:tcW w:w="4573" w:type="dxa"/>
            <w:gridSpan w:val="2"/>
          </w:tcPr>
          <w:p w14:paraId="59819AA3" w14:textId="77777777" w:rsidR="009C72D8" w:rsidRDefault="009C72D8" w:rsidP="009C72D8">
            <w:pPr>
              <w:jc w:val="center"/>
              <w:cnfStyle w:val="100000000000" w:firstRow="1" w:lastRow="0" w:firstColumn="0" w:lastColumn="0" w:oddVBand="0" w:evenVBand="0" w:oddHBand="0" w:evenHBand="0" w:firstRowFirstColumn="0" w:firstRowLastColumn="0" w:lastRowFirstColumn="0" w:lastRowLastColumn="0"/>
              <w:rPr>
                <w:rFonts w:eastAsiaTheme="majorEastAsia"/>
                <w:lang w:eastAsia="en-CA"/>
              </w:rPr>
            </w:pPr>
            <w:r>
              <w:rPr>
                <w:rFonts w:eastAsiaTheme="majorEastAsia"/>
                <w:lang w:eastAsia="en-CA"/>
              </w:rPr>
              <w:t>Outcome</w:t>
            </w:r>
          </w:p>
        </w:tc>
      </w:tr>
      <w:tr w:rsidR="009C72D8" w14:paraId="4B1A34D7" w14:textId="77777777" w:rsidTr="009C7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gridSpan w:val="2"/>
            <w:vMerge/>
          </w:tcPr>
          <w:p w14:paraId="5FD06F21" w14:textId="77777777" w:rsidR="009C72D8" w:rsidRPr="00F25A1C" w:rsidRDefault="009C72D8" w:rsidP="009C72D8">
            <w:pPr>
              <w:jc w:val="center"/>
              <w:rPr>
                <w:rFonts w:eastAsiaTheme="majorEastAsia"/>
                <w:lang w:eastAsia="en-CA"/>
              </w:rPr>
            </w:pPr>
          </w:p>
        </w:tc>
        <w:tc>
          <w:tcPr>
            <w:tcW w:w="2321" w:type="dxa"/>
            <w:shd w:val="clear" w:color="auto" w:fill="D9D9D9" w:themeFill="background1" w:themeFillShade="D9"/>
          </w:tcPr>
          <w:p w14:paraId="5A4435C1" w14:textId="77777777" w:rsidR="009C72D8" w:rsidRDefault="009C72D8" w:rsidP="009C72D8">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Affirmative</w:t>
            </w:r>
          </w:p>
          <w:p w14:paraId="05CF151E" w14:textId="77777777" w:rsidR="009C72D8" w:rsidRDefault="009C72D8" w:rsidP="009C72D8">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(e.g. falling below MBM for location and family size)</w:t>
            </w:r>
          </w:p>
        </w:tc>
        <w:tc>
          <w:tcPr>
            <w:tcW w:w="2252" w:type="dxa"/>
            <w:shd w:val="clear" w:color="auto" w:fill="D9D9D9" w:themeFill="background1" w:themeFillShade="D9"/>
          </w:tcPr>
          <w:p w14:paraId="7469D7DE" w14:textId="77777777" w:rsidR="009C72D8" w:rsidRDefault="009C72D8" w:rsidP="009C72D8">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Negative</w:t>
            </w:r>
          </w:p>
          <w:p w14:paraId="1B8B53CA" w14:textId="77777777" w:rsidR="009C72D8" w:rsidRDefault="009C72D8" w:rsidP="009C72D8">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(e.g. falling above MBM for location and family size)</w:t>
            </w:r>
          </w:p>
        </w:tc>
      </w:tr>
      <w:tr w:rsidR="009C72D8" w14:paraId="4752317B" w14:textId="77777777" w:rsidTr="009C72D8">
        <w:tc>
          <w:tcPr>
            <w:cnfStyle w:val="001000000000" w:firstRow="0" w:lastRow="0" w:firstColumn="1" w:lastColumn="0" w:oddVBand="0" w:evenVBand="0" w:oddHBand="0" w:evenHBand="0" w:firstRowFirstColumn="0" w:firstRowLastColumn="0" w:lastRowFirstColumn="0" w:lastRowLastColumn="0"/>
            <w:tcW w:w="2015" w:type="dxa"/>
            <w:vMerge w:val="restart"/>
            <w:shd w:val="clear" w:color="auto" w:fill="336699" w:themeFill="background2"/>
          </w:tcPr>
          <w:p w14:paraId="4769E862" w14:textId="77777777" w:rsidR="009C72D8" w:rsidRPr="00F25A1C" w:rsidRDefault="009C72D8" w:rsidP="009C72D8">
            <w:pPr>
              <w:jc w:val="center"/>
              <w:rPr>
                <w:rFonts w:eastAsiaTheme="majorEastAsia"/>
                <w:lang w:eastAsia="en-CA"/>
              </w:rPr>
            </w:pPr>
            <w:r w:rsidRPr="008F3350">
              <w:rPr>
                <w:rFonts w:eastAsiaTheme="majorEastAsia"/>
                <w:color w:val="FFFFFF" w:themeColor="background1"/>
                <w:lang w:eastAsia="en-CA"/>
              </w:rPr>
              <w:t>Group Classification</w:t>
            </w:r>
          </w:p>
        </w:tc>
        <w:tc>
          <w:tcPr>
            <w:tcW w:w="2186" w:type="dxa"/>
            <w:shd w:val="clear" w:color="auto" w:fill="D9D9D9" w:themeFill="background1" w:themeFillShade="D9"/>
          </w:tcPr>
          <w:p w14:paraId="4504CDFE" w14:textId="77777777" w:rsidR="009C72D8" w:rsidRPr="00F25A1C" w:rsidRDefault="009C72D8" w:rsidP="009C72D8">
            <w:pPr>
              <w:jc w:val="center"/>
              <w:cnfStyle w:val="000000000000" w:firstRow="0" w:lastRow="0" w:firstColumn="0" w:lastColumn="0" w:oddVBand="0" w:evenVBand="0" w:oddHBand="0" w:evenHBand="0" w:firstRowFirstColumn="0" w:firstRowLastColumn="0" w:lastRowFirstColumn="0" w:lastRowLastColumn="0"/>
              <w:rPr>
                <w:rFonts w:eastAsiaTheme="majorEastAsia"/>
                <w:lang w:eastAsia="en-CA"/>
              </w:rPr>
            </w:pPr>
            <w:r w:rsidRPr="00F25A1C">
              <w:rPr>
                <w:rFonts w:eastAsiaTheme="majorEastAsia"/>
                <w:lang w:eastAsia="en-CA"/>
              </w:rPr>
              <w:t>Group 1</w:t>
            </w:r>
          </w:p>
        </w:tc>
        <w:tc>
          <w:tcPr>
            <w:tcW w:w="2321" w:type="dxa"/>
          </w:tcPr>
          <w:p w14:paraId="645F73AB" w14:textId="77777777" w:rsidR="009C72D8" w:rsidRDefault="009C72D8" w:rsidP="009C72D8">
            <w:pPr>
              <w:jc w:val="center"/>
              <w:cnfStyle w:val="000000000000" w:firstRow="0" w:lastRow="0" w:firstColumn="0" w:lastColumn="0" w:oddVBand="0" w:evenVBand="0" w:oddHBand="0" w:evenHBand="0" w:firstRowFirstColumn="0" w:firstRowLastColumn="0" w:lastRowFirstColumn="0" w:lastRowLastColumn="0"/>
              <w:rPr>
                <w:rFonts w:eastAsiaTheme="majorEastAsia"/>
                <w:lang w:eastAsia="en-CA"/>
              </w:rPr>
            </w:pPr>
            <w:r>
              <w:rPr>
                <w:rFonts w:eastAsiaTheme="majorEastAsia"/>
                <w:lang w:eastAsia="en-CA"/>
              </w:rPr>
              <w:t>20 (a)</w:t>
            </w:r>
          </w:p>
        </w:tc>
        <w:tc>
          <w:tcPr>
            <w:tcW w:w="2252" w:type="dxa"/>
          </w:tcPr>
          <w:p w14:paraId="3CE564A0" w14:textId="77777777" w:rsidR="009C72D8" w:rsidRDefault="009C72D8" w:rsidP="009C72D8">
            <w:pPr>
              <w:jc w:val="center"/>
              <w:cnfStyle w:val="000000000000" w:firstRow="0" w:lastRow="0" w:firstColumn="0" w:lastColumn="0" w:oddVBand="0" w:evenVBand="0" w:oddHBand="0" w:evenHBand="0" w:firstRowFirstColumn="0" w:firstRowLastColumn="0" w:lastRowFirstColumn="0" w:lastRowLastColumn="0"/>
              <w:rPr>
                <w:rFonts w:eastAsiaTheme="majorEastAsia"/>
                <w:lang w:eastAsia="en-CA"/>
              </w:rPr>
            </w:pPr>
            <w:r>
              <w:rPr>
                <w:rFonts w:eastAsiaTheme="majorEastAsia"/>
                <w:lang w:eastAsia="en-CA"/>
              </w:rPr>
              <w:t>80 (b)</w:t>
            </w:r>
          </w:p>
        </w:tc>
      </w:tr>
      <w:tr w:rsidR="009C72D8" w14:paraId="056189CB" w14:textId="77777777" w:rsidTr="009C7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336699" w:themeFill="background2"/>
          </w:tcPr>
          <w:p w14:paraId="37410FFB" w14:textId="77777777" w:rsidR="009C72D8" w:rsidRPr="00472C9B" w:rsidRDefault="009C72D8" w:rsidP="009C72D8">
            <w:pPr>
              <w:jc w:val="center"/>
              <w:rPr>
                <w:rFonts w:eastAsiaTheme="majorEastAsia"/>
                <w:lang w:eastAsia="en-CA"/>
              </w:rPr>
            </w:pPr>
          </w:p>
        </w:tc>
        <w:tc>
          <w:tcPr>
            <w:tcW w:w="2186" w:type="dxa"/>
            <w:shd w:val="clear" w:color="auto" w:fill="D9D9D9" w:themeFill="background1" w:themeFillShade="D9"/>
          </w:tcPr>
          <w:p w14:paraId="560ED0EC" w14:textId="77777777" w:rsidR="009C72D8" w:rsidRPr="00F25A1C" w:rsidRDefault="009C72D8" w:rsidP="009C72D8">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sidRPr="00F25A1C">
              <w:rPr>
                <w:rFonts w:eastAsiaTheme="majorEastAsia"/>
                <w:lang w:eastAsia="en-CA"/>
              </w:rPr>
              <w:t>Group 2</w:t>
            </w:r>
          </w:p>
        </w:tc>
        <w:tc>
          <w:tcPr>
            <w:tcW w:w="2321" w:type="dxa"/>
          </w:tcPr>
          <w:p w14:paraId="1171C52E" w14:textId="77777777" w:rsidR="009C72D8" w:rsidRDefault="009C72D8" w:rsidP="009C72D8">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40 (c)</w:t>
            </w:r>
          </w:p>
        </w:tc>
        <w:tc>
          <w:tcPr>
            <w:tcW w:w="2252" w:type="dxa"/>
          </w:tcPr>
          <w:p w14:paraId="54A62836" w14:textId="77777777" w:rsidR="009C72D8" w:rsidRDefault="009C72D8" w:rsidP="009C72D8">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80 (d)</w:t>
            </w:r>
          </w:p>
        </w:tc>
      </w:tr>
    </w:tbl>
    <w:p w14:paraId="008D6D7E" w14:textId="59D7D007" w:rsidR="00472C9B" w:rsidRDefault="00472C9B" w:rsidP="00472C9B">
      <w:pPr>
        <w:rPr>
          <w:rFonts w:asciiTheme="majorHAnsi" w:eastAsiaTheme="majorEastAsia" w:hAnsiTheme="majorHAnsi" w:cstheme="majorBidi"/>
          <w:lang w:eastAsia="en-CA"/>
        </w:rPr>
      </w:pPr>
    </w:p>
    <w:p w14:paraId="47547CFA" w14:textId="0F4B53E5" w:rsidR="00A20E67" w:rsidRDefault="00A20E67" w:rsidP="00472C9B">
      <w:pPr>
        <w:rPr>
          <w:rFonts w:asciiTheme="majorHAnsi" w:eastAsiaTheme="majorEastAsia" w:hAnsiTheme="majorHAnsi" w:cstheme="majorBidi"/>
          <w:lang w:eastAsia="en-CA"/>
        </w:rPr>
      </w:pPr>
    </w:p>
    <w:p w14:paraId="57DE4032" w14:textId="77777777" w:rsidR="00A20E67" w:rsidRDefault="00A20E67" w:rsidP="00472C9B">
      <w:pPr>
        <w:rPr>
          <w:rFonts w:asciiTheme="majorHAnsi" w:eastAsiaTheme="majorEastAsia" w:hAnsiTheme="majorHAnsi" w:cstheme="majorBidi"/>
          <w:lang w:eastAsia="en-CA"/>
        </w:rPr>
      </w:pPr>
    </w:p>
    <w:p w14:paraId="52958EE3" w14:textId="09EFF2FD" w:rsidR="00472C9B" w:rsidRDefault="00472C9B" w:rsidP="00472C9B">
      <w:pPr>
        <w:rPr>
          <w:rFonts w:asciiTheme="majorHAnsi" w:eastAsiaTheme="majorEastAsia" w:hAnsiTheme="majorHAnsi" w:cstheme="majorBidi"/>
          <w:lang w:eastAsia="en-CA"/>
        </w:rPr>
      </w:pPr>
    </w:p>
    <w:p w14:paraId="554976E7" w14:textId="77777777" w:rsidR="009C72D8" w:rsidRDefault="009C72D8" w:rsidP="00472C9B">
      <w:pPr>
        <w:rPr>
          <w:rFonts w:asciiTheme="majorHAnsi" w:eastAsiaTheme="majorEastAsia" w:hAnsiTheme="majorHAnsi" w:cstheme="majorBidi"/>
          <w:lang w:eastAsia="en-CA"/>
        </w:rPr>
      </w:pPr>
    </w:p>
    <w:p w14:paraId="3A2036FA" w14:textId="77777777" w:rsidR="00F25A1C" w:rsidRPr="00F25A1C" w:rsidRDefault="00F25A1C" w:rsidP="00472C9B">
      <w:pPr>
        <w:rPr>
          <w:lang w:eastAsia="en-CA"/>
        </w:rPr>
      </w:pPr>
      <m:oMath>
        <m:r>
          <w:rPr>
            <w:rFonts w:ascii="Cambria Math" w:hAnsi="Cambria Math"/>
            <w:lang w:eastAsia="en-CA"/>
          </w:rPr>
          <m:t>OR=</m:t>
        </m:r>
        <m:f>
          <m:fPr>
            <m:ctrlPr>
              <w:rPr>
                <w:rFonts w:ascii="Cambria Math" w:hAnsi="Cambria Math"/>
                <w:i/>
                <w:lang w:eastAsia="en-CA"/>
              </w:rPr>
            </m:ctrlPr>
          </m:fPr>
          <m:num>
            <m:f>
              <m:fPr>
                <m:ctrlPr>
                  <w:rPr>
                    <w:rFonts w:ascii="Cambria Math" w:hAnsi="Cambria Math"/>
                    <w:i/>
                    <w:lang w:eastAsia="en-CA"/>
                  </w:rPr>
                </m:ctrlPr>
              </m:fPr>
              <m:num>
                <m:r>
                  <w:rPr>
                    <w:rFonts w:ascii="Cambria Math" w:hAnsi="Cambria Math"/>
                    <w:lang w:eastAsia="en-CA"/>
                  </w:rPr>
                  <m:t>a</m:t>
                </m:r>
              </m:num>
              <m:den>
                <m:r>
                  <w:rPr>
                    <w:rFonts w:ascii="Cambria Math" w:hAnsi="Cambria Math"/>
                    <w:lang w:eastAsia="en-CA"/>
                  </w:rPr>
                  <m:t>b</m:t>
                </m:r>
              </m:den>
            </m:f>
          </m:num>
          <m:den>
            <m:f>
              <m:fPr>
                <m:ctrlPr>
                  <w:rPr>
                    <w:rFonts w:ascii="Cambria Math" w:hAnsi="Cambria Math"/>
                    <w:i/>
                    <w:lang w:eastAsia="en-CA"/>
                  </w:rPr>
                </m:ctrlPr>
              </m:fPr>
              <m:num>
                <m:r>
                  <w:rPr>
                    <w:rFonts w:ascii="Cambria Math" w:hAnsi="Cambria Math"/>
                    <w:lang w:eastAsia="en-CA"/>
                  </w:rPr>
                  <m:t>c</m:t>
                </m:r>
              </m:num>
              <m:den>
                <m:r>
                  <w:rPr>
                    <w:rFonts w:ascii="Cambria Math" w:hAnsi="Cambria Math"/>
                    <w:lang w:eastAsia="en-CA"/>
                  </w:rPr>
                  <m:t>d</m:t>
                </m:r>
              </m:den>
            </m:f>
          </m:den>
        </m:f>
      </m:oMath>
      <w:r>
        <w:rPr>
          <w:lang w:eastAsia="en-CA"/>
        </w:rPr>
        <w:t xml:space="preserve">, </w:t>
      </w:r>
      <m:oMath>
        <m:r>
          <w:rPr>
            <w:rFonts w:ascii="Cambria Math" w:hAnsi="Cambria Math"/>
            <w:lang w:eastAsia="en-CA"/>
          </w:rPr>
          <m:t>OR=</m:t>
        </m:r>
        <m:f>
          <m:fPr>
            <m:ctrlPr>
              <w:rPr>
                <w:rFonts w:ascii="Cambria Math" w:hAnsi="Cambria Math"/>
                <w:i/>
                <w:lang w:eastAsia="en-CA"/>
              </w:rPr>
            </m:ctrlPr>
          </m:fPr>
          <m:num>
            <m:f>
              <m:fPr>
                <m:ctrlPr>
                  <w:rPr>
                    <w:rFonts w:ascii="Cambria Math" w:hAnsi="Cambria Math"/>
                    <w:i/>
                    <w:lang w:eastAsia="en-CA"/>
                  </w:rPr>
                </m:ctrlPr>
              </m:fPr>
              <m:num>
                <m:r>
                  <w:rPr>
                    <w:rFonts w:ascii="Cambria Math" w:hAnsi="Cambria Math"/>
                    <w:lang w:eastAsia="en-CA"/>
                  </w:rPr>
                  <m:t>20</m:t>
                </m:r>
              </m:num>
              <m:den>
                <m:r>
                  <w:rPr>
                    <w:rFonts w:ascii="Cambria Math" w:hAnsi="Cambria Math"/>
                    <w:lang w:eastAsia="en-CA"/>
                  </w:rPr>
                  <m:t>80</m:t>
                </m:r>
              </m:den>
            </m:f>
          </m:num>
          <m:den>
            <m:f>
              <m:fPr>
                <m:ctrlPr>
                  <w:rPr>
                    <w:rFonts w:ascii="Cambria Math" w:hAnsi="Cambria Math"/>
                    <w:i/>
                    <w:lang w:eastAsia="en-CA"/>
                  </w:rPr>
                </m:ctrlPr>
              </m:fPr>
              <m:num>
                <m:r>
                  <w:rPr>
                    <w:rFonts w:ascii="Cambria Math" w:hAnsi="Cambria Math"/>
                    <w:lang w:eastAsia="en-CA"/>
                  </w:rPr>
                  <m:t>40</m:t>
                </m:r>
              </m:num>
              <m:den>
                <m:r>
                  <w:rPr>
                    <w:rFonts w:ascii="Cambria Math" w:hAnsi="Cambria Math"/>
                    <w:lang w:eastAsia="en-CA"/>
                  </w:rPr>
                  <m:t>80</m:t>
                </m:r>
              </m:den>
            </m:f>
          </m:den>
        </m:f>
        <m:r>
          <w:rPr>
            <w:rFonts w:ascii="Cambria Math" w:hAnsi="Cambria Math"/>
            <w:lang w:eastAsia="en-CA"/>
          </w:rPr>
          <m:t xml:space="preserve">=0.5X. </m:t>
        </m:r>
      </m:oMath>
    </w:p>
    <w:p w14:paraId="210C8854" w14:textId="02F32533" w:rsidR="00472C9B" w:rsidRPr="00472C9B" w:rsidRDefault="00226AF2" w:rsidP="00472C9B">
      <w:pPr>
        <w:rPr>
          <w:lang w:eastAsia="en-CA"/>
        </w:rPr>
      </w:pPr>
      <m:oMath>
        <m:r>
          <w:rPr>
            <w:rFonts w:ascii="Cambria Math" w:hAnsi="Cambria Math"/>
            <w:lang w:eastAsia="en-CA"/>
          </w:rPr>
          <m:t xml:space="preserve">"Group 1 </m:t>
        </m:r>
        <m:r>
          <w:rPr>
            <w:rFonts w:ascii="Cambria Math" w:hAnsi="Cambria Math"/>
            <w:lang w:eastAsia="en-CA"/>
          </w:rPr>
          <m:t xml:space="preserve">has 0.5X the odds of having an affirmative outcome in a given context than group 2." </m:t>
        </m:r>
      </m:oMath>
      <w:r w:rsidR="00F25A1C">
        <w:rPr>
          <w:lang w:eastAsia="en-CA"/>
        </w:rPr>
        <w:t xml:space="preserve"> </w:t>
      </w:r>
    </w:p>
    <w:p w14:paraId="6117FC31" w14:textId="74DEC2DD" w:rsidR="00472C9B" w:rsidRDefault="00472C9B" w:rsidP="00472C9B">
      <w:pPr>
        <w:pStyle w:val="Heading2"/>
        <w:rPr>
          <w:lang w:eastAsia="en-CA"/>
        </w:rPr>
      </w:pPr>
      <w:bookmarkStart w:id="78" w:name="_Toc16262388"/>
      <w:r>
        <w:rPr>
          <w:lang w:eastAsia="en-CA"/>
        </w:rPr>
        <w:t>Chi-Squared (X</w:t>
      </w:r>
      <w:r w:rsidRPr="00472C9B">
        <w:rPr>
          <w:vertAlign w:val="superscript"/>
          <w:lang w:eastAsia="en-CA"/>
        </w:rPr>
        <w:t>2</w:t>
      </w:r>
      <w:r>
        <w:rPr>
          <w:lang w:eastAsia="en-CA"/>
        </w:rPr>
        <w:t>) Formula and Sample Calculation</w:t>
      </w:r>
      <w:bookmarkEnd w:id="78"/>
      <w:r>
        <w:rPr>
          <w:lang w:eastAsia="en-CA"/>
        </w:rPr>
        <w:t xml:space="preserve"> </w:t>
      </w:r>
    </w:p>
    <w:p w14:paraId="20E69A96" w14:textId="49C54189" w:rsidR="00540F9D" w:rsidRDefault="00540F9D" w:rsidP="00540F9D">
      <w:pPr>
        <w:rPr>
          <w:lang w:eastAsia="en-CA"/>
        </w:rPr>
      </w:pPr>
    </w:p>
    <w:tbl>
      <w:tblPr>
        <w:tblStyle w:val="GridTable4-Accent41"/>
        <w:tblW w:w="0" w:type="auto"/>
        <w:tblLook w:val="04A0" w:firstRow="1" w:lastRow="0" w:firstColumn="1" w:lastColumn="0" w:noHBand="0" w:noVBand="1"/>
      </w:tblPr>
      <w:tblGrid>
        <w:gridCol w:w="2015"/>
        <w:gridCol w:w="2186"/>
        <w:gridCol w:w="2321"/>
        <w:gridCol w:w="2252"/>
      </w:tblGrid>
      <w:tr w:rsidR="00540F9D" w14:paraId="7E991579" w14:textId="77777777" w:rsidTr="00171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gridSpan w:val="2"/>
            <w:vMerge w:val="restart"/>
            <w:shd w:val="clear" w:color="auto" w:fill="FFFFFF" w:themeFill="background1"/>
          </w:tcPr>
          <w:p w14:paraId="77760D9B" w14:textId="77777777" w:rsidR="00540F9D" w:rsidRPr="00F25A1C" w:rsidRDefault="00540F9D" w:rsidP="00540F9D">
            <w:pPr>
              <w:jc w:val="center"/>
              <w:rPr>
                <w:rFonts w:eastAsiaTheme="majorEastAsia"/>
                <w:lang w:eastAsia="en-CA"/>
              </w:rPr>
            </w:pPr>
          </w:p>
        </w:tc>
        <w:tc>
          <w:tcPr>
            <w:tcW w:w="4573" w:type="dxa"/>
            <w:gridSpan w:val="2"/>
          </w:tcPr>
          <w:p w14:paraId="06F4F649" w14:textId="77777777" w:rsidR="00540F9D" w:rsidRDefault="00540F9D" w:rsidP="00540F9D">
            <w:pPr>
              <w:jc w:val="center"/>
              <w:cnfStyle w:val="100000000000" w:firstRow="1" w:lastRow="0" w:firstColumn="0" w:lastColumn="0" w:oddVBand="0" w:evenVBand="0" w:oddHBand="0" w:evenHBand="0" w:firstRowFirstColumn="0" w:firstRowLastColumn="0" w:lastRowFirstColumn="0" w:lastRowLastColumn="0"/>
              <w:rPr>
                <w:rFonts w:eastAsiaTheme="majorEastAsia"/>
                <w:lang w:eastAsia="en-CA"/>
              </w:rPr>
            </w:pPr>
            <w:r>
              <w:rPr>
                <w:rFonts w:eastAsiaTheme="majorEastAsia"/>
                <w:lang w:eastAsia="en-CA"/>
              </w:rPr>
              <w:t>Outcome</w:t>
            </w:r>
          </w:p>
        </w:tc>
      </w:tr>
      <w:tr w:rsidR="00540F9D" w14:paraId="4A54189A" w14:textId="77777777" w:rsidTr="0017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gridSpan w:val="2"/>
            <w:vMerge/>
          </w:tcPr>
          <w:p w14:paraId="51D9C3AF" w14:textId="77777777" w:rsidR="00540F9D" w:rsidRPr="00F25A1C" w:rsidRDefault="00540F9D" w:rsidP="00540F9D">
            <w:pPr>
              <w:jc w:val="center"/>
              <w:rPr>
                <w:rFonts w:eastAsiaTheme="majorEastAsia"/>
                <w:lang w:eastAsia="en-CA"/>
              </w:rPr>
            </w:pPr>
          </w:p>
        </w:tc>
        <w:tc>
          <w:tcPr>
            <w:tcW w:w="2321" w:type="dxa"/>
            <w:shd w:val="clear" w:color="auto" w:fill="D9D9D9" w:themeFill="background1" w:themeFillShade="D9"/>
          </w:tcPr>
          <w:p w14:paraId="2A34ECD0" w14:textId="71FACAFA" w:rsidR="00540F9D" w:rsidRDefault="00540F9D" w:rsidP="00540F9D">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Affirmative Outcome</w:t>
            </w:r>
          </w:p>
        </w:tc>
        <w:tc>
          <w:tcPr>
            <w:tcW w:w="2252" w:type="dxa"/>
            <w:shd w:val="clear" w:color="auto" w:fill="D9D9D9" w:themeFill="background1" w:themeFillShade="D9"/>
          </w:tcPr>
          <w:p w14:paraId="4B6DB20A" w14:textId="4DB1DE00" w:rsidR="00540F9D" w:rsidRDefault="00540F9D" w:rsidP="00540F9D">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Negative Outcome</w:t>
            </w:r>
          </w:p>
        </w:tc>
      </w:tr>
      <w:tr w:rsidR="00540F9D" w14:paraId="3593BBA4" w14:textId="77777777" w:rsidTr="00171A23">
        <w:tc>
          <w:tcPr>
            <w:cnfStyle w:val="001000000000" w:firstRow="0" w:lastRow="0" w:firstColumn="1" w:lastColumn="0" w:oddVBand="0" w:evenVBand="0" w:oddHBand="0" w:evenHBand="0" w:firstRowFirstColumn="0" w:firstRowLastColumn="0" w:lastRowFirstColumn="0" w:lastRowLastColumn="0"/>
            <w:tcW w:w="2015" w:type="dxa"/>
            <w:vMerge w:val="restart"/>
            <w:shd w:val="clear" w:color="auto" w:fill="336699" w:themeFill="background2"/>
          </w:tcPr>
          <w:p w14:paraId="1740A629" w14:textId="77777777" w:rsidR="00540F9D" w:rsidRPr="00F25A1C" w:rsidRDefault="00540F9D" w:rsidP="00540F9D">
            <w:pPr>
              <w:jc w:val="center"/>
              <w:rPr>
                <w:rFonts w:eastAsiaTheme="majorEastAsia"/>
                <w:lang w:eastAsia="en-CA"/>
              </w:rPr>
            </w:pPr>
            <w:r w:rsidRPr="00421D9E">
              <w:rPr>
                <w:rFonts w:eastAsiaTheme="majorEastAsia"/>
                <w:color w:val="FFFFFF" w:themeColor="background1"/>
                <w:lang w:eastAsia="en-CA"/>
              </w:rPr>
              <w:t>Group Classification</w:t>
            </w:r>
          </w:p>
        </w:tc>
        <w:tc>
          <w:tcPr>
            <w:tcW w:w="2186" w:type="dxa"/>
            <w:shd w:val="clear" w:color="auto" w:fill="D9D9D9" w:themeFill="background1" w:themeFillShade="D9"/>
          </w:tcPr>
          <w:p w14:paraId="2633410C" w14:textId="6B2551BB" w:rsidR="00540F9D" w:rsidRPr="00F25A1C" w:rsidRDefault="00540F9D" w:rsidP="00540F9D">
            <w:pPr>
              <w:jc w:val="center"/>
              <w:cnfStyle w:val="000000000000" w:firstRow="0" w:lastRow="0" w:firstColumn="0" w:lastColumn="0" w:oddVBand="0" w:evenVBand="0" w:oddHBand="0" w:evenHBand="0" w:firstRowFirstColumn="0" w:firstRowLastColumn="0" w:lastRowFirstColumn="0" w:lastRowLastColumn="0"/>
              <w:rPr>
                <w:rFonts w:eastAsiaTheme="majorEastAsia"/>
                <w:lang w:eastAsia="en-CA"/>
              </w:rPr>
            </w:pPr>
            <w:r w:rsidRPr="00F25A1C">
              <w:rPr>
                <w:rFonts w:eastAsiaTheme="majorEastAsia"/>
                <w:lang w:eastAsia="en-CA"/>
              </w:rPr>
              <w:t>Group</w:t>
            </w:r>
            <w:r>
              <w:rPr>
                <w:rFonts w:eastAsiaTheme="majorEastAsia"/>
                <w:lang w:eastAsia="en-CA"/>
              </w:rPr>
              <w:t xml:space="preserve"> of Interest (Frequencies Observed)</w:t>
            </w:r>
          </w:p>
        </w:tc>
        <w:tc>
          <w:tcPr>
            <w:tcW w:w="2321" w:type="dxa"/>
          </w:tcPr>
          <w:p w14:paraId="17532E25" w14:textId="30528462" w:rsidR="00540F9D" w:rsidRDefault="00540F9D" w:rsidP="00540F9D">
            <w:pPr>
              <w:jc w:val="center"/>
              <w:cnfStyle w:val="000000000000" w:firstRow="0" w:lastRow="0" w:firstColumn="0" w:lastColumn="0" w:oddVBand="0" w:evenVBand="0" w:oddHBand="0" w:evenHBand="0" w:firstRowFirstColumn="0" w:firstRowLastColumn="0" w:lastRowFirstColumn="0" w:lastRowLastColumn="0"/>
              <w:rPr>
                <w:rFonts w:eastAsiaTheme="majorEastAsia"/>
                <w:lang w:eastAsia="en-CA"/>
              </w:rPr>
            </w:pPr>
            <w:r>
              <w:rPr>
                <w:rFonts w:eastAsiaTheme="majorEastAsia"/>
                <w:lang w:eastAsia="en-CA"/>
              </w:rPr>
              <w:t>20</w:t>
            </w:r>
          </w:p>
        </w:tc>
        <w:tc>
          <w:tcPr>
            <w:tcW w:w="2252" w:type="dxa"/>
          </w:tcPr>
          <w:p w14:paraId="6D1E118A" w14:textId="01517530" w:rsidR="00540F9D" w:rsidRDefault="00540F9D" w:rsidP="00540F9D">
            <w:pPr>
              <w:jc w:val="center"/>
              <w:cnfStyle w:val="000000000000" w:firstRow="0" w:lastRow="0" w:firstColumn="0" w:lastColumn="0" w:oddVBand="0" w:evenVBand="0" w:oddHBand="0" w:evenHBand="0" w:firstRowFirstColumn="0" w:firstRowLastColumn="0" w:lastRowFirstColumn="0" w:lastRowLastColumn="0"/>
              <w:rPr>
                <w:rFonts w:eastAsiaTheme="majorEastAsia"/>
                <w:lang w:eastAsia="en-CA"/>
              </w:rPr>
            </w:pPr>
            <w:r>
              <w:rPr>
                <w:rFonts w:eastAsiaTheme="majorEastAsia"/>
                <w:lang w:eastAsia="en-CA"/>
              </w:rPr>
              <w:t>80</w:t>
            </w:r>
          </w:p>
        </w:tc>
      </w:tr>
      <w:tr w:rsidR="00540F9D" w14:paraId="325971FB" w14:textId="77777777" w:rsidTr="0017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vMerge/>
            <w:shd w:val="clear" w:color="auto" w:fill="336699" w:themeFill="background2"/>
          </w:tcPr>
          <w:p w14:paraId="7F925A9E" w14:textId="77777777" w:rsidR="00540F9D" w:rsidRPr="00472C9B" w:rsidRDefault="00540F9D" w:rsidP="00540F9D">
            <w:pPr>
              <w:jc w:val="center"/>
              <w:rPr>
                <w:rFonts w:eastAsiaTheme="majorEastAsia"/>
                <w:lang w:eastAsia="en-CA"/>
              </w:rPr>
            </w:pPr>
          </w:p>
        </w:tc>
        <w:tc>
          <w:tcPr>
            <w:tcW w:w="2186" w:type="dxa"/>
            <w:shd w:val="clear" w:color="auto" w:fill="D9D9D9" w:themeFill="background1" w:themeFillShade="D9"/>
          </w:tcPr>
          <w:p w14:paraId="2CAB49A6" w14:textId="5894A373" w:rsidR="00540F9D" w:rsidRPr="00F25A1C" w:rsidRDefault="00540F9D" w:rsidP="00540F9D">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Baseline/’Control’ Group (Frequencies Expected)</w:t>
            </w:r>
          </w:p>
        </w:tc>
        <w:tc>
          <w:tcPr>
            <w:tcW w:w="2321" w:type="dxa"/>
          </w:tcPr>
          <w:p w14:paraId="42352EA9" w14:textId="23E61D2F" w:rsidR="00540F9D" w:rsidRDefault="00540F9D" w:rsidP="00540F9D">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40</w:t>
            </w:r>
          </w:p>
        </w:tc>
        <w:tc>
          <w:tcPr>
            <w:tcW w:w="2252" w:type="dxa"/>
          </w:tcPr>
          <w:p w14:paraId="0D4BDC91" w14:textId="56194E85" w:rsidR="00540F9D" w:rsidRDefault="00540F9D" w:rsidP="00540F9D">
            <w:pPr>
              <w:jc w:val="center"/>
              <w:cnfStyle w:val="000000100000" w:firstRow="0" w:lastRow="0" w:firstColumn="0" w:lastColumn="0" w:oddVBand="0" w:evenVBand="0" w:oddHBand="1" w:evenHBand="0" w:firstRowFirstColumn="0" w:firstRowLastColumn="0" w:lastRowFirstColumn="0" w:lastRowLastColumn="0"/>
              <w:rPr>
                <w:rFonts w:eastAsiaTheme="majorEastAsia"/>
                <w:lang w:eastAsia="en-CA"/>
              </w:rPr>
            </w:pPr>
            <w:r>
              <w:rPr>
                <w:rFonts w:eastAsiaTheme="majorEastAsia"/>
                <w:lang w:eastAsia="en-CA"/>
              </w:rPr>
              <w:t>80</w:t>
            </w:r>
          </w:p>
        </w:tc>
      </w:tr>
    </w:tbl>
    <w:p w14:paraId="069F1A8C" w14:textId="20CA25F5" w:rsidR="008F3350" w:rsidRDefault="008F3350" w:rsidP="008F3350">
      <w:pPr>
        <w:rPr>
          <w:lang w:eastAsia="en-CA"/>
        </w:rPr>
      </w:pPr>
    </w:p>
    <w:p w14:paraId="061EEB38" w14:textId="4DFA57E2" w:rsidR="008F3350" w:rsidRPr="00540F9D" w:rsidRDefault="00F10D1D" w:rsidP="008F3350">
      <w:pPr>
        <w:rPr>
          <w:lang w:eastAsia="en-CA"/>
        </w:rPr>
      </w:pPr>
      <m:oMathPara>
        <m:oMathParaPr>
          <m:jc m:val="left"/>
        </m:oMathParaPr>
        <m:oMath>
          <m:sSup>
            <m:sSupPr>
              <m:ctrlPr>
                <w:rPr>
                  <w:rFonts w:ascii="Cambria Math" w:hAnsi="Cambria Math"/>
                  <w:i/>
                  <w:lang w:eastAsia="en-CA"/>
                </w:rPr>
              </m:ctrlPr>
            </m:sSupPr>
            <m:e>
              <m:r>
                <w:rPr>
                  <w:rFonts w:ascii="Cambria Math" w:hAnsi="Cambria Math"/>
                  <w:lang w:eastAsia="en-CA"/>
                </w:rPr>
                <m:t>X</m:t>
              </m:r>
            </m:e>
            <m:sup>
              <m:r>
                <w:rPr>
                  <w:rFonts w:ascii="Cambria Math" w:hAnsi="Cambria Math"/>
                  <w:lang w:eastAsia="en-CA"/>
                </w:rPr>
                <m:t>2</m:t>
              </m:r>
            </m:sup>
          </m:sSup>
          <m:r>
            <w:rPr>
              <w:rFonts w:ascii="Cambria Math" w:hAnsi="Cambria Math"/>
              <w:lang w:eastAsia="en-CA"/>
            </w:rPr>
            <m:t xml:space="preserve">= </m:t>
          </m:r>
          <m:nary>
            <m:naryPr>
              <m:chr m:val="∑"/>
              <m:limLoc m:val="undOvr"/>
              <m:subHide m:val="1"/>
              <m:supHide m:val="1"/>
              <m:ctrlPr>
                <w:rPr>
                  <w:rFonts w:ascii="Cambria Math" w:hAnsi="Cambria Math"/>
                  <w:i/>
                  <w:lang w:eastAsia="en-CA"/>
                </w:rPr>
              </m:ctrlPr>
            </m:naryPr>
            <m:sub/>
            <m:sup/>
            <m:e>
              <m:f>
                <m:fPr>
                  <m:ctrlPr>
                    <w:rPr>
                      <w:rFonts w:ascii="Cambria Math" w:hAnsi="Cambria Math"/>
                      <w:i/>
                      <w:lang w:eastAsia="en-CA"/>
                    </w:rPr>
                  </m:ctrlPr>
                </m:fPr>
                <m:num>
                  <m:sSup>
                    <m:sSupPr>
                      <m:ctrlPr>
                        <w:rPr>
                          <w:rFonts w:ascii="Cambria Math" w:hAnsi="Cambria Math"/>
                          <w:i/>
                          <w:lang w:eastAsia="en-CA"/>
                        </w:rPr>
                      </m:ctrlPr>
                    </m:sSupPr>
                    <m:e>
                      <m:r>
                        <w:rPr>
                          <w:rFonts w:ascii="Cambria Math" w:hAnsi="Cambria Math"/>
                          <w:lang w:eastAsia="en-CA"/>
                        </w:rPr>
                        <m:t>(O-E)</m:t>
                      </m:r>
                    </m:e>
                    <m:sup>
                      <m:r>
                        <w:rPr>
                          <w:rFonts w:ascii="Cambria Math" w:hAnsi="Cambria Math"/>
                          <w:lang w:eastAsia="en-CA"/>
                        </w:rPr>
                        <m:t>2</m:t>
                      </m:r>
                    </m:sup>
                  </m:sSup>
                </m:num>
                <m:den>
                  <m:r>
                    <w:rPr>
                      <w:rFonts w:ascii="Cambria Math" w:hAnsi="Cambria Math"/>
                      <w:lang w:eastAsia="en-CA"/>
                    </w:rPr>
                    <m:t>E</m:t>
                  </m:r>
                </m:den>
              </m:f>
              <m:r>
                <w:rPr>
                  <w:rFonts w:ascii="Cambria Math" w:hAnsi="Cambria Math"/>
                  <w:lang w:eastAsia="en-CA"/>
                </w:rPr>
                <m:t xml:space="preserve">,  where O=the observed frequency and E=the expected frequency. </m:t>
              </m:r>
            </m:e>
          </m:nary>
        </m:oMath>
      </m:oMathPara>
    </w:p>
    <w:p w14:paraId="482A158F" w14:textId="35C656F3" w:rsidR="00540F9D" w:rsidRPr="00540F9D" w:rsidRDefault="00F10D1D" w:rsidP="00540F9D">
      <w:pPr>
        <w:rPr>
          <w:lang w:eastAsia="en-CA"/>
        </w:rPr>
      </w:pPr>
      <m:oMathPara>
        <m:oMathParaPr>
          <m:jc m:val="left"/>
        </m:oMathParaPr>
        <m:oMath>
          <m:sSup>
            <m:sSupPr>
              <m:ctrlPr>
                <w:rPr>
                  <w:rFonts w:ascii="Cambria Math" w:hAnsi="Cambria Math"/>
                  <w:i/>
                  <w:lang w:eastAsia="en-CA"/>
                </w:rPr>
              </m:ctrlPr>
            </m:sSupPr>
            <m:e>
              <m:r>
                <w:rPr>
                  <w:rFonts w:ascii="Cambria Math" w:hAnsi="Cambria Math"/>
                  <w:lang w:eastAsia="en-CA"/>
                </w:rPr>
                <m:t>X</m:t>
              </m:r>
            </m:e>
            <m:sup>
              <m:r>
                <w:rPr>
                  <w:rFonts w:ascii="Cambria Math" w:hAnsi="Cambria Math"/>
                  <w:lang w:eastAsia="en-CA"/>
                </w:rPr>
                <m:t>2</m:t>
              </m:r>
            </m:sup>
          </m:sSup>
          <m:r>
            <w:rPr>
              <w:rFonts w:ascii="Cambria Math" w:hAnsi="Cambria Math"/>
              <w:lang w:eastAsia="en-CA"/>
            </w:rPr>
            <m:t xml:space="preserve">= </m:t>
          </m:r>
          <m:nary>
            <m:naryPr>
              <m:chr m:val="∑"/>
              <m:limLoc m:val="undOvr"/>
              <m:subHide m:val="1"/>
              <m:supHide m:val="1"/>
              <m:ctrlPr>
                <w:rPr>
                  <w:rFonts w:ascii="Cambria Math" w:hAnsi="Cambria Math"/>
                  <w:i/>
                  <w:lang w:eastAsia="en-CA"/>
                </w:rPr>
              </m:ctrlPr>
            </m:naryPr>
            <m:sub/>
            <m:sup/>
            <m:e>
              <m:f>
                <m:fPr>
                  <m:ctrlPr>
                    <w:rPr>
                      <w:rFonts w:ascii="Cambria Math" w:hAnsi="Cambria Math"/>
                      <w:i/>
                      <w:lang w:eastAsia="en-CA"/>
                    </w:rPr>
                  </m:ctrlPr>
                </m:fPr>
                <m:num>
                  <m:sSup>
                    <m:sSupPr>
                      <m:ctrlPr>
                        <w:rPr>
                          <w:rFonts w:ascii="Cambria Math" w:hAnsi="Cambria Math"/>
                          <w:i/>
                          <w:lang w:eastAsia="en-CA"/>
                        </w:rPr>
                      </m:ctrlPr>
                    </m:sSupPr>
                    <m:e>
                      <m:r>
                        <w:rPr>
                          <w:rFonts w:ascii="Cambria Math" w:hAnsi="Cambria Math"/>
                          <w:lang w:eastAsia="en-CA"/>
                        </w:rPr>
                        <m:t>(20-40)</m:t>
                      </m:r>
                    </m:e>
                    <m:sup>
                      <m:r>
                        <w:rPr>
                          <w:rFonts w:ascii="Cambria Math" w:hAnsi="Cambria Math"/>
                          <w:lang w:eastAsia="en-CA"/>
                        </w:rPr>
                        <m:t>2</m:t>
                      </m:r>
                    </m:sup>
                  </m:sSup>
                </m:num>
                <m:den>
                  <m:r>
                    <w:rPr>
                      <w:rFonts w:ascii="Cambria Math" w:hAnsi="Cambria Math"/>
                      <w:lang w:eastAsia="en-CA"/>
                    </w:rPr>
                    <m:t>40</m:t>
                  </m:r>
                </m:den>
              </m:f>
              <m:r>
                <w:rPr>
                  <w:rFonts w:ascii="Cambria Math" w:hAnsi="Cambria Math"/>
                  <w:lang w:eastAsia="en-CA"/>
                </w:rPr>
                <m:t xml:space="preserve"> </m:t>
              </m:r>
            </m:e>
          </m:nary>
          <m:r>
            <w:rPr>
              <w:rFonts w:ascii="Cambria Math" w:hAnsi="Cambria Math"/>
              <w:lang w:eastAsia="en-CA"/>
            </w:rPr>
            <m:t xml:space="preserve">=10. </m:t>
          </m:r>
        </m:oMath>
      </m:oMathPara>
    </w:p>
    <w:p w14:paraId="180A61B4" w14:textId="4A89CAB0" w:rsidR="00540F9D" w:rsidRDefault="00540F9D" w:rsidP="008F3350">
      <w:pPr>
        <w:rPr>
          <w:lang w:eastAsia="en-CA"/>
        </w:rPr>
      </w:pPr>
    </w:p>
    <w:p w14:paraId="23319BEE" w14:textId="77777777" w:rsidR="00911BA0" w:rsidRDefault="00911BA0" w:rsidP="008F3350">
      <w:pPr>
        <w:rPr>
          <w:lang w:eastAsia="en-CA"/>
        </w:rPr>
      </w:pPr>
      <w:bookmarkStart w:id="79" w:name="_GoBack"/>
      <w:bookmarkEnd w:id="79"/>
    </w:p>
    <w:p w14:paraId="1A91906B" w14:textId="761E2A63" w:rsidR="005423F5" w:rsidRDefault="005423F5" w:rsidP="005423F5">
      <w:pPr>
        <w:pStyle w:val="Heading2"/>
        <w:rPr>
          <w:lang w:eastAsia="en-CA"/>
        </w:rPr>
      </w:pPr>
      <w:bookmarkStart w:id="80" w:name="_Toc16262389"/>
      <w:r>
        <w:rPr>
          <w:lang w:eastAsia="en-CA"/>
        </w:rPr>
        <w:lastRenderedPageBreak/>
        <w:t>Average Immediate Family Size, From the 2016 National Census</w:t>
      </w:r>
      <w:bookmarkEnd w:id="80"/>
    </w:p>
    <w:p w14:paraId="3518FF0D" w14:textId="1AFD77BB" w:rsidR="005423F5" w:rsidRDefault="005423F5" w:rsidP="005423F5">
      <w:pPr>
        <w:rPr>
          <w:lang w:eastAsia="en-CA"/>
        </w:rPr>
      </w:pPr>
    </w:p>
    <w:tbl>
      <w:tblPr>
        <w:tblStyle w:val="GridTable4-Accent31"/>
        <w:tblW w:w="10795" w:type="dxa"/>
        <w:tblLook w:val="04A0" w:firstRow="1" w:lastRow="0" w:firstColumn="1" w:lastColumn="0" w:noHBand="0" w:noVBand="1"/>
      </w:tblPr>
      <w:tblGrid>
        <w:gridCol w:w="1798"/>
        <w:gridCol w:w="1798"/>
        <w:gridCol w:w="1798"/>
        <w:gridCol w:w="1798"/>
        <w:gridCol w:w="1799"/>
        <w:gridCol w:w="1804"/>
      </w:tblGrid>
      <w:tr w:rsidR="005423F5" w14:paraId="4B9A425D" w14:textId="77777777" w:rsidTr="007C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vMerge w:val="restart"/>
          </w:tcPr>
          <w:p w14:paraId="4CE4E590" w14:textId="77777777" w:rsidR="005423F5" w:rsidRDefault="005423F5" w:rsidP="007C3E74">
            <w:pPr>
              <w:jc w:val="center"/>
              <w:rPr>
                <w:lang w:eastAsia="en-CA"/>
              </w:rPr>
            </w:pPr>
          </w:p>
        </w:tc>
        <w:tc>
          <w:tcPr>
            <w:tcW w:w="8997" w:type="dxa"/>
            <w:gridSpan w:val="5"/>
          </w:tcPr>
          <w:p w14:paraId="0447A53A" w14:textId="534D51D5" w:rsidR="005423F5" w:rsidRDefault="005423F5" w:rsidP="007C3E74">
            <w:pPr>
              <w:jc w:val="center"/>
              <w:cnfStyle w:val="100000000000" w:firstRow="1" w:lastRow="0" w:firstColumn="0" w:lastColumn="0" w:oddVBand="0" w:evenVBand="0" w:oddHBand="0" w:evenHBand="0" w:firstRowFirstColumn="0" w:firstRowLastColumn="0" w:lastRowFirstColumn="0" w:lastRowLastColumn="0"/>
              <w:rPr>
                <w:lang w:eastAsia="en-CA"/>
              </w:rPr>
            </w:pPr>
            <w:r>
              <w:rPr>
                <w:lang w:eastAsia="en-CA"/>
              </w:rPr>
              <w:t>Family Size</w:t>
            </w:r>
          </w:p>
        </w:tc>
      </w:tr>
      <w:tr w:rsidR="005423F5" w14:paraId="5A3FA139" w14:textId="77777777" w:rsidTr="007C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vMerge/>
          </w:tcPr>
          <w:p w14:paraId="77F0CEA3" w14:textId="77777777" w:rsidR="005423F5" w:rsidRDefault="005423F5" w:rsidP="007C3E74">
            <w:pPr>
              <w:jc w:val="center"/>
              <w:rPr>
                <w:lang w:eastAsia="en-CA"/>
              </w:rPr>
            </w:pPr>
          </w:p>
        </w:tc>
        <w:tc>
          <w:tcPr>
            <w:tcW w:w="1798" w:type="dxa"/>
            <w:shd w:val="clear" w:color="auto" w:fill="D9D9D9" w:themeFill="background1" w:themeFillShade="D9"/>
          </w:tcPr>
          <w:p w14:paraId="6C342FC9" w14:textId="77777777" w:rsidR="005423F5" w:rsidRDefault="005423F5" w:rsidP="007C3E74">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1 Person</w:t>
            </w:r>
          </w:p>
        </w:tc>
        <w:tc>
          <w:tcPr>
            <w:tcW w:w="1798" w:type="dxa"/>
            <w:shd w:val="clear" w:color="auto" w:fill="D9D9D9" w:themeFill="background1" w:themeFillShade="D9"/>
          </w:tcPr>
          <w:p w14:paraId="291A1381" w14:textId="77777777" w:rsidR="005423F5" w:rsidRDefault="005423F5" w:rsidP="007C3E74">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2 Persons</w:t>
            </w:r>
          </w:p>
        </w:tc>
        <w:tc>
          <w:tcPr>
            <w:tcW w:w="1798" w:type="dxa"/>
            <w:shd w:val="clear" w:color="auto" w:fill="D9D9D9" w:themeFill="background1" w:themeFillShade="D9"/>
          </w:tcPr>
          <w:p w14:paraId="686AFB7A" w14:textId="77777777" w:rsidR="005423F5" w:rsidRDefault="005423F5" w:rsidP="007C3E74">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3 Persons</w:t>
            </w:r>
          </w:p>
        </w:tc>
        <w:tc>
          <w:tcPr>
            <w:tcW w:w="1799" w:type="dxa"/>
            <w:shd w:val="clear" w:color="auto" w:fill="D9D9D9" w:themeFill="background1" w:themeFillShade="D9"/>
          </w:tcPr>
          <w:p w14:paraId="6B3E5953" w14:textId="77777777" w:rsidR="005423F5" w:rsidRDefault="005423F5" w:rsidP="007C3E74">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4 Persons</w:t>
            </w:r>
          </w:p>
        </w:tc>
        <w:tc>
          <w:tcPr>
            <w:tcW w:w="1804" w:type="dxa"/>
            <w:shd w:val="clear" w:color="auto" w:fill="D9D9D9" w:themeFill="background1" w:themeFillShade="D9"/>
          </w:tcPr>
          <w:p w14:paraId="51F5B578" w14:textId="77777777" w:rsidR="005423F5" w:rsidRDefault="005423F5" w:rsidP="007C3E74">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5 Persons</w:t>
            </w:r>
          </w:p>
        </w:tc>
      </w:tr>
      <w:tr w:rsidR="005423F5" w14:paraId="17E50A71" w14:textId="77777777" w:rsidTr="007C3E74">
        <w:tc>
          <w:tcPr>
            <w:cnfStyle w:val="001000000000" w:firstRow="0" w:lastRow="0" w:firstColumn="1" w:lastColumn="0" w:oddVBand="0" w:evenVBand="0" w:oddHBand="0" w:evenHBand="0" w:firstRowFirstColumn="0" w:firstRowLastColumn="0" w:lastRowFirstColumn="0" w:lastRowLastColumn="0"/>
            <w:tcW w:w="1798" w:type="dxa"/>
          </w:tcPr>
          <w:p w14:paraId="5618DF5F" w14:textId="6A38C005" w:rsidR="005423F5" w:rsidRDefault="005423F5" w:rsidP="007C3E74">
            <w:pPr>
              <w:jc w:val="center"/>
              <w:rPr>
                <w:lang w:eastAsia="en-CA"/>
              </w:rPr>
            </w:pPr>
            <w:r>
              <w:rPr>
                <w:lang w:eastAsia="en-CA"/>
              </w:rPr>
              <w:t>Calgary</w:t>
            </w:r>
          </w:p>
        </w:tc>
        <w:tc>
          <w:tcPr>
            <w:tcW w:w="1798" w:type="dxa"/>
          </w:tcPr>
          <w:p w14:paraId="133E2D49" w14:textId="681060CD" w:rsidR="005423F5" w:rsidRDefault="005423F5" w:rsidP="005423F5">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23.20%</w:t>
            </w:r>
          </w:p>
        </w:tc>
        <w:tc>
          <w:tcPr>
            <w:tcW w:w="1798" w:type="dxa"/>
          </w:tcPr>
          <w:p w14:paraId="535C00F7" w14:textId="7D892259" w:rsidR="005423F5" w:rsidRDefault="005423F5" w:rsidP="005423F5">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33.00%</w:t>
            </w:r>
          </w:p>
        </w:tc>
        <w:tc>
          <w:tcPr>
            <w:tcW w:w="1798" w:type="dxa"/>
          </w:tcPr>
          <w:p w14:paraId="0B9DED75" w14:textId="107FB778" w:rsidR="005423F5" w:rsidRDefault="005423F5" w:rsidP="005423F5">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16.80%</w:t>
            </w:r>
          </w:p>
        </w:tc>
        <w:tc>
          <w:tcPr>
            <w:tcW w:w="1799" w:type="dxa"/>
          </w:tcPr>
          <w:p w14:paraId="44AB604B" w14:textId="0FC2F197" w:rsidR="005423F5" w:rsidRDefault="005423F5" w:rsidP="005423F5">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16.50%</w:t>
            </w:r>
          </w:p>
        </w:tc>
        <w:tc>
          <w:tcPr>
            <w:tcW w:w="1804" w:type="dxa"/>
          </w:tcPr>
          <w:p w14:paraId="7D99FF53" w14:textId="66948C48" w:rsidR="005423F5" w:rsidRDefault="005423F5" w:rsidP="005423F5">
            <w:pPr>
              <w:jc w:val="center"/>
              <w:cnfStyle w:val="000000000000" w:firstRow="0" w:lastRow="0" w:firstColumn="0" w:lastColumn="0" w:oddVBand="0" w:evenVBand="0" w:oddHBand="0" w:evenHBand="0" w:firstRowFirstColumn="0" w:firstRowLastColumn="0" w:lastRowFirstColumn="0" w:lastRowLastColumn="0"/>
              <w:rPr>
                <w:lang w:eastAsia="en-CA"/>
              </w:rPr>
            </w:pPr>
            <w:r>
              <w:rPr>
                <w:lang w:eastAsia="en-CA"/>
              </w:rPr>
              <w:t>10.5%</w:t>
            </w:r>
          </w:p>
        </w:tc>
      </w:tr>
      <w:tr w:rsidR="005423F5" w14:paraId="5CEA7705" w14:textId="77777777" w:rsidTr="007C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48CE4B1F" w14:textId="45A9F854" w:rsidR="005423F5" w:rsidRDefault="005423F5" w:rsidP="007C3E74">
            <w:pPr>
              <w:jc w:val="center"/>
              <w:rPr>
                <w:lang w:eastAsia="en-CA"/>
              </w:rPr>
            </w:pPr>
            <w:r>
              <w:rPr>
                <w:lang w:eastAsia="en-CA"/>
              </w:rPr>
              <w:t>Alberta</w:t>
            </w:r>
          </w:p>
        </w:tc>
        <w:tc>
          <w:tcPr>
            <w:tcW w:w="1798" w:type="dxa"/>
          </w:tcPr>
          <w:p w14:paraId="2D24B556" w14:textId="1D26C7C5" w:rsidR="005423F5" w:rsidRDefault="00B61995" w:rsidP="005423F5">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24.00%</w:t>
            </w:r>
          </w:p>
        </w:tc>
        <w:tc>
          <w:tcPr>
            <w:tcW w:w="1798" w:type="dxa"/>
          </w:tcPr>
          <w:p w14:paraId="744D6C3F" w14:textId="7716FAA5" w:rsidR="005423F5" w:rsidRDefault="00B61995" w:rsidP="005423F5">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34.30%</w:t>
            </w:r>
          </w:p>
        </w:tc>
        <w:tc>
          <w:tcPr>
            <w:tcW w:w="1798" w:type="dxa"/>
          </w:tcPr>
          <w:p w14:paraId="593E9C14" w14:textId="0042D17D" w:rsidR="005423F5" w:rsidRDefault="00B61995" w:rsidP="005423F5">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16.00%</w:t>
            </w:r>
          </w:p>
        </w:tc>
        <w:tc>
          <w:tcPr>
            <w:tcW w:w="1799" w:type="dxa"/>
          </w:tcPr>
          <w:p w14:paraId="51F69A62" w14:textId="418F7B4E" w:rsidR="005423F5" w:rsidRDefault="00B61995" w:rsidP="005423F5">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15.30%</w:t>
            </w:r>
          </w:p>
        </w:tc>
        <w:tc>
          <w:tcPr>
            <w:tcW w:w="1804" w:type="dxa"/>
          </w:tcPr>
          <w:p w14:paraId="7C8D89C0" w14:textId="2A81BE51" w:rsidR="005423F5" w:rsidRDefault="00B61995" w:rsidP="005423F5">
            <w:pPr>
              <w:jc w:val="center"/>
              <w:cnfStyle w:val="000000100000" w:firstRow="0" w:lastRow="0" w:firstColumn="0" w:lastColumn="0" w:oddVBand="0" w:evenVBand="0" w:oddHBand="1" w:evenHBand="0" w:firstRowFirstColumn="0" w:firstRowLastColumn="0" w:lastRowFirstColumn="0" w:lastRowLastColumn="0"/>
              <w:rPr>
                <w:lang w:eastAsia="en-CA"/>
              </w:rPr>
            </w:pPr>
            <w:r>
              <w:rPr>
                <w:lang w:eastAsia="en-CA"/>
              </w:rPr>
              <w:t>10.40%</w:t>
            </w:r>
          </w:p>
        </w:tc>
      </w:tr>
    </w:tbl>
    <w:p w14:paraId="08E70AE4" w14:textId="0BA21A9F" w:rsidR="005423F5" w:rsidRDefault="00B82DF0" w:rsidP="005423F5">
      <w:r>
        <w:t>(Statistics Canada, 2017)</w:t>
      </w:r>
    </w:p>
    <w:p w14:paraId="65651ADA" w14:textId="05E3885B" w:rsidR="00C1076D" w:rsidRDefault="00C1076D" w:rsidP="00C1076D">
      <w:pPr>
        <w:pStyle w:val="Heading2"/>
      </w:pPr>
      <w:bookmarkStart w:id="81" w:name="_Toc16262390"/>
      <w:r>
        <w:lastRenderedPageBreak/>
        <w:t>Data Collection Sheet Exemplar</w:t>
      </w:r>
      <w:r w:rsidR="004C43B7">
        <w:t>s</w:t>
      </w:r>
      <w:r>
        <w:t xml:space="preserve"> –</w:t>
      </w:r>
      <w:r w:rsidR="004C43B7">
        <w:t xml:space="preserve"> </w:t>
      </w:r>
      <w:r>
        <w:t>Adult</w:t>
      </w:r>
      <w:r w:rsidR="004C43B7">
        <w:t xml:space="preserve">, Youth, </w:t>
      </w:r>
      <w:r w:rsidR="007952BD">
        <w:t>Traffic</w:t>
      </w:r>
      <w:r w:rsidR="004C43B7">
        <w:t xml:space="preserve">, and </w:t>
      </w:r>
      <w:r w:rsidR="007952BD">
        <w:t>Domestic Court</w:t>
      </w:r>
      <w:bookmarkEnd w:id="81"/>
    </w:p>
    <w:p w14:paraId="0225D5B1" w14:textId="316AEF9A" w:rsidR="00C1076D" w:rsidRDefault="00C1076D" w:rsidP="00C1076D">
      <w:pPr>
        <w:jc w:val="center"/>
      </w:pPr>
      <w:r>
        <w:rPr>
          <w:noProof/>
          <w:lang w:val="en-US"/>
        </w:rPr>
        <w:drawing>
          <wp:inline distT="0" distB="0" distL="0" distR="0" wp14:anchorId="5A686372" wp14:editId="055538A6">
            <wp:extent cx="6386836" cy="81419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401964" cy="8161203"/>
                    </a:xfrm>
                    <a:prstGeom prst="rect">
                      <a:avLst/>
                    </a:prstGeom>
                  </pic:spPr>
                </pic:pic>
              </a:graphicData>
            </a:graphic>
          </wp:inline>
        </w:drawing>
      </w:r>
    </w:p>
    <w:p w14:paraId="6E76C2BB" w14:textId="45D96BE4" w:rsidR="00C1076D" w:rsidRDefault="00C1076D" w:rsidP="00C1076D">
      <w:pPr>
        <w:jc w:val="center"/>
      </w:pPr>
      <w:r>
        <w:rPr>
          <w:noProof/>
          <w:lang w:val="en-US"/>
        </w:rPr>
        <w:lastRenderedPageBreak/>
        <w:drawing>
          <wp:inline distT="0" distB="0" distL="0" distR="0" wp14:anchorId="771C3D75" wp14:editId="10952C84">
            <wp:extent cx="6263014" cy="7594921"/>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269983" cy="7603372"/>
                    </a:xfrm>
                    <a:prstGeom prst="rect">
                      <a:avLst/>
                    </a:prstGeom>
                  </pic:spPr>
                </pic:pic>
              </a:graphicData>
            </a:graphic>
          </wp:inline>
        </w:drawing>
      </w:r>
    </w:p>
    <w:p w14:paraId="410CDC8D" w14:textId="48A40E40" w:rsidR="00C1076D" w:rsidRDefault="00C1076D" w:rsidP="00C1076D">
      <w:pPr>
        <w:jc w:val="center"/>
      </w:pPr>
    </w:p>
    <w:p w14:paraId="58C37A33" w14:textId="5E33E545" w:rsidR="00C1076D" w:rsidRDefault="00C1076D" w:rsidP="00C1076D">
      <w:pPr>
        <w:jc w:val="center"/>
      </w:pPr>
    </w:p>
    <w:p w14:paraId="07EF73BE" w14:textId="5F0F7175" w:rsidR="00C1076D" w:rsidRDefault="00C1076D" w:rsidP="00C1076D">
      <w:pPr>
        <w:jc w:val="center"/>
      </w:pPr>
      <w:r>
        <w:rPr>
          <w:noProof/>
          <w:lang w:val="en-US"/>
        </w:rPr>
        <w:lastRenderedPageBreak/>
        <w:drawing>
          <wp:inline distT="0" distB="0" distL="0" distR="0" wp14:anchorId="5172FC1B" wp14:editId="19E8A524">
            <wp:extent cx="6419069" cy="6263014"/>
            <wp:effectExtent l="0" t="0" r="1270"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36083" cy="6279615"/>
                    </a:xfrm>
                    <a:prstGeom prst="rect">
                      <a:avLst/>
                    </a:prstGeom>
                  </pic:spPr>
                </pic:pic>
              </a:graphicData>
            </a:graphic>
          </wp:inline>
        </w:drawing>
      </w:r>
    </w:p>
    <w:p w14:paraId="6E808A51" w14:textId="3A1F7D01" w:rsidR="004C43B7" w:rsidRDefault="004C43B7" w:rsidP="00C1076D">
      <w:pPr>
        <w:jc w:val="center"/>
      </w:pPr>
      <w:r>
        <w:rPr>
          <w:noProof/>
          <w:lang w:val="en-US"/>
        </w:rPr>
        <w:lastRenderedPageBreak/>
        <w:drawing>
          <wp:inline distT="0" distB="0" distL="0" distR="0" wp14:anchorId="6127B272" wp14:editId="4AF59774">
            <wp:extent cx="6705600" cy="80962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705600" cy="8096250"/>
                    </a:xfrm>
                    <a:prstGeom prst="rect">
                      <a:avLst/>
                    </a:prstGeom>
                  </pic:spPr>
                </pic:pic>
              </a:graphicData>
            </a:graphic>
          </wp:inline>
        </w:drawing>
      </w:r>
    </w:p>
    <w:p w14:paraId="650B62E8" w14:textId="29B27EB2" w:rsidR="004C43B7" w:rsidRDefault="004C43B7" w:rsidP="00C1076D">
      <w:pPr>
        <w:jc w:val="center"/>
      </w:pPr>
    </w:p>
    <w:p w14:paraId="3FB34217" w14:textId="6F8698A9" w:rsidR="004C43B7" w:rsidRDefault="004C43B7" w:rsidP="00C1076D">
      <w:pPr>
        <w:jc w:val="center"/>
      </w:pPr>
      <w:r>
        <w:rPr>
          <w:noProof/>
          <w:lang w:val="en-US"/>
        </w:rPr>
        <w:lastRenderedPageBreak/>
        <w:drawing>
          <wp:inline distT="0" distB="0" distL="0" distR="0" wp14:anchorId="78115BDB" wp14:editId="4CFDE4F5">
            <wp:extent cx="6696075" cy="808672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696075" cy="8086725"/>
                    </a:xfrm>
                    <a:prstGeom prst="rect">
                      <a:avLst/>
                    </a:prstGeom>
                  </pic:spPr>
                </pic:pic>
              </a:graphicData>
            </a:graphic>
          </wp:inline>
        </w:drawing>
      </w:r>
    </w:p>
    <w:p w14:paraId="199B7C50" w14:textId="1A04D025" w:rsidR="004C43B7" w:rsidRDefault="004C43B7" w:rsidP="00C1076D">
      <w:pPr>
        <w:jc w:val="center"/>
      </w:pPr>
      <w:r>
        <w:rPr>
          <w:noProof/>
          <w:lang w:val="en-US"/>
        </w:rPr>
        <w:lastRenderedPageBreak/>
        <w:drawing>
          <wp:inline distT="0" distB="0" distL="0" distR="0" wp14:anchorId="45B1C9E6" wp14:editId="509B47B5">
            <wp:extent cx="6677025" cy="4514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677025" cy="4514850"/>
                    </a:xfrm>
                    <a:prstGeom prst="rect">
                      <a:avLst/>
                    </a:prstGeom>
                  </pic:spPr>
                </pic:pic>
              </a:graphicData>
            </a:graphic>
          </wp:inline>
        </w:drawing>
      </w:r>
    </w:p>
    <w:p w14:paraId="72B51912" w14:textId="59DD61F2" w:rsidR="009C0C5D" w:rsidRDefault="009C0C5D" w:rsidP="009C0C5D">
      <w:pPr>
        <w:jc w:val="center"/>
      </w:pPr>
      <w:r>
        <w:rPr>
          <w:noProof/>
          <w:lang w:val="en-US"/>
        </w:rPr>
        <w:lastRenderedPageBreak/>
        <w:drawing>
          <wp:inline distT="0" distB="0" distL="0" distR="0" wp14:anchorId="1D0359C8" wp14:editId="6FE4C07A">
            <wp:extent cx="6688899" cy="7765031"/>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696665" cy="7774046"/>
                    </a:xfrm>
                    <a:prstGeom prst="rect">
                      <a:avLst/>
                    </a:prstGeom>
                  </pic:spPr>
                </pic:pic>
              </a:graphicData>
            </a:graphic>
          </wp:inline>
        </w:drawing>
      </w:r>
    </w:p>
    <w:p w14:paraId="2C9E706A" w14:textId="5656B12A" w:rsidR="009C0C5D" w:rsidRDefault="009C0C5D" w:rsidP="00C1076D">
      <w:pPr>
        <w:jc w:val="center"/>
      </w:pPr>
      <w:r>
        <w:rPr>
          <w:noProof/>
          <w:lang w:val="en-US"/>
        </w:rPr>
        <w:lastRenderedPageBreak/>
        <w:drawing>
          <wp:inline distT="0" distB="0" distL="0" distR="0" wp14:anchorId="56D78B59" wp14:editId="549669F2">
            <wp:extent cx="6450904" cy="7788038"/>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56863" cy="7795232"/>
                    </a:xfrm>
                    <a:prstGeom prst="rect">
                      <a:avLst/>
                    </a:prstGeom>
                  </pic:spPr>
                </pic:pic>
              </a:graphicData>
            </a:graphic>
          </wp:inline>
        </w:drawing>
      </w:r>
    </w:p>
    <w:p w14:paraId="4580726F" w14:textId="6BB2D501" w:rsidR="009C0C5D" w:rsidRDefault="009C0C5D" w:rsidP="00C1076D">
      <w:pPr>
        <w:jc w:val="center"/>
      </w:pPr>
    </w:p>
    <w:p w14:paraId="4D605897" w14:textId="00E09E27" w:rsidR="009C0C5D" w:rsidRDefault="009C0C5D" w:rsidP="00CC1270"/>
    <w:p w14:paraId="441FDC4A" w14:textId="275CF872" w:rsidR="00CC1270" w:rsidRDefault="00CC1270" w:rsidP="00CC1270">
      <w:pPr>
        <w:jc w:val="center"/>
      </w:pPr>
      <w:r>
        <w:rPr>
          <w:noProof/>
          <w:lang w:val="en-US"/>
        </w:rPr>
        <w:lastRenderedPageBreak/>
        <w:drawing>
          <wp:inline distT="0" distB="0" distL="0" distR="0" wp14:anchorId="34B3FFFC" wp14:editId="0534BE9D">
            <wp:extent cx="6858000" cy="6084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858000" cy="6084570"/>
                    </a:xfrm>
                    <a:prstGeom prst="rect">
                      <a:avLst/>
                    </a:prstGeom>
                  </pic:spPr>
                </pic:pic>
              </a:graphicData>
            </a:graphic>
          </wp:inline>
        </w:drawing>
      </w:r>
    </w:p>
    <w:p w14:paraId="454B0242" w14:textId="4EFAA31E" w:rsidR="009C0C5D" w:rsidRDefault="00CC1270" w:rsidP="00C1076D">
      <w:pPr>
        <w:jc w:val="center"/>
      </w:pPr>
      <w:r>
        <w:rPr>
          <w:noProof/>
          <w:lang w:val="en-US"/>
        </w:rPr>
        <w:lastRenderedPageBreak/>
        <w:drawing>
          <wp:inline distT="0" distB="0" distL="0" distR="0" wp14:anchorId="005089F9" wp14:editId="65A9FCBD">
            <wp:extent cx="6858000" cy="44723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858000" cy="4472305"/>
                    </a:xfrm>
                    <a:prstGeom prst="rect">
                      <a:avLst/>
                    </a:prstGeom>
                  </pic:spPr>
                </pic:pic>
              </a:graphicData>
            </a:graphic>
          </wp:inline>
        </w:drawing>
      </w:r>
    </w:p>
    <w:p w14:paraId="1882429C" w14:textId="58421A5C" w:rsidR="009C0C5D" w:rsidRDefault="009C0C5D" w:rsidP="00C1076D">
      <w:pPr>
        <w:jc w:val="center"/>
      </w:pPr>
    </w:p>
    <w:p w14:paraId="7AFA2465" w14:textId="695322E3" w:rsidR="009C0C5D" w:rsidRDefault="009C0C5D" w:rsidP="00C1076D">
      <w:pPr>
        <w:jc w:val="center"/>
      </w:pPr>
    </w:p>
    <w:p w14:paraId="356E4365" w14:textId="621C46DE" w:rsidR="009C0C5D" w:rsidRDefault="009C0C5D" w:rsidP="00C1076D">
      <w:pPr>
        <w:jc w:val="center"/>
      </w:pPr>
    </w:p>
    <w:p w14:paraId="71D78FEE" w14:textId="75B9A321" w:rsidR="009C0C5D" w:rsidRDefault="009C0C5D" w:rsidP="00C1076D">
      <w:pPr>
        <w:jc w:val="center"/>
      </w:pPr>
    </w:p>
    <w:p w14:paraId="6DB42AFD" w14:textId="33E20B72" w:rsidR="009C0C5D" w:rsidRDefault="009C0C5D" w:rsidP="00C1076D">
      <w:pPr>
        <w:jc w:val="center"/>
      </w:pPr>
    </w:p>
    <w:p w14:paraId="01DDDEAC" w14:textId="77777777" w:rsidR="009C0C5D" w:rsidRPr="00C1076D" w:rsidRDefault="009C0C5D" w:rsidP="00C1076D">
      <w:pPr>
        <w:jc w:val="center"/>
      </w:pPr>
    </w:p>
    <w:sectPr w:rsidR="009C0C5D" w:rsidRPr="00C1076D" w:rsidSect="00433F56">
      <w:headerReference w:type="default" r:id="rId137"/>
      <w:footerReference w:type="default" r:id="rId138"/>
      <w:pgSz w:w="12240" w:h="15840"/>
      <w:pgMar w:top="720" w:right="720" w:bottom="720" w:left="720" w:header="709" w:footer="709" w:gutter="0"/>
      <w:pgBorders w:offsetFrom="page">
        <w:top w:val="inset" w:sz="6" w:space="24" w:color="auto"/>
        <w:left w:val="inset" w:sz="6" w:space="24" w:color="auto"/>
        <w:bottom w:val="outset" w:sz="6" w:space="24" w:color="auto"/>
        <w:right w:val="outset" w:sz="6"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2CED2" w14:textId="77777777" w:rsidR="00BD62C8" w:rsidRDefault="00BD62C8" w:rsidP="00B82472">
      <w:pPr>
        <w:spacing w:after="0" w:line="240" w:lineRule="auto"/>
      </w:pPr>
      <w:r>
        <w:separator/>
      </w:r>
    </w:p>
  </w:endnote>
  <w:endnote w:type="continuationSeparator" w:id="0">
    <w:p w14:paraId="05FBB15B" w14:textId="77777777" w:rsidR="00BD62C8" w:rsidRDefault="00BD62C8" w:rsidP="00B82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565262"/>
      <w:docPartObj>
        <w:docPartGallery w:val="Page Numbers (Bottom of Page)"/>
        <w:docPartUnique/>
      </w:docPartObj>
    </w:sdtPr>
    <w:sdtContent>
      <w:p w14:paraId="10205AAD" w14:textId="01CE67BC" w:rsidR="00A56EB4" w:rsidRDefault="00A56EB4" w:rsidP="009A319F">
        <w:pPr>
          <w:pStyle w:val="Footer"/>
          <w:jc w:val="right"/>
        </w:pPr>
        <w:r>
          <w:t xml:space="preserve">Page | </w:t>
        </w:r>
        <w:r>
          <w:fldChar w:fldCharType="begin"/>
        </w:r>
        <w:r>
          <w:instrText xml:space="preserve"> PAGE   \* MERGEFORMAT </w:instrText>
        </w:r>
        <w:r>
          <w:fldChar w:fldCharType="separate"/>
        </w:r>
        <w:r>
          <w:rPr>
            <w:noProof/>
          </w:rPr>
          <w:t>36</w:t>
        </w:r>
        <w:r>
          <w:rPr>
            <w:noProof/>
          </w:rPr>
          <w:fldChar w:fldCharType="end"/>
        </w:r>
        <w: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3B793" w14:textId="77777777" w:rsidR="00BD62C8" w:rsidRDefault="00BD62C8" w:rsidP="00B82472">
      <w:pPr>
        <w:spacing w:after="0" w:line="240" w:lineRule="auto"/>
      </w:pPr>
      <w:r>
        <w:separator/>
      </w:r>
    </w:p>
  </w:footnote>
  <w:footnote w:type="continuationSeparator" w:id="0">
    <w:p w14:paraId="6F5A25CB" w14:textId="77777777" w:rsidR="00BD62C8" w:rsidRDefault="00BD62C8" w:rsidP="00B82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49DE6" w14:textId="419C52DC" w:rsidR="00A56EB4" w:rsidRPr="00864CC2" w:rsidRDefault="00A56EB4" w:rsidP="00864CC2">
    <w:pPr>
      <w:pBdr>
        <w:left w:val="single" w:sz="12" w:space="11" w:color="336699" w:themeColor="accent1"/>
      </w:pBdr>
      <w:tabs>
        <w:tab w:val="left" w:pos="3620"/>
        <w:tab w:val="left" w:pos="3964"/>
        <w:tab w:val="left" w:pos="10117"/>
      </w:tabs>
      <w:spacing w:after="0"/>
      <w:rPr>
        <w:rFonts w:asciiTheme="majorHAnsi" w:eastAsiaTheme="majorEastAsia" w:hAnsiTheme="majorHAnsi" w:cstheme="majorBidi"/>
        <w:color w:val="264C72" w:themeColor="accent1" w:themeShade="BF"/>
        <w:sz w:val="26"/>
        <w:szCs w:val="26"/>
      </w:rPr>
    </w:pPr>
    <w:r>
      <w:rPr>
        <w:rFonts w:asciiTheme="majorHAnsi" w:eastAsiaTheme="majorEastAsia" w:hAnsiTheme="majorHAnsi" w:cstheme="majorBidi"/>
        <w:color w:val="264C72" w:themeColor="accent1" w:themeShade="BF"/>
        <w:sz w:val="26"/>
        <w:szCs w:val="26"/>
      </w:rPr>
      <w:t xml:space="preserve">        </w:t>
    </w:r>
    <w:r>
      <w:rPr>
        <w:noProof/>
        <w:lang w:val="en-US"/>
      </w:rPr>
      <w:drawing>
        <wp:anchor distT="0" distB="0" distL="114300" distR="114300" simplePos="0" relativeHeight="246799872" behindDoc="0" locked="0" layoutInCell="1" allowOverlap="1" wp14:anchorId="438203E4" wp14:editId="0D4E6D28">
          <wp:simplePos x="0" y="0"/>
          <wp:positionH relativeFrom="margin">
            <wp:align>left</wp:align>
          </wp:positionH>
          <wp:positionV relativeFrom="paragraph">
            <wp:posOffset>-51973</wp:posOffset>
          </wp:positionV>
          <wp:extent cx="327660" cy="327660"/>
          <wp:effectExtent l="0" t="0" r="0" b="0"/>
          <wp:wrapNone/>
          <wp:docPr id="479" name="Picture 479" descr="Image result for elizabeth fry cal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fry calg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color w:val="264C72" w:themeColor="accent1" w:themeShade="BF"/>
          <w:sz w:val="26"/>
          <w:szCs w:val="26"/>
        </w:rPr>
        <w:alias w:val="Title"/>
        <w:tag w:val=""/>
        <w:id w:val="-932208079"/>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4C72" w:themeColor="accent1" w:themeShade="BF"/>
            <w:sz w:val="26"/>
            <w:szCs w:val="26"/>
          </w:rPr>
          <w:t>Court Service Provision Report, January 2017-December 2018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A4E"/>
    <w:multiLevelType w:val="hybridMultilevel"/>
    <w:tmpl w:val="63CC0E14"/>
    <w:lvl w:ilvl="0" w:tplc="DA187F20">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1669BC"/>
    <w:multiLevelType w:val="hybridMultilevel"/>
    <w:tmpl w:val="5E869E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7C3444"/>
    <w:multiLevelType w:val="hybridMultilevel"/>
    <w:tmpl w:val="8E0E40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747843"/>
    <w:multiLevelType w:val="hybridMultilevel"/>
    <w:tmpl w:val="096CD5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92A427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85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CEA0310"/>
    <w:multiLevelType w:val="hybridMultilevel"/>
    <w:tmpl w:val="6F9E92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4E73A6"/>
    <w:multiLevelType w:val="hybridMultilevel"/>
    <w:tmpl w:val="C83EA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F31D3C"/>
    <w:multiLevelType w:val="hybridMultilevel"/>
    <w:tmpl w:val="A02E9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234D37"/>
    <w:multiLevelType w:val="hybridMultilevel"/>
    <w:tmpl w:val="03DC7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F076A9"/>
    <w:multiLevelType w:val="hybridMultilevel"/>
    <w:tmpl w:val="6A3616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B43F11"/>
    <w:multiLevelType w:val="hybridMultilevel"/>
    <w:tmpl w:val="9FB43E1E"/>
    <w:lvl w:ilvl="0" w:tplc="69C6324A">
      <w:start w:val="10"/>
      <w:numFmt w:val="bullet"/>
      <w:lvlText w:val="-"/>
      <w:lvlJc w:val="left"/>
      <w:pPr>
        <w:ind w:left="720" w:hanging="360"/>
      </w:pPr>
      <w:rPr>
        <w:rFonts w:ascii="Trebuchet MS" w:eastAsiaTheme="minorEastAsia" w:hAnsi="Trebuchet M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1FA590B"/>
    <w:multiLevelType w:val="multilevel"/>
    <w:tmpl w:val="AC46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F0A6B"/>
    <w:multiLevelType w:val="multilevel"/>
    <w:tmpl w:val="D554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206BAE"/>
    <w:multiLevelType w:val="multilevel"/>
    <w:tmpl w:val="66EC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862960"/>
    <w:multiLevelType w:val="hybridMultilevel"/>
    <w:tmpl w:val="02FA70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87E4881"/>
    <w:multiLevelType w:val="multilevel"/>
    <w:tmpl w:val="6B10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385B7F"/>
    <w:multiLevelType w:val="multilevel"/>
    <w:tmpl w:val="C2D8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9F7D75"/>
    <w:multiLevelType w:val="hybridMultilevel"/>
    <w:tmpl w:val="A15264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56C920D9"/>
    <w:multiLevelType w:val="hybridMultilevel"/>
    <w:tmpl w:val="C12A060A"/>
    <w:lvl w:ilvl="0" w:tplc="10090001">
      <w:start w:val="1"/>
      <w:numFmt w:val="bullet"/>
      <w:lvlText w:val=""/>
      <w:lvlJc w:val="left"/>
      <w:pPr>
        <w:ind w:left="1352" w:hanging="360"/>
      </w:pPr>
      <w:rPr>
        <w:rFonts w:ascii="Symbol" w:hAnsi="Symbol" w:hint="default"/>
      </w:rPr>
    </w:lvl>
    <w:lvl w:ilvl="1" w:tplc="10090003">
      <w:start w:val="1"/>
      <w:numFmt w:val="bullet"/>
      <w:lvlText w:val="o"/>
      <w:lvlJc w:val="left"/>
      <w:pPr>
        <w:ind w:left="2072" w:hanging="360"/>
      </w:pPr>
      <w:rPr>
        <w:rFonts w:ascii="Courier New" w:hAnsi="Courier New" w:cs="Courier New" w:hint="default"/>
      </w:rPr>
    </w:lvl>
    <w:lvl w:ilvl="2" w:tplc="10090005" w:tentative="1">
      <w:start w:val="1"/>
      <w:numFmt w:val="bullet"/>
      <w:lvlText w:val=""/>
      <w:lvlJc w:val="left"/>
      <w:pPr>
        <w:ind w:left="2792" w:hanging="360"/>
      </w:pPr>
      <w:rPr>
        <w:rFonts w:ascii="Wingdings" w:hAnsi="Wingdings" w:hint="default"/>
      </w:rPr>
    </w:lvl>
    <w:lvl w:ilvl="3" w:tplc="10090001" w:tentative="1">
      <w:start w:val="1"/>
      <w:numFmt w:val="bullet"/>
      <w:lvlText w:val=""/>
      <w:lvlJc w:val="left"/>
      <w:pPr>
        <w:ind w:left="3512" w:hanging="360"/>
      </w:pPr>
      <w:rPr>
        <w:rFonts w:ascii="Symbol" w:hAnsi="Symbol" w:hint="default"/>
      </w:rPr>
    </w:lvl>
    <w:lvl w:ilvl="4" w:tplc="10090003" w:tentative="1">
      <w:start w:val="1"/>
      <w:numFmt w:val="bullet"/>
      <w:lvlText w:val="o"/>
      <w:lvlJc w:val="left"/>
      <w:pPr>
        <w:ind w:left="4232" w:hanging="360"/>
      </w:pPr>
      <w:rPr>
        <w:rFonts w:ascii="Courier New" w:hAnsi="Courier New" w:cs="Courier New" w:hint="default"/>
      </w:rPr>
    </w:lvl>
    <w:lvl w:ilvl="5" w:tplc="10090005" w:tentative="1">
      <w:start w:val="1"/>
      <w:numFmt w:val="bullet"/>
      <w:lvlText w:val=""/>
      <w:lvlJc w:val="left"/>
      <w:pPr>
        <w:ind w:left="4952" w:hanging="360"/>
      </w:pPr>
      <w:rPr>
        <w:rFonts w:ascii="Wingdings" w:hAnsi="Wingdings" w:hint="default"/>
      </w:rPr>
    </w:lvl>
    <w:lvl w:ilvl="6" w:tplc="10090001" w:tentative="1">
      <w:start w:val="1"/>
      <w:numFmt w:val="bullet"/>
      <w:lvlText w:val=""/>
      <w:lvlJc w:val="left"/>
      <w:pPr>
        <w:ind w:left="5672" w:hanging="360"/>
      </w:pPr>
      <w:rPr>
        <w:rFonts w:ascii="Symbol" w:hAnsi="Symbol" w:hint="default"/>
      </w:rPr>
    </w:lvl>
    <w:lvl w:ilvl="7" w:tplc="10090003" w:tentative="1">
      <w:start w:val="1"/>
      <w:numFmt w:val="bullet"/>
      <w:lvlText w:val="o"/>
      <w:lvlJc w:val="left"/>
      <w:pPr>
        <w:ind w:left="6392" w:hanging="360"/>
      </w:pPr>
      <w:rPr>
        <w:rFonts w:ascii="Courier New" w:hAnsi="Courier New" w:cs="Courier New" w:hint="default"/>
      </w:rPr>
    </w:lvl>
    <w:lvl w:ilvl="8" w:tplc="10090005" w:tentative="1">
      <w:start w:val="1"/>
      <w:numFmt w:val="bullet"/>
      <w:lvlText w:val=""/>
      <w:lvlJc w:val="left"/>
      <w:pPr>
        <w:ind w:left="7112" w:hanging="360"/>
      </w:pPr>
      <w:rPr>
        <w:rFonts w:ascii="Wingdings" w:hAnsi="Wingdings" w:hint="default"/>
      </w:rPr>
    </w:lvl>
  </w:abstractNum>
  <w:abstractNum w:abstractNumId="19" w15:restartNumberingAfterBreak="0">
    <w:nsid w:val="63395EF0"/>
    <w:multiLevelType w:val="hybridMultilevel"/>
    <w:tmpl w:val="CF4A09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516592"/>
    <w:multiLevelType w:val="hybridMultilevel"/>
    <w:tmpl w:val="D2442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D6A3F35"/>
    <w:multiLevelType w:val="multilevel"/>
    <w:tmpl w:val="4292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B50C01"/>
    <w:multiLevelType w:val="multilevel"/>
    <w:tmpl w:val="61DC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6D151E"/>
    <w:multiLevelType w:val="hybridMultilevel"/>
    <w:tmpl w:val="A3F21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A097851"/>
    <w:multiLevelType w:val="multilevel"/>
    <w:tmpl w:val="071C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20"/>
  </w:num>
  <w:num w:numId="4">
    <w:abstractNumId w:val="5"/>
  </w:num>
  <w:num w:numId="5">
    <w:abstractNumId w:val="23"/>
  </w:num>
  <w:num w:numId="6">
    <w:abstractNumId w:val="0"/>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10"/>
  </w:num>
  <w:num w:numId="18">
    <w:abstractNumId w:val="1"/>
  </w:num>
  <w:num w:numId="19">
    <w:abstractNumId w:val="6"/>
  </w:num>
  <w:num w:numId="20">
    <w:abstractNumId w:val="3"/>
  </w:num>
  <w:num w:numId="21">
    <w:abstractNumId w:val="2"/>
  </w:num>
  <w:num w:numId="22">
    <w:abstractNumId w:val="22"/>
  </w:num>
  <w:num w:numId="23">
    <w:abstractNumId w:val="15"/>
  </w:num>
  <w:num w:numId="24">
    <w:abstractNumId w:val="24"/>
  </w:num>
  <w:num w:numId="25">
    <w:abstractNumId w:val="13"/>
  </w:num>
  <w:num w:numId="26">
    <w:abstractNumId w:val="21"/>
  </w:num>
  <w:num w:numId="27">
    <w:abstractNumId w:val="11"/>
  </w:num>
  <w:num w:numId="28">
    <w:abstractNumId w:val="19"/>
  </w:num>
  <w:num w:numId="29">
    <w:abstractNumId w:val="9"/>
  </w:num>
  <w:num w:numId="30">
    <w:abstractNumId w:val="14"/>
  </w:num>
  <w:num w:numId="31">
    <w:abstractNumId w:val="8"/>
  </w:num>
  <w:num w:numId="32">
    <w:abstractNumId w:val="7"/>
  </w:num>
  <w:num w:numId="33">
    <w:abstractNumId w:val="1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51E"/>
    <w:rsid w:val="00000612"/>
    <w:rsid w:val="000009A6"/>
    <w:rsid w:val="00000E10"/>
    <w:rsid w:val="00001A4E"/>
    <w:rsid w:val="00001FA7"/>
    <w:rsid w:val="000035BF"/>
    <w:rsid w:val="000056EF"/>
    <w:rsid w:val="000061EE"/>
    <w:rsid w:val="00006246"/>
    <w:rsid w:val="0000706C"/>
    <w:rsid w:val="00010B48"/>
    <w:rsid w:val="00010BDE"/>
    <w:rsid w:val="00010CBD"/>
    <w:rsid w:val="000129FF"/>
    <w:rsid w:val="00013156"/>
    <w:rsid w:val="00013379"/>
    <w:rsid w:val="000168A5"/>
    <w:rsid w:val="00017F2B"/>
    <w:rsid w:val="000224AD"/>
    <w:rsid w:val="00022E1D"/>
    <w:rsid w:val="00023141"/>
    <w:rsid w:val="000263D8"/>
    <w:rsid w:val="00030AB2"/>
    <w:rsid w:val="00031E86"/>
    <w:rsid w:val="0003251E"/>
    <w:rsid w:val="00032863"/>
    <w:rsid w:val="00033622"/>
    <w:rsid w:val="00034888"/>
    <w:rsid w:val="00036622"/>
    <w:rsid w:val="000371B0"/>
    <w:rsid w:val="00037EC3"/>
    <w:rsid w:val="00043B0D"/>
    <w:rsid w:val="0004403E"/>
    <w:rsid w:val="00044DD2"/>
    <w:rsid w:val="00046D47"/>
    <w:rsid w:val="00047052"/>
    <w:rsid w:val="0004707D"/>
    <w:rsid w:val="000477FD"/>
    <w:rsid w:val="000504B7"/>
    <w:rsid w:val="00052D9B"/>
    <w:rsid w:val="00052F85"/>
    <w:rsid w:val="00053C0B"/>
    <w:rsid w:val="0005513B"/>
    <w:rsid w:val="00056B42"/>
    <w:rsid w:val="00056B75"/>
    <w:rsid w:val="000572E2"/>
    <w:rsid w:val="00062614"/>
    <w:rsid w:val="00063449"/>
    <w:rsid w:val="00063851"/>
    <w:rsid w:val="00063FD5"/>
    <w:rsid w:val="0006696A"/>
    <w:rsid w:val="000709B7"/>
    <w:rsid w:val="00071BEC"/>
    <w:rsid w:val="000729F1"/>
    <w:rsid w:val="0007461B"/>
    <w:rsid w:val="00077299"/>
    <w:rsid w:val="00077411"/>
    <w:rsid w:val="0007774B"/>
    <w:rsid w:val="000808A4"/>
    <w:rsid w:val="000810E3"/>
    <w:rsid w:val="000822B2"/>
    <w:rsid w:val="0008294A"/>
    <w:rsid w:val="00083C66"/>
    <w:rsid w:val="00086559"/>
    <w:rsid w:val="00086E32"/>
    <w:rsid w:val="00087364"/>
    <w:rsid w:val="00091386"/>
    <w:rsid w:val="00091B31"/>
    <w:rsid w:val="000925BB"/>
    <w:rsid w:val="00093ADC"/>
    <w:rsid w:val="0009483C"/>
    <w:rsid w:val="000951D5"/>
    <w:rsid w:val="000965B0"/>
    <w:rsid w:val="00097513"/>
    <w:rsid w:val="00097D00"/>
    <w:rsid w:val="000A0D7B"/>
    <w:rsid w:val="000A32EB"/>
    <w:rsid w:val="000A3897"/>
    <w:rsid w:val="000A4AB2"/>
    <w:rsid w:val="000A4DDE"/>
    <w:rsid w:val="000A5A32"/>
    <w:rsid w:val="000A6E23"/>
    <w:rsid w:val="000A70C6"/>
    <w:rsid w:val="000A748E"/>
    <w:rsid w:val="000A7EAD"/>
    <w:rsid w:val="000A7F83"/>
    <w:rsid w:val="000B0547"/>
    <w:rsid w:val="000B110B"/>
    <w:rsid w:val="000B1309"/>
    <w:rsid w:val="000B1679"/>
    <w:rsid w:val="000B18F7"/>
    <w:rsid w:val="000B3DFC"/>
    <w:rsid w:val="000B4FF0"/>
    <w:rsid w:val="000B504E"/>
    <w:rsid w:val="000B5D24"/>
    <w:rsid w:val="000C06BE"/>
    <w:rsid w:val="000C1F52"/>
    <w:rsid w:val="000C2409"/>
    <w:rsid w:val="000C438B"/>
    <w:rsid w:val="000C491C"/>
    <w:rsid w:val="000C4974"/>
    <w:rsid w:val="000C4F29"/>
    <w:rsid w:val="000C5EA6"/>
    <w:rsid w:val="000C6185"/>
    <w:rsid w:val="000C6564"/>
    <w:rsid w:val="000C6DAD"/>
    <w:rsid w:val="000C72F5"/>
    <w:rsid w:val="000D0896"/>
    <w:rsid w:val="000D1E35"/>
    <w:rsid w:val="000D2E82"/>
    <w:rsid w:val="000D3A67"/>
    <w:rsid w:val="000D4897"/>
    <w:rsid w:val="000D4C44"/>
    <w:rsid w:val="000D57DD"/>
    <w:rsid w:val="000D6DA4"/>
    <w:rsid w:val="000D72F7"/>
    <w:rsid w:val="000D7932"/>
    <w:rsid w:val="000D7DA3"/>
    <w:rsid w:val="000E0D9C"/>
    <w:rsid w:val="000E1319"/>
    <w:rsid w:val="000E1852"/>
    <w:rsid w:val="000E2693"/>
    <w:rsid w:val="000E38A4"/>
    <w:rsid w:val="000E466E"/>
    <w:rsid w:val="000E4778"/>
    <w:rsid w:val="000E4BFF"/>
    <w:rsid w:val="000E4DCD"/>
    <w:rsid w:val="000E7116"/>
    <w:rsid w:val="000F1C8E"/>
    <w:rsid w:val="000F1D9B"/>
    <w:rsid w:val="000F2BEB"/>
    <w:rsid w:val="000F3096"/>
    <w:rsid w:val="000F39CF"/>
    <w:rsid w:val="000F3D20"/>
    <w:rsid w:val="000F574F"/>
    <w:rsid w:val="000F7270"/>
    <w:rsid w:val="00100200"/>
    <w:rsid w:val="001017A4"/>
    <w:rsid w:val="00101869"/>
    <w:rsid w:val="00101F91"/>
    <w:rsid w:val="001027A4"/>
    <w:rsid w:val="00102F30"/>
    <w:rsid w:val="001038CA"/>
    <w:rsid w:val="00103D64"/>
    <w:rsid w:val="00103ED8"/>
    <w:rsid w:val="00103FCA"/>
    <w:rsid w:val="00107CB1"/>
    <w:rsid w:val="00110FEA"/>
    <w:rsid w:val="0011131B"/>
    <w:rsid w:val="0011378D"/>
    <w:rsid w:val="00113A5D"/>
    <w:rsid w:val="00113E63"/>
    <w:rsid w:val="00116718"/>
    <w:rsid w:val="0011717F"/>
    <w:rsid w:val="0011747D"/>
    <w:rsid w:val="00122301"/>
    <w:rsid w:val="001229AC"/>
    <w:rsid w:val="00122DBC"/>
    <w:rsid w:val="001233EF"/>
    <w:rsid w:val="00124451"/>
    <w:rsid w:val="00124BEE"/>
    <w:rsid w:val="00125188"/>
    <w:rsid w:val="00127F92"/>
    <w:rsid w:val="001305BD"/>
    <w:rsid w:val="001306C0"/>
    <w:rsid w:val="0013200A"/>
    <w:rsid w:val="001323CA"/>
    <w:rsid w:val="00132C71"/>
    <w:rsid w:val="00133447"/>
    <w:rsid w:val="00133894"/>
    <w:rsid w:val="00133BEC"/>
    <w:rsid w:val="00134145"/>
    <w:rsid w:val="00135A52"/>
    <w:rsid w:val="00136878"/>
    <w:rsid w:val="00137235"/>
    <w:rsid w:val="00137C89"/>
    <w:rsid w:val="00140AD1"/>
    <w:rsid w:val="001418A3"/>
    <w:rsid w:val="00141A7A"/>
    <w:rsid w:val="0014226B"/>
    <w:rsid w:val="0014323F"/>
    <w:rsid w:val="00143E50"/>
    <w:rsid w:val="001452F4"/>
    <w:rsid w:val="00145395"/>
    <w:rsid w:val="00146F18"/>
    <w:rsid w:val="00147B9D"/>
    <w:rsid w:val="00147C80"/>
    <w:rsid w:val="00147F89"/>
    <w:rsid w:val="0015024D"/>
    <w:rsid w:val="0015087C"/>
    <w:rsid w:val="00150F7A"/>
    <w:rsid w:val="00151D1C"/>
    <w:rsid w:val="001538F1"/>
    <w:rsid w:val="00154341"/>
    <w:rsid w:val="00154379"/>
    <w:rsid w:val="00154391"/>
    <w:rsid w:val="001546AA"/>
    <w:rsid w:val="001547F0"/>
    <w:rsid w:val="001558EE"/>
    <w:rsid w:val="001563ED"/>
    <w:rsid w:val="00156AD7"/>
    <w:rsid w:val="00157AFA"/>
    <w:rsid w:val="00160AB9"/>
    <w:rsid w:val="00160B0A"/>
    <w:rsid w:val="00161825"/>
    <w:rsid w:val="0016251A"/>
    <w:rsid w:val="00162810"/>
    <w:rsid w:val="00162CC9"/>
    <w:rsid w:val="00162DAC"/>
    <w:rsid w:val="00163346"/>
    <w:rsid w:val="00163890"/>
    <w:rsid w:val="0016497A"/>
    <w:rsid w:val="00167A81"/>
    <w:rsid w:val="0017130D"/>
    <w:rsid w:val="00171985"/>
    <w:rsid w:val="00171A23"/>
    <w:rsid w:val="00171C6F"/>
    <w:rsid w:val="00172B1E"/>
    <w:rsid w:val="00172B4C"/>
    <w:rsid w:val="00172E76"/>
    <w:rsid w:val="0017346A"/>
    <w:rsid w:val="001764BA"/>
    <w:rsid w:val="001771F0"/>
    <w:rsid w:val="00177D78"/>
    <w:rsid w:val="00177E72"/>
    <w:rsid w:val="00180C5A"/>
    <w:rsid w:val="00183A6F"/>
    <w:rsid w:val="00183D9E"/>
    <w:rsid w:val="00184A57"/>
    <w:rsid w:val="001854E0"/>
    <w:rsid w:val="00185F37"/>
    <w:rsid w:val="00186E45"/>
    <w:rsid w:val="001909ED"/>
    <w:rsid w:val="001928EC"/>
    <w:rsid w:val="00193669"/>
    <w:rsid w:val="00193EB0"/>
    <w:rsid w:val="00195523"/>
    <w:rsid w:val="001965C8"/>
    <w:rsid w:val="00196F51"/>
    <w:rsid w:val="001970F3"/>
    <w:rsid w:val="00197479"/>
    <w:rsid w:val="001A2D38"/>
    <w:rsid w:val="001A42BA"/>
    <w:rsid w:val="001A42BD"/>
    <w:rsid w:val="001A5444"/>
    <w:rsid w:val="001A5B4A"/>
    <w:rsid w:val="001A7758"/>
    <w:rsid w:val="001A7AC7"/>
    <w:rsid w:val="001A7D6C"/>
    <w:rsid w:val="001B1A62"/>
    <w:rsid w:val="001B2335"/>
    <w:rsid w:val="001B240B"/>
    <w:rsid w:val="001B26F4"/>
    <w:rsid w:val="001B43DE"/>
    <w:rsid w:val="001B5553"/>
    <w:rsid w:val="001B6ADE"/>
    <w:rsid w:val="001B74E0"/>
    <w:rsid w:val="001B7927"/>
    <w:rsid w:val="001C0CEC"/>
    <w:rsid w:val="001C0DE9"/>
    <w:rsid w:val="001C1B43"/>
    <w:rsid w:val="001C238F"/>
    <w:rsid w:val="001C2740"/>
    <w:rsid w:val="001C283F"/>
    <w:rsid w:val="001C40FC"/>
    <w:rsid w:val="001C48E7"/>
    <w:rsid w:val="001C6D95"/>
    <w:rsid w:val="001C6DE4"/>
    <w:rsid w:val="001C711B"/>
    <w:rsid w:val="001D02C2"/>
    <w:rsid w:val="001D097B"/>
    <w:rsid w:val="001D0AFA"/>
    <w:rsid w:val="001D0C7A"/>
    <w:rsid w:val="001D2C0C"/>
    <w:rsid w:val="001D5E14"/>
    <w:rsid w:val="001E002A"/>
    <w:rsid w:val="001E0064"/>
    <w:rsid w:val="001E0557"/>
    <w:rsid w:val="001E0571"/>
    <w:rsid w:val="001E09D4"/>
    <w:rsid w:val="001E0A3C"/>
    <w:rsid w:val="001E1802"/>
    <w:rsid w:val="001E1AC5"/>
    <w:rsid w:val="001E26AD"/>
    <w:rsid w:val="001E3254"/>
    <w:rsid w:val="001E568D"/>
    <w:rsid w:val="001E6474"/>
    <w:rsid w:val="001F0DF7"/>
    <w:rsid w:val="001F136B"/>
    <w:rsid w:val="001F2217"/>
    <w:rsid w:val="001F3624"/>
    <w:rsid w:val="001F4095"/>
    <w:rsid w:val="001F49E9"/>
    <w:rsid w:val="001F52FC"/>
    <w:rsid w:val="001F6401"/>
    <w:rsid w:val="001F669B"/>
    <w:rsid w:val="001F7AAC"/>
    <w:rsid w:val="002003BD"/>
    <w:rsid w:val="00200F72"/>
    <w:rsid w:val="00201027"/>
    <w:rsid w:val="00203C57"/>
    <w:rsid w:val="00205610"/>
    <w:rsid w:val="0020619F"/>
    <w:rsid w:val="0020699F"/>
    <w:rsid w:val="00206C26"/>
    <w:rsid w:val="00206EF5"/>
    <w:rsid w:val="002072A4"/>
    <w:rsid w:val="00210278"/>
    <w:rsid w:val="002105B8"/>
    <w:rsid w:val="0021082D"/>
    <w:rsid w:val="0021184E"/>
    <w:rsid w:val="00211B27"/>
    <w:rsid w:val="0021238D"/>
    <w:rsid w:val="00212C84"/>
    <w:rsid w:val="00214898"/>
    <w:rsid w:val="00214A13"/>
    <w:rsid w:val="00214B98"/>
    <w:rsid w:val="00214F25"/>
    <w:rsid w:val="002225D0"/>
    <w:rsid w:val="002238A7"/>
    <w:rsid w:val="00223C93"/>
    <w:rsid w:val="00223F0D"/>
    <w:rsid w:val="00225AF8"/>
    <w:rsid w:val="00226AF2"/>
    <w:rsid w:val="00230001"/>
    <w:rsid w:val="00232EF7"/>
    <w:rsid w:val="002350FD"/>
    <w:rsid w:val="00235CDB"/>
    <w:rsid w:val="00235DDD"/>
    <w:rsid w:val="002360E1"/>
    <w:rsid w:val="00236B79"/>
    <w:rsid w:val="00236C54"/>
    <w:rsid w:val="002371C7"/>
    <w:rsid w:val="0024031C"/>
    <w:rsid w:val="00242320"/>
    <w:rsid w:val="00242FBB"/>
    <w:rsid w:val="00243806"/>
    <w:rsid w:val="0024722E"/>
    <w:rsid w:val="00251D93"/>
    <w:rsid w:val="00251E60"/>
    <w:rsid w:val="00252AB3"/>
    <w:rsid w:val="00252AF3"/>
    <w:rsid w:val="002537E3"/>
    <w:rsid w:val="00253816"/>
    <w:rsid w:val="00253FA8"/>
    <w:rsid w:val="002551DE"/>
    <w:rsid w:val="002565F2"/>
    <w:rsid w:val="0025678F"/>
    <w:rsid w:val="00256CC3"/>
    <w:rsid w:val="00257FF3"/>
    <w:rsid w:val="002602E1"/>
    <w:rsid w:val="002617B9"/>
    <w:rsid w:val="00261BFC"/>
    <w:rsid w:val="00262A5A"/>
    <w:rsid w:val="0026325E"/>
    <w:rsid w:val="0026355F"/>
    <w:rsid w:val="00264438"/>
    <w:rsid w:val="00264768"/>
    <w:rsid w:val="002648B0"/>
    <w:rsid w:val="00264B7C"/>
    <w:rsid w:val="00265BA3"/>
    <w:rsid w:val="00265FAF"/>
    <w:rsid w:val="002671F8"/>
    <w:rsid w:val="002678A5"/>
    <w:rsid w:val="00270A02"/>
    <w:rsid w:val="00270E81"/>
    <w:rsid w:val="002713E0"/>
    <w:rsid w:val="002720E6"/>
    <w:rsid w:val="00272372"/>
    <w:rsid w:val="002729FF"/>
    <w:rsid w:val="00273439"/>
    <w:rsid w:val="00273C75"/>
    <w:rsid w:val="0027648C"/>
    <w:rsid w:val="002765CD"/>
    <w:rsid w:val="002768A3"/>
    <w:rsid w:val="00277209"/>
    <w:rsid w:val="00277835"/>
    <w:rsid w:val="002779C3"/>
    <w:rsid w:val="002821FF"/>
    <w:rsid w:val="0028225C"/>
    <w:rsid w:val="0028301E"/>
    <w:rsid w:val="00283656"/>
    <w:rsid w:val="002836DC"/>
    <w:rsid w:val="00285589"/>
    <w:rsid w:val="002871B8"/>
    <w:rsid w:val="00290533"/>
    <w:rsid w:val="0029119D"/>
    <w:rsid w:val="00293AFF"/>
    <w:rsid w:val="00294B91"/>
    <w:rsid w:val="00294D26"/>
    <w:rsid w:val="002958F6"/>
    <w:rsid w:val="00297946"/>
    <w:rsid w:val="002A06C8"/>
    <w:rsid w:val="002A2368"/>
    <w:rsid w:val="002A3763"/>
    <w:rsid w:val="002A3CE9"/>
    <w:rsid w:val="002B13BC"/>
    <w:rsid w:val="002B1666"/>
    <w:rsid w:val="002B237F"/>
    <w:rsid w:val="002B42B5"/>
    <w:rsid w:val="002B47E4"/>
    <w:rsid w:val="002B6E08"/>
    <w:rsid w:val="002B72B0"/>
    <w:rsid w:val="002C2EE3"/>
    <w:rsid w:val="002C4860"/>
    <w:rsid w:val="002C6635"/>
    <w:rsid w:val="002C6ABD"/>
    <w:rsid w:val="002C6BBB"/>
    <w:rsid w:val="002D0339"/>
    <w:rsid w:val="002D03DD"/>
    <w:rsid w:val="002D05DE"/>
    <w:rsid w:val="002D1F70"/>
    <w:rsid w:val="002D22C8"/>
    <w:rsid w:val="002D22D4"/>
    <w:rsid w:val="002D5B55"/>
    <w:rsid w:val="002D6254"/>
    <w:rsid w:val="002D6931"/>
    <w:rsid w:val="002E1681"/>
    <w:rsid w:val="002E18F4"/>
    <w:rsid w:val="002E1D94"/>
    <w:rsid w:val="002E202F"/>
    <w:rsid w:val="002E6544"/>
    <w:rsid w:val="002E708A"/>
    <w:rsid w:val="002E7437"/>
    <w:rsid w:val="002F004C"/>
    <w:rsid w:val="002F015C"/>
    <w:rsid w:val="002F1ECE"/>
    <w:rsid w:val="002F1F54"/>
    <w:rsid w:val="002F2023"/>
    <w:rsid w:val="002F4BC5"/>
    <w:rsid w:val="002F5AC3"/>
    <w:rsid w:val="002F5F76"/>
    <w:rsid w:val="002F643F"/>
    <w:rsid w:val="002F6845"/>
    <w:rsid w:val="002F6B9D"/>
    <w:rsid w:val="002F7A8F"/>
    <w:rsid w:val="0030034F"/>
    <w:rsid w:val="00300594"/>
    <w:rsid w:val="0030256A"/>
    <w:rsid w:val="0030283B"/>
    <w:rsid w:val="003035DE"/>
    <w:rsid w:val="003035E9"/>
    <w:rsid w:val="0031126A"/>
    <w:rsid w:val="0031403F"/>
    <w:rsid w:val="00314567"/>
    <w:rsid w:val="003166E4"/>
    <w:rsid w:val="0031698E"/>
    <w:rsid w:val="00317DDA"/>
    <w:rsid w:val="00320CCA"/>
    <w:rsid w:val="0032181D"/>
    <w:rsid w:val="00321C2C"/>
    <w:rsid w:val="00323148"/>
    <w:rsid w:val="00325552"/>
    <w:rsid w:val="00325568"/>
    <w:rsid w:val="00326AB6"/>
    <w:rsid w:val="00330247"/>
    <w:rsid w:val="00330F28"/>
    <w:rsid w:val="00331742"/>
    <w:rsid w:val="00332034"/>
    <w:rsid w:val="00332BC1"/>
    <w:rsid w:val="0033308C"/>
    <w:rsid w:val="00333527"/>
    <w:rsid w:val="00333D4B"/>
    <w:rsid w:val="00335542"/>
    <w:rsid w:val="0033563A"/>
    <w:rsid w:val="003359F2"/>
    <w:rsid w:val="00335A01"/>
    <w:rsid w:val="0033632E"/>
    <w:rsid w:val="00340737"/>
    <w:rsid w:val="0034271E"/>
    <w:rsid w:val="00342F84"/>
    <w:rsid w:val="0034351E"/>
    <w:rsid w:val="00344C56"/>
    <w:rsid w:val="00345826"/>
    <w:rsid w:val="00345854"/>
    <w:rsid w:val="00346AEB"/>
    <w:rsid w:val="0034731A"/>
    <w:rsid w:val="00350D9E"/>
    <w:rsid w:val="003532E2"/>
    <w:rsid w:val="00354952"/>
    <w:rsid w:val="00356283"/>
    <w:rsid w:val="003568DE"/>
    <w:rsid w:val="0035720F"/>
    <w:rsid w:val="00357240"/>
    <w:rsid w:val="00357B78"/>
    <w:rsid w:val="00360921"/>
    <w:rsid w:val="0036270D"/>
    <w:rsid w:val="00362E46"/>
    <w:rsid w:val="003638A7"/>
    <w:rsid w:val="00364163"/>
    <w:rsid w:val="00364BEA"/>
    <w:rsid w:val="00370A83"/>
    <w:rsid w:val="003723EE"/>
    <w:rsid w:val="003728C4"/>
    <w:rsid w:val="00372E75"/>
    <w:rsid w:val="0037301C"/>
    <w:rsid w:val="003750CF"/>
    <w:rsid w:val="00375464"/>
    <w:rsid w:val="003767FC"/>
    <w:rsid w:val="003773EE"/>
    <w:rsid w:val="00377E6F"/>
    <w:rsid w:val="00380E30"/>
    <w:rsid w:val="00381CE5"/>
    <w:rsid w:val="00382EE4"/>
    <w:rsid w:val="003838C4"/>
    <w:rsid w:val="00384926"/>
    <w:rsid w:val="00385A1F"/>
    <w:rsid w:val="00385E4C"/>
    <w:rsid w:val="00385FF7"/>
    <w:rsid w:val="00387A76"/>
    <w:rsid w:val="00391581"/>
    <w:rsid w:val="00391DDA"/>
    <w:rsid w:val="00392764"/>
    <w:rsid w:val="003930E7"/>
    <w:rsid w:val="0039339E"/>
    <w:rsid w:val="00393972"/>
    <w:rsid w:val="00393B38"/>
    <w:rsid w:val="0039442A"/>
    <w:rsid w:val="003949FF"/>
    <w:rsid w:val="00396143"/>
    <w:rsid w:val="0039636A"/>
    <w:rsid w:val="003978F2"/>
    <w:rsid w:val="003A0853"/>
    <w:rsid w:val="003A1944"/>
    <w:rsid w:val="003A2DEC"/>
    <w:rsid w:val="003A6B83"/>
    <w:rsid w:val="003A70C7"/>
    <w:rsid w:val="003A7578"/>
    <w:rsid w:val="003B0DE0"/>
    <w:rsid w:val="003B2208"/>
    <w:rsid w:val="003B392F"/>
    <w:rsid w:val="003B3C6F"/>
    <w:rsid w:val="003B43BA"/>
    <w:rsid w:val="003B4412"/>
    <w:rsid w:val="003B4AC6"/>
    <w:rsid w:val="003B6069"/>
    <w:rsid w:val="003B6EE0"/>
    <w:rsid w:val="003B72B4"/>
    <w:rsid w:val="003C03F1"/>
    <w:rsid w:val="003C2DC6"/>
    <w:rsid w:val="003C34B8"/>
    <w:rsid w:val="003C373C"/>
    <w:rsid w:val="003C7129"/>
    <w:rsid w:val="003C7A90"/>
    <w:rsid w:val="003D1282"/>
    <w:rsid w:val="003D24A1"/>
    <w:rsid w:val="003D28D6"/>
    <w:rsid w:val="003D49D7"/>
    <w:rsid w:val="003D5EBC"/>
    <w:rsid w:val="003D77F8"/>
    <w:rsid w:val="003E06B6"/>
    <w:rsid w:val="003E0703"/>
    <w:rsid w:val="003E169A"/>
    <w:rsid w:val="003E5ABC"/>
    <w:rsid w:val="003E5AD0"/>
    <w:rsid w:val="003E6675"/>
    <w:rsid w:val="003E6DC6"/>
    <w:rsid w:val="003F4E36"/>
    <w:rsid w:val="003F602C"/>
    <w:rsid w:val="003F7612"/>
    <w:rsid w:val="003F777F"/>
    <w:rsid w:val="004001E4"/>
    <w:rsid w:val="004013DB"/>
    <w:rsid w:val="00401975"/>
    <w:rsid w:val="00402B8D"/>
    <w:rsid w:val="0040658B"/>
    <w:rsid w:val="00406A10"/>
    <w:rsid w:val="0041020D"/>
    <w:rsid w:val="004108EB"/>
    <w:rsid w:val="00412918"/>
    <w:rsid w:val="00415304"/>
    <w:rsid w:val="004163DE"/>
    <w:rsid w:val="00416EDC"/>
    <w:rsid w:val="00417E38"/>
    <w:rsid w:val="004202F3"/>
    <w:rsid w:val="00421364"/>
    <w:rsid w:val="00421D9E"/>
    <w:rsid w:val="004224C9"/>
    <w:rsid w:val="00424A2A"/>
    <w:rsid w:val="00425748"/>
    <w:rsid w:val="00425E12"/>
    <w:rsid w:val="00426125"/>
    <w:rsid w:val="00430880"/>
    <w:rsid w:val="004329E1"/>
    <w:rsid w:val="00432B48"/>
    <w:rsid w:val="00432F51"/>
    <w:rsid w:val="00433F56"/>
    <w:rsid w:val="004348AF"/>
    <w:rsid w:val="00436517"/>
    <w:rsid w:val="00436DD2"/>
    <w:rsid w:val="00437509"/>
    <w:rsid w:val="004405B6"/>
    <w:rsid w:val="00440A83"/>
    <w:rsid w:val="0044108D"/>
    <w:rsid w:val="00441310"/>
    <w:rsid w:val="004425DF"/>
    <w:rsid w:val="0044355D"/>
    <w:rsid w:val="00443BB4"/>
    <w:rsid w:val="004503EB"/>
    <w:rsid w:val="004508AE"/>
    <w:rsid w:val="00450D3D"/>
    <w:rsid w:val="00451586"/>
    <w:rsid w:val="00452E92"/>
    <w:rsid w:val="00452EFF"/>
    <w:rsid w:val="004534B7"/>
    <w:rsid w:val="00454012"/>
    <w:rsid w:val="0045490C"/>
    <w:rsid w:val="00455C01"/>
    <w:rsid w:val="004567F0"/>
    <w:rsid w:val="00456879"/>
    <w:rsid w:val="00457DAB"/>
    <w:rsid w:val="00460D59"/>
    <w:rsid w:val="00460F73"/>
    <w:rsid w:val="0046115D"/>
    <w:rsid w:val="00462E99"/>
    <w:rsid w:val="00463DD3"/>
    <w:rsid w:val="00464FCB"/>
    <w:rsid w:val="00465329"/>
    <w:rsid w:val="004655AF"/>
    <w:rsid w:val="0046603E"/>
    <w:rsid w:val="00466288"/>
    <w:rsid w:val="00466A0D"/>
    <w:rsid w:val="00466DAB"/>
    <w:rsid w:val="004674E8"/>
    <w:rsid w:val="00467CD5"/>
    <w:rsid w:val="00470591"/>
    <w:rsid w:val="00470C94"/>
    <w:rsid w:val="0047117C"/>
    <w:rsid w:val="00472C9B"/>
    <w:rsid w:val="00472CA9"/>
    <w:rsid w:val="00472FCF"/>
    <w:rsid w:val="004733D2"/>
    <w:rsid w:val="00474B94"/>
    <w:rsid w:val="00475010"/>
    <w:rsid w:val="004766BE"/>
    <w:rsid w:val="00476B38"/>
    <w:rsid w:val="004770AC"/>
    <w:rsid w:val="00477481"/>
    <w:rsid w:val="00480CCD"/>
    <w:rsid w:val="00480CFC"/>
    <w:rsid w:val="00481FD1"/>
    <w:rsid w:val="00485AC5"/>
    <w:rsid w:val="00485F3F"/>
    <w:rsid w:val="004861AC"/>
    <w:rsid w:val="0048653A"/>
    <w:rsid w:val="004867BB"/>
    <w:rsid w:val="0048686E"/>
    <w:rsid w:val="00486DB9"/>
    <w:rsid w:val="004914A4"/>
    <w:rsid w:val="00491DE7"/>
    <w:rsid w:val="0049355B"/>
    <w:rsid w:val="00493F77"/>
    <w:rsid w:val="0049494C"/>
    <w:rsid w:val="004958D0"/>
    <w:rsid w:val="00495BC5"/>
    <w:rsid w:val="00497503"/>
    <w:rsid w:val="004977AD"/>
    <w:rsid w:val="004A01B5"/>
    <w:rsid w:val="004A0D0F"/>
    <w:rsid w:val="004A15FB"/>
    <w:rsid w:val="004A37F8"/>
    <w:rsid w:val="004A44C4"/>
    <w:rsid w:val="004A48DC"/>
    <w:rsid w:val="004A4D89"/>
    <w:rsid w:val="004A4FC4"/>
    <w:rsid w:val="004A6B80"/>
    <w:rsid w:val="004B0381"/>
    <w:rsid w:val="004B0420"/>
    <w:rsid w:val="004B0B1A"/>
    <w:rsid w:val="004B1AEC"/>
    <w:rsid w:val="004B1B15"/>
    <w:rsid w:val="004B1D27"/>
    <w:rsid w:val="004B1F58"/>
    <w:rsid w:val="004B2DCD"/>
    <w:rsid w:val="004B3C1E"/>
    <w:rsid w:val="004B3CBB"/>
    <w:rsid w:val="004B545D"/>
    <w:rsid w:val="004B5993"/>
    <w:rsid w:val="004B6032"/>
    <w:rsid w:val="004B79D7"/>
    <w:rsid w:val="004C0F67"/>
    <w:rsid w:val="004C0FB7"/>
    <w:rsid w:val="004C16D6"/>
    <w:rsid w:val="004C17A3"/>
    <w:rsid w:val="004C249A"/>
    <w:rsid w:val="004C43B7"/>
    <w:rsid w:val="004C5DDB"/>
    <w:rsid w:val="004C7A40"/>
    <w:rsid w:val="004D0A10"/>
    <w:rsid w:val="004D0C94"/>
    <w:rsid w:val="004D1034"/>
    <w:rsid w:val="004D17A1"/>
    <w:rsid w:val="004D2626"/>
    <w:rsid w:val="004D2F06"/>
    <w:rsid w:val="004D53BB"/>
    <w:rsid w:val="004D6926"/>
    <w:rsid w:val="004D69F8"/>
    <w:rsid w:val="004E0362"/>
    <w:rsid w:val="004E0709"/>
    <w:rsid w:val="004E2F4B"/>
    <w:rsid w:val="004F107B"/>
    <w:rsid w:val="004F14BF"/>
    <w:rsid w:val="004F1976"/>
    <w:rsid w:val="004F1D38"/>
    <w:rsid w:val="004F2865"/>
    <w:rsid w:val="004F370A"/>
    <w:rsid w:val="004F5A65"/>
    <w:rsid w:val="004F5D9D"/>
    <w:rsid w:val="004F5EBB"/>
    <w:rsid w:val="004F606B"/>
    <w:rsid w:val="004F64F8"/>
    <w:rsid w:val="004F65E0"/>
    <w:rsid w:val="005014A9"/>
    <w:rsid w:val="00501DF7"/>
    <w:rsid w:val="005044D9"/>
    <w:rsid w:val="00504EE3"/>
    <w:rsid w:val="00505D75"/>
    <w:rsid w:val="00506C27"/>
    <w:rsid w:val="00506C81"/>
    <w:rsid w:val="00507A67"/>
    <w:rsid w:val="005107E7"/>
    <w:rsid w:val="00510C10"/>
    <w:rsid w:val="00510C6F"/>
    <w:rsid w:val="0051166B"/>
    <w:rsid w:val="0051381C"/>
    <w:rsid w:val="00513A4D"/>
    <w:rsid w:val="00514C88"/>
    <w:rsid w:val="00515285"/>
    <w:rsid w:val="005168A9"/>
    <w:rsid w:val="00516C75"/>
    <w:rsid w:val="005200FA"/>
    <w:rsid w:val="00520EC8"/>
    <w:rsid w:val="00521757"/>
    <w:rsid w:val="00521A99"/>
    <w:rsid w:val="00521B05"/>
    <w:rsid w:val="0052533F"/>
    <w:rsid w:val="00525EC0"/>
    <w:rsid w:val="00526838"/>
    <w:rsid w:val="00526D31"/>
    <w:rsid w:val="0053024E"/>
    <w:rsid w:val="00530438"/>
    <w:rsid w:val="00530BA3"/>
    <w:rsid w:val="005312F2"/>
    <w:rsid w:val="00531870"/>
    <w:rsid w:val="00531AE9"/>
    <w:rsid w:val="005321E6"/>
    <w:rsid w:val="0053275D"/>
    <w:rsid w:val="00533F42"/>
    <w:rsid w:val="00533F68"/>
    <w:rsid w:val="00534D8B"/>
    <w:rsid w:val="005354C3"/>
    <w:rsid w:val="0053552F"/>
    <w:rsid w:val="00535751"/>
    <w:rsid w:val="005363BC"/>
    <w:rsid w:val="00536C4D"/>
    <w:rsid w:val="00540F9D"/>
    <w:rsid w:val="00542276"/>
    <w:rsid w:val="005423F5"/>
    <w:rsid w:val="00542AAD"/>
    <w:rsid w:val="00542FC9"/>
    <w:rsid w:val="005463E8"/>
    <w:rsid w:val="00547370"/>
    <w:rsid w:val="005474A0"/>
    <w:rsid w:val="005475E0"/>
    <w:rsid w:val="005515CE"/>
    <w:rsid w:val="00551A80"/>
    <w:rsid w:val="00551D2F"/>
    <w:rsid w:val="0055211C"/>
    <w:rsid w:val="005525FE"/>
    <w:rsid w:val="00553234"/>
    <w:rsid w:val="00553BC0"/>
    <w:rsid w:val="00554DE0"/>
    <w:rsid w:val="00555DF0"/>
    <w:rsid w:val="0055625B"/>
    <w:rsid w:val="00556A63"/>
    <w:rsid w:val="00557704"/>
    <w:rsid w:val="005617E5"/>
    <w:rsid w:val="00561BA6"/>
    <w:rsid w:val="00562C35"/>
    <w:rsid w:val="005637BF"/>
    <w:rsid w:val="00563D57"/>
    <w:rsid w:val="00567720"/>
    <w:rsid w:val="00570EC8"/>
    <w:rsid w:val="005716E1"/>
    <w:rsid w:val="005729FE"/>
    <w:rsid w:val="005737E6"/>
    <w:rsid w:val="005742BC"/>
    <w:rsid w:val="00576593"/>
    <w:rsid w:val="0057752A"/>
    <w:rsid w:val="005775EF"/>
    <w:rsid w:val="00581F1A"/>
    <w:rsid w:val="00584040"/>
    <w:rsid w:val="00584CAE"/>
    <w:rsid w:val="00585B34"/>
    <w:rsid w:val="00586FBE"/>
    <w:rsid w:val="005870FD"/>
    <w:rsid w:val="0058740C"/>
    <w:rsid w:val="0059056C"/>
    <w:rsid w:val="005909BC"/>
    <w:rsid w:val="00591974"/>
    <w:rsid w:val="005945BF"/>
    <w:rsid w:val="005978C6"/>
    <w:rsid w:val="005A1CDA"/>
    <w:rsid w:val="005A2127"/>
    <w:rsid w:val="005A371B"/>
    <w:rsid w:val="005A3D7E"/>
    <w:rsid w:val="005A4286"/>
    <w:rsid w:val="005A429A"/>
    <w:rsid w:val="005A4408"/>
    <w:rsid w:val="005A48E0"/>
    <w:rsid w:val="005A5D0A"/>
    <w:rsid w:val="005A5DC1"/>
    <w:rsid w:val="005A5E65"/>
    <w:rsid w:val="005A614B"/>
    <w:rsid w:val="005A6803"/>
    <w:rsid w:val="005A7B86"/>
    <w:rsid w:val="005A7CBE"/>
    <w:rsid w:val="005A7CC9"/>
    <w:rsid w:val="005A7E58"/>
    <w:rsid w:val="005B102A"/>
    <w:rsid w:val="005B1279"/>
    <w:rsid w:val="005B171B"/>
    <w:rsid w:val="005B18E4"/>
    <w:rsid w:val="005B3870"/>
    <w:rsid w:val="005B3BCE"/>
    <w:rsid w:val="005B463B"/>
    <w:rsid w:val="005B4FC5"/>
    <w:rsid w:val="005B7A40"/>
    <w:rsid w:val="005C2177"/>
    <w:rsid w:val="005C2D30"/>
    <w:rsid w:val="005C3064"/>
    <w:rsid w:val="005C3396"/>
    <w:rsid w:val="005C41AA"/>
    <w:rsid w:val="005C47B9"/>
    <w:rsid w:val="005C60E4"/>
    <w:rsid w:val="005D12E9"/>
    <w:rsid w:val="005D1BEC"/>
    <w:rsid w:val="005D2198"/>
    <w:rsid w:val="005D2887"/>
    <w:rsid w:val="005D35B6"/>
    <w:rsid w:val="005D364A"/>
    <w:rsid w:val="005D3906"/>
    <w:rsid w:val="005D3A1D"/>
    <w:rsid w:val="005D419F"/>
    <w:rsid w:val="005D44C9"/>
    <w:rsid w:val="005D4BD2"/>
    <w:rsid w:val="005D5074"/>
    <w:rsid w:val="005D55E8"/>
    <w:rsid w:val="005D578A"/>
    <w:rsid w:val="005D6535"/>
    <w:rsid w:val="005D7169"/>
    <w:rsid w:val="005D7BAA"/>
    <w:rsid w:val="005D7DB2"/>
    <w:rsid w:val="005E39FF"/>
    <w:rsid w:val="005E3A93"/>
    <w:rsid w:val="005E4CB7"/>
    <w:rsid w:val="005E53AB"/>
    <w:rsid w:val="005E677A"/>
    <w:rsid w:val="005F0173"/>
    <w:rsid w:val="005F1255"/>
    <w:rsid w:val="005F132A"/>
    <w:rsid w:val="005F198A"/>
    <w:rsid w:val="005F1BFA"/>
    <w:rsid w:val="005F272D"/>
    <w:rsid w:val="005F275F"/>
    <w:rsid w:val="005F55F3"/>
    <w:rsid w:val="005F60C5"/>
    <w:rsid w:val="005F6401"/>
    <w:rsid w:val="005F64EA"/>
    <w:rsid w:val="00600FAB"/>
    <w:rsid w:val="00601277"/>
    <w:rsid w:val="006030F1"/>
    <w:rsid w:val="0060478A"/>
    <w:rsid w:val="00605F0A"/>
    <w:rsid w:val="00606793"/>
    <w:rsid w:val="006068C0"/>
    <w:rsid w:val="006076A7"/>
    <w:rsid w:val="0061078A"/>
    <w:rsid w:val="00612C0A"/>
    <w:rsid w:val="006136BE"/>
    <w:rsid w:val="00613DE0"/>
    <w:rsid w:val="00613FE6"/>
    <w:rsid w:val="006145F0"/>
    <w:rsid w:val="00617CEE"/>
    <w:rsid w:val="00617D1F"/>
    <w:rsid w:val="00620910"/>
    <w:rsid w:val="00622090"/>
    <w:rsid w:val="00622417"/>
    <w:rsid w:val="00623042"/>
    <w:rsid w:val="00623080"/>
    <w:rsid w:val="0062366D"/>
    <w:rsid w:val="00623695"/>
    <w:rsid w:val="006244B9"/>
    <w:rsid w:val="0062471D"/>
    <w:rsid w:val="0062573E"/>
    <w:rsid w:val="0062589C"/>
    <w:rsid w:val="006273C2"/>
    <w:rsid w:val="00627B57"/>
    <w:rsid w:val="00630F9D"/>
    <w:rsid w:val="006321C9"/>
    <w:rsid w:val="00632B5D"/>
    <w:rsid w:val="006336F8"/>
    <w:rsid w:val="0063408E"/>
    <w:rsid w:val="0063449C"/>
    <w:rsid w:val="00634938"/>
    <w:rsid w:val="00634D29"/>
    <w:rsid w:val="00634FCD"/>
    <w:rsid w:val="006358CF"/>
    <w:rsid w:val="006365C7"/>
    <w:rsid w:val="006368E9"/>
    <w:rsid w:val="00636C54"/>
    <w:rsid w:val="00637512"/>
    <w:rsid w:val="00637D42"/>
    <w:rsid w:val="00637DD7"/>
    <w:rsid w:val="0064172E"/>
    <w:rsid w:val="00643D0C"/>
    <w:rsid w:val="006442F8"/>
    <w:rsid w:val="00645CEE"/>
    <w:rsid w:val="00647147"/>
    <w:rsid w:val="00647C2E"/>
    <w:rsid w:val="006510E3"/>
    <w:rsid w:val="00651DED"/>
    <w:rsid w:val="00651F77"/>
    <w:rsid w:val="0065265A"/>
    <w:rsid w:val="00652908"/>
    <w:rsid w:val="00652EC1"/>
    <w:rsid w:val="00652F1A"/>
    <w:rsid w:val="00652FBD"/>
    <w:rsid w:val="006533E8"/>
    <w:rsid w:val="006541B2"/>
    <w:rsid w:val="0065477F"/>
    <w:rsid w:val="00654A84"/>
    <w:rsid w:val="0065550D"/>
    <w:rsid w:val="006555FF"/>
    <w:rsid w:val="00655F6D"/>
    <w:rsid w:val="006617FF"/>
    <w:rsid w:val="00661C32"/>
    <w:rsid w:val="00661EC0"/>
    <w:rsid w:val="00662668"/>
    <w:rsid w:val="00663BF9"/>
    <w:rsid w:val="0066480A"/>
    <w:rsid w:val="00665343"/>
    <w:rsid w:val="00666C4E"/>
    <w:rsid w:val="00667057"/>
    <w:rsid w:val="00667502"/>
    <w:rsid w:val="00667BC0"/>
    <w:rsid w:val="00671ED2"/>
    <w:rsid w:val="00672B10"/>
    <w:rsid w:val="00672E75"/>
    <w:rsid w:val="00673D09"/>
    <w:rsid w:val="0067431F"/>
    <w:rsid w:val="00674BF5"/>
    <w:rsid w:val="00677513"/>
    <w:rsid w:val="00677A59"/>
    <w:rsid w:val="00677BE0"/>
    <w:rsid w:val="006804A3"/>
    <w:rsid w:val="00680BA8"/>
    <w:rsid w:val="00680E8B"/>
    <w:rsid w:val="00681FE2"/>
    <w:rsid w:val="00682C1B"/>
    <w:rsid w:val="00683603"/>
    <w:rsid w:val="00683C8B"/>
    <w:rsid w:val="00684A5D"/>
    <w:rsid w:val="006852EB"/>
    <w:rsid w:val="006870D0"/>
    <w:rsid w:val="006873CA"/>
    <w:rsid w:val="0069020E"/>
    <w:rsid w:val="0069075C"/>
    <w:rsid w:val="006908FA"/>
    <w:rsid w:val="00691544"/>
    <w:rsid w:val="0069189A"/>
    <w:rsid w:val="00693CD4"/>
    <w:rsid w:val="00693F3E"/>
    <w:rsid w:val="00695A88"/>
    <w:rsid w:val="006A002C"/>
    <w:rsid w:val="006A28CA"/>
    <w:rsid w:val="006A44BB"/>
    <w:rsid w:val="006A4DFB"/>
    <w:rsid w:val="006A5B25"/>
    <w:rsid w:val="006A6D79"/>
    <w:rsid w:val="006A7D8D"/>
    <w:rsid w:val="006B15D4"/>
    <w:rsid w:val="006B172C"/>
    <w:rsid w:val="006B1825"/>
    <w:rsid w:val="006B21E7"/>
    <w:rsid w:val="006B3EE3"/>
    <w:rsid w:val="006B5A0C"/>
    <w:rsid w:val="006B651B"/>
    <w:rsid w:val="006B749C"/>
    <w:rsid w:val="006B7606"/>
    <w:rsid w:val="006C012F"/>
    <w:rsid w:val="006C08DE"/>
    <w:rsid w:val="006C09B2"/>
    <w:rsid w:val="006C0C0B"/>
    <w:rsid w:val="006C5CA2"/>
    <w:rsid w:val="006C6C64"/>
    <w:rsid w:val="006D0E66"/>
    <w:rsid w:val="006D1951"/>
    <w:rsid w:val="006D30D1"/>
    <w:rsid w:val="006D3D0A"/>
    <w:rsid w:val="006D45C7"/>
    <w:rsid w:val="006D4645"/>
    <w:rsid w:val="006D47CB"/>
    <w:rsid w:val="006D4E02"/>
    <w:rsid w:val="006D550A"/>
    <w:rsid w:val="006D5E4C"/>
    <w:rsid w:val="006D63C2"/>
    <w:rsid w:val="006D6C04"/>
    <w:rsid w:val="006D7B30"/>
    <w:rsid w:val="006E04AA"/>
    <w:rsid w:val="006E0984"/>
    <w:rsid w:val="006E23CC"/>
    <w:rsid w:val="006E2993"/>
    <w:rsid w:val="006E4F4E"/>
    <w:rsid w:val="006E5620"/>
    <w:rsid w:val="006E6529"/>
    <w:rsid w:val="006E73E3"/>
    <w:rsid w:val="006F023D"/>
    <w:rsid w:val="006F061E"/>
    <w:rsid w:val="006F166A"/>
    <w:rsid w:val="006F244F"/>
    <w:rsid w:val="006F29C6"/>
    <w:rsid w:val="006F2D6C"/>
    <w:rsid w:val="006F57D5"/>
    <w:rsid w:val="006F5A95"/>
    <w:rsid w:val="006F6553"/>
    <w:rsid w:val="00700734"/>
    <w:rsid w:val="0070289F"/>
    <w:rsid w:val="00702FE6"/>
    <w:rsid w:val="00703E7C"/>
    <w:rsid w:val="00706CE3"/>
    <w:rsid w:val="0071072B"/>
    <w:rsid w:val="00711EBF"/>
    <w:rsid w:val="00712315"/>
    <w:rsid w:val="007124F3"/>
    <w:rsid w:val="007138DD"/>
    <w:rsid w:val="00714743"/>
    <w:rsid w:val="00715882"/>
    <w:rsid w:val="00717077"/>
    <w:rsid w:val="007171D8"/>
    <w:rsid w:val="00717FBD"/>
    <w:rsid w:val="00721958"/>
    <w:rsid w:val="00722F43"/>
    <w:rsid w:val="00723268"/>
    <w:rsid w:val="007234F7"/>
    <w:rsid w:val="007242E4"/>
    <w:rsid w:val="00724FB5"/>
    <w:rsid w:val="0073028F"/>
    <w:rsid w:val="00733658"/>
    <w:rsid w:val="00735174"/>
    <w:rsid w:val="00735513"/>
    <w:rsid w:val="00735644"/>
    <w:rsid w:val="00735C94"/>
    <w:rsid w:val="00735F0E"/>
    <w:rsid w:val="0073656B"/>
    <w:rsid w:val="00736F21"/>
    <w:rsid w:val="007376FD"/>
    <w:rsid w:val="0073784A"/>
    <w:rsid w:val="00737D08"/>
    <w:rsid w:val="00740DB2"/>
    <w:rsid w:val="007418B0"/>
    <w:rsid w:val="007429C4"/>
    <w:rsid w:val="00742BA5"/>
    <w:rsid w:val="00743F02"/>
    <w:rsid w:val="00744D22"/>
    <w:rsid w:val="00744EE1"/>
    <w:rsid w:val="00745A8E"/>
    <w:rsid w:val="00745F92"/>
    <w:rsid w:val="00746E89"/>
    <w:rsid w:val="007504A0"/>
    <w:rsid w:val="0075053B"/>
    <w:rsid w:val="00750612"/>
    <w:rsid w:val="00751880"/>
    <w:rsid w:val="00751FD8"/>
    <w:rsid w:val="0075265C"/>
    <w:rsid w:val="00752C2E"/>
    <w:rsid w:val="00752DC6"/>
    <w:rsid w:val="007541BA"/>
    <w:rsid w:val="00754C04"/>
    <w:rsid w:val="007563AE"/>
    <w:rsid w:val="007568A0"/>
    <w:rsid w:val="00756E80"/>
    <w:rsid w:val="007576D4"/>
    <w:rsid w:val="0076178B"/>
    <w:rsid w:val="0076199A"/>
    <w:rsid w:val="00761B79"/>
    <w:rsid w:val="007622A0"/>
    <w:rsid w:val="00762B69"/>
    <w:rsid w:val="00763E4C"/>
    <w:rsid w:val="00765447"/>
    <w:rsid w:val="00765794"/>
    <w:rsid w:val="00765935"/>
    <w:rsid w:val="00767115"/>
    <w:rsid w:val="00767F43"/>
    <w:rsid w:val="00770FA1"/>
    <w:rsid w:val="00772F5A"/>
    <w:rsid w:val="0077320E"/>
    <w:rsid w:val="00774148"/>
    <w:rsid w:val="00775D5A"/>
    <w:rsid w:val="0077622F"/>
    <w:rsid w:val="00781D77"/>
    <w:rsid w:val="00782501"/>
    <w:rsid w:val="00783210"/>
    <w:rsid w:val="00785E04"/>
    <w:rsid w:val="00786055"/>
    <w:rsid w:val="00786457"/>
    <w:rsid w:val="007874BF"/>
    <w:rsid w:val="00787752"/>
    <w:rsid w:val="00791F50"/>
    <w:rsid w:val="0079230A"/>
    <w:rsid w:val="007926C7"/>
    <w:rsid w:val="00792EF9"/>
    <w:rsid w:val="00793AB0"/>
    <w:rsid w:val="00794544"/>
    <w:rsid w:val="007952BD"/>
    <w:rsid w:val="00795684"/>
    <w:rsid w:val="00795944"/>
    <w:rsid w:val="007A01AC"/>
    <w:rsid w:val="007A17A8"/>
    <w:rsid w:val="007A4C3A"/>
    <w:rsid w:val="007A59DA"/>
    <w:rsid w:val="007A5C3A"/>
    <w:rsid w:val="007A6C48"/>
    <w:rsid w:val="007A77C7"/>
    <w:rsid w:val="007B01EA"/>
    <w:rsid w:val="007B0FA6"/>
    <w:rsid w:val="007B0FA7"/>
    <w:rsid w:val="007B1200"/>
    <w:rsid w:val="007B1E77"/>
    <w:rsid w:val="007B247A"/>
    <w:rsid w:val="007B4187"/>
    <w:rsid w:val="007B41DC"/>
    <w:rsid w:val="007B5C3B"/>
    <w:rsid w:val="007B7D80"/>
    <w:rsid w:val="007C0808"/>
    <w:rsid w:val="007C1960"/>
    <w:rsid w:val="007C2363"/>
    <w:rsid w:val="007C2BEB"/>
    <w:rsid w:val="007C3C8A"/>
    <w:rsid w:val="007C3E74"/>
    <w:rsid w:val="007C45DC"/>
    <w:rsid w:val="007C4693"/>
    <w:rsid w:val="007C5213"/>
    <w:rsid w:val="007C73B1"/>
    <w:rsid w:val="007D18BA"/>
    <w:rsid w:val="007D1E59"/>
    <w:rsid w:val="007D1F1F"/>
    <w:rsid w:val="007D3495"/>
    <w:rsid w:val="007D35AF"/>
    <w:rsid w:val="007D4450"/>
    <w:rsid w:val="007D4CCA"/>
    <w:rsid w:val="007E00BB"/>
    <w:rsid w:val="007E15C1"/>
    <w:rsid w:val="007E1E6C"/>
    <w:rsid w:val="007E30DA"/>
    <w:rsid w:val="007E3841"/>
    <w:rsid w:val="007E5674"/>
    <w:rsid w:val="007E72FA"/>
    <w:rsid w:val="007E7D49"/>
    <w:rsid w:val="007E7F32"/>
    <w:rsid w:val="007F25C2"/>
    <w:rsid w:val="007F31F7"/>
    <w:rsid w:val="007F59D7"/>
    <w:rsid w:val="007F6D1E"/>
    <w:rsid w:val="007F7164"/>
    <w:rsid w:val="007F75AA"/>
    <w:rsid w:val="008010C4"/>
    <w:rsid w:val="00801FFD"/>
    <w:rsid w:val="00802DA4"/>
    <w:rsid w:val="00803683"/>
    <w:rsid w:val="00803A5C"/>
    <w:rsid w:val="00804752"/>
    <w:rsid w:val="008053BF"/>
    <w:rsid w:val="00805B4E"/>
    <w:rsid w:val="00806751"/>
    <w:rsid w:val="00806867"/>
    <w:rsid w:val="0081061B"/>
    <w:rsid w:val="00811B1F"/>
    <w:rsid w:val="00811F2A"/>
    <w:rsid w:val="0081225E"/>
    <w:rsid w:val="00812FE9"/>
    <w:rsid w:val="0081339A"/>
    <w:rsid w:val="008136A1"/>
    <w:rsid w:val="00813AFA"/>
    <w:rsid w:val="00813E28"/>
    <w:rsid w:val="00813EF4"/>
    <w:rsid w:val="00814A03"/>
    <w:rsid w:val="00814C01"/>
    <w:rsid w:val="0081756A"/>
    <w:rsid w:val="00817915"/>
    <w:rsid w:val="0082189B"/>
    <w:rsid w:val="00821CBE"/>
    <w:rsid w:val="008221D9"/>
    <w:rsid w:val="0082294C"/>
    <w:rsid w:val="00822A05"/>
    <w:rsid w:val="0082333C"/>
    <w:rsid w:val="008235F0"/>
    <w:rsid w:val="00824E58"/>
    <w:rsid w:val="00824FE0"/>
    <w:rsid w:val="0082557A"/>
    <w:rsid w:val="00825E6A"/>
    <w:rsid w:val="008264EB"/>
    <w:rsid w:val="00827CAA"/>
    <w:rsid w:val="0083022E"/>
    <w:rsid w:val="0083027C"/>
    <w:rsid w:val="008303AC"/>
    <w:rsid w:val="00830F38"/>
    <w:rsid w:val="008318FF"/>
    <w:rsid w:val="0083193D"/>
    <w:rsid w:val="0083236B"/>
    <w:rsid w:val="008324BF"/>
    <w:rsid w:val="00832D0E"/>
    <w:rsid w:val="00833750"/>
    <w:rsid w:val="00834384"/>
    <w:rsid w:val="00834D30"/>
    <w:rsid w:val="00836057"/>
    <w:rsid w:val="0083609D"/>
    <w:rsid w:val="00842DB0"/>
    <w:rsid w:val="00842E59"/>
    <w:rsid w:val="008437B7"/>
    <w:rsid w:val="00843C81"/>
    <w:rsid w:val="008458C2"/>
    <w:rsid w:val="008464B1"/>
    <w:rsid w:val="00847855"/>
    <w:rsid w:val="00850096"/>
    <w:rsid w:val="008508FB"/>
    <w:rsid w:val="00850A7C"/>
    <w:rsid w:val="00851A10"/>
    <w:rsid w:val="00854643"/>
    <w:rsid w:val="00854AF9"/>
    <w:rsid w:val="00854B5A"/>
    <w:rsid w:val="00855293"/>
    <w:rsid w:val="00857F33"/>
    <w:rsid w:val="00860D5E"/>
    <w:rsid w:val="00864057"/>
    <w:rsid w:val="008647C7"/>
    <w:rsid w:val="00864CC2"/>
    <w:rsid w:val="008665B2"/>
    <w:rsid w:val="00866ACB"/>
    <w:rsid w:val="008707F6"/>
    <w:rsid w:val="008719B8"/>
    <w:rsid w:val="00874297"/>
    <w:rsid w:val="00874847"/>
    <w:rsid w:val="0087796E"/>
    <w:rsid w:val="0088159D"/>
    <w:rsid w:val="00884F21"/>
    <w:rsid w:val="00885DA0"/>
    <w:rsid w:val="00885E97"/>
    <w:rsid w:val="00886016"/>
    <w:rsid w:val="00887E3F"/>
    <w:rsid w:val="0089029C"/>
    <w:rsid w:val="008903EC"/>
    <w:rsid w:val="00891BD0"/>
    <w:rsid w:val="0089254A"/>
    <w:rsid w:val="008926CD"/>
    <w:rsid w:val="008940F7"/>
    <w:rsid w:val="00894A25"/>
    <w:rsid w:val="008A0329"/>
    <w:rsid w:val="008A0E44"/>
    <w:rsid w:val="008A1C4A"/>
    <w:rsid w:val="008A32A0"/>
    <w:rsid w:val="008A3543"/>
    <w:rsid w:val="008A5A1B"/>
    <w:rsid w:val="008A5AB2"/>
    <w:rsid w:val="008A6CF4"/>
    <w:rsid w:val="008A78F5"/>
    <w:rsid w:val="008B1055"/>
    <w:rsid w:val="008B1B8C"/>
    <w:rsid w:val="008B1C89"/>
    <w:rsid w:val="008B395D"/>
    <w:rsid w:val="008B414C"/>
    <w:rsid w:val="008B5FD3"/>
    <w:rsid w:val="008C0CAA"/>
    <w:rsid w:val="008C0CBD"/>
    <w:rsid w:val="008C148C"/>
    <w:rsid w:val="008C32D6"/>
    <w:rsid w:val="008C4FD1"/>
    <w:rsid w:val="008C57C5"/>
    <w:rsid w:val="008C749A"/>
    <w:rsid w:val="008D0316"/>
    <w:rsid w:val="008D12A5"/>
    <w:rsid w:val="008D18C3"/>
    <w:rsid w:val="008D3A37"/>
    <w:rsid w:val="008D3B68"/>
    <w:rsid w:val="008D7F39"/>
    <w:rsid w:val="008E1A4D"/>
    <w:rsid w:val="008E409E"/>
    <w:rsid w:val="008E4975"/>
    <w:rsid w:val="008E514D"/>
    <w:rsid w:val="008E5309"/>
    <w:rsid w:val="008E54DE"/>
    <w:rsid w:val="008E56C8"/>
    <w:rsid w:val="008E5977"/>
    <w:rsid w:val="008E7039"/>
    <w:rsid w:val="008E74BA"/>
    <w:rsid w:val="008E78F0"/>
    <w:rsid w:val="008E7C76"/>
    <w:rsid w:val="008E7EDA"/>
    <w:rsid w:val="008F2500"/>
    <w:rsid w:val="008F3350"/>
    <w:rsid w:val="008F35D5"/>
    <w:rsid w:val="008F38A2"/>
    <w:rsid w:val="008F4937"/>
    <w:rsid w:val="008F51BD"/>
    <w:rsid w:val="008F52B6"/>
    <w:rsid w:val="008F5473"/>
    <w:rsid w:val="008F75CA"/>
    <w:rsid w:val="00900191"/>
    <w:rsid w:val="0090047C"/>
    <w:rsid w:val="00904121"/>
    <w:rsid w:val="009041B5"/>
    <w:rsid w:val="00904D76"/>
    <w:rsid w:val="00905F71"/>
    <w:rsid w:val="009061DB"/>
    <w:rsid w:val="009067D9"/>
    <w:rsid w:val="00906ADD"/>
    <w:rsid w:val="00907763"/>
    <w:rsid w:val="00910760"/>
    <w:rsid w:val="00911BA0"/>
    <w:rsid w:val="00913540"/>
    <w:rsid w:val="00913601"/>
    <w:rsid w:val="00914EA6"/>
    <w:rsid w:val="00915B4C"/>
    <w:rsid w:val="0091691E"/>
    <w:rsid w:val="00916D83"/>
    <w:rsid w:val="00917002"/>
    <w:rsid w:val="009201CD"/>
    <w:rsid w:val="009205D4"/>
    <w:rsid w:val="00921074"/>
    <w:rsid w:val="00921489"/>
    <w:rsid w:val="00922ABC"/>
    <w:rsid w:val="00925871"/>
    <w:rsid w:val="00925CE9"/>
    <w:rsid w:val="0092629F"/>
    <w:rsid w:val="00926579"/>
    <w:rsid w:val="009266F4"/>
    <w:rsid w:val="0092675D"/>
    <w:rsid w:val="00926804"/>
    <w:rsid w:val="00927680"/>
    <w:rsid w:val="009278CE"/>
    <w:rsid w:val="0093015F"/>
    <w:rsid w:val="009307E7"/>
    <w:rsid w:val="00930B4D"/>
    <w:rsid w:val="00932B84"/>
    <w:rsid w:val="00933A26"/>
    <w:rsid w:val="00933EA7"/>
    <w:rsid w:val="00934F28"/>
    <w:rsid w:val="00935653"/>
    <w:rsid w:val="00935D12"/>
    <w:rsid w:val="0093719A"/>
    <w:rsid w:val="00937F66"/>
    <w:rsid w:val="00940B51"/>
    <w:rsid w:val="00940DAB"/>
    <w:rsid w:val="0094279A"/>
    <w:rsid w:val="00944225"/>
    <w:rsid w:val="00944C76"/>
    <w:rsid w:val="00945686"/>
    <w:rsid w:val="00946F28"/>
    <w:rsid w:val="009500A2"/>
    <w:rsid w:val="009500C8"/>
    <w:rsid w:val="00950363"/>
    <w:rsid w:val="00950439"/>
    <w:rsid w:val="00950926"/>
    <w:rsid w:val="00950A0F"/>
    <w:rsid w:val="00951400"/>
    <w:rsid w:val="0095407E"/>
    <w:rsid w:val="009540BC"/>
    <w:rsid w:val="0095448C"/>
    <w:rsid w:val="0095452E"/>
    <w:rsid w:val="00955F16"/>
    <w:rsid w:val="00956BB2"/>
    <w:rsid w:val="0095705E"/>
    <w:rsid w:val="009570FA"/>
    <w:rsid w:val="0095748B"/>
    <w:rsid w:val="00960725"/>
    <w:rsid w:val="009611E8"/>
    <w:rsid w:val="00962B22"/>
    <w:rsid w:val="00964A14"/>
    <w:rsid w:val="0096587B"/>
    <w:rsid w:val="009660C9"/>
    <w:rsid w:val="00967089"/>
    <w:rsid w:val="009702DE"/>
    <w:rsid w:val="009706D0"/>
    <w:rsid w:val="00970D85"/>
    <w:rsid w:val="009723F9"/>
    <w:rsid w:val="00973575"/>
    <w:rsid w:val="00974192"/>
    <w:rsid w:val="00974D58"/>
    <w:rsid w:val="00975066"/>
    <w:rsid w:val="00975256"/>
    <w:rsid w:val="009758BC"/>
    <w:rsid w:val="0097683C"/>
    <w:rsid w:val="009770E7"/>
    <w:rsid w:val="009774A3"/>
    <w:rsid w:val="009776DB"/>
    <w:rsid w:val="00981331"/>
    <w:rsid w:val="0098141B"/>
    <w:rsid w:val="00982107"/>
    <w:rsid w:val="009837DF"/>
    <w:rsid w:val="009840A8"/>
    <w:rsid w:val="00985896"/>
    <w:rsid w:val="00985960"/>
    <w:rsid w:val="00985FED"/>
    <w:rsid w:val="00986896"/>
    <w:rsid w:val="00992879"/>
    <w:rsid w:val="00992B9B"/>
    <w:rsid w:val="00993318"/>
    <w:rsid w:val="00993369"/>
    <w:rsid w:val="00994206"/>
    <w:rsid w:val="00994A00"/>
    <w:rsid w:val="009A07F5"/>
    <w:rsid w:val="009A091F"/>
    <w:rsid w:val="009A16AC"/>
    <w:rsid w:val="009A213F"/>
    <w:rsid w:val="009A2DD0"/>
    <w:rsid w:val="009A319F"/>
    <w:rsid w:val="009A36AD"/>
    <w:rsid w:val="009A4E10"/>
    <w:rsid w:val="009A639C"/>
    <w:rsid w:val="009A725A"/>
    <w:rsid w:val="009A7CC1"/>
    <w:rsid w:val="009B01E0"/>
    <w:rsid w:val="009B0DEE"/>
    <w:rsid w:val="009B12B0"/>
    <w:rsid w:val="009B1A28"/>
    <w:rsid w:val="009B2185"/>
    <w:rsid w:val="009B3AE0"/>
    <w:rsid w:val="009B4723"/>
    <w:rsid w:val="009B5E31"/>
    <w:rsid w:val="009B6D72"/>
    <w:rsid w:val="009B768D"/>
    <w:rsid w:val="009C01E6"/>
    <w:rsid w:val="009C0343"/>
    <w:rsid w:val="009C071D"/>
    <w:rsid w:val="009C0C5D"/>
    <w:rsid w:val="009C0E03"/>
    <w:rsid w:val="009C1CE9"/>
    <w:rsid w:val="009C1EC6"/>
    <w:rsid w:val="009C2DB7"/>
    <w:rsid w:val="009C2EDC"/>
    <w:rsid w:val="009C305F"/>
    <w:rsid w:val="009C3452"/>
    <w:rsid w:val="009C4B47"/>
    <w:rsid w:val="009C72D8"/>
    <w:rsid w:val="009C7748"/>
    <w:rsid w:val="009D0478"/>
    <w:rsid w:val="009D08EB"/>
    <w:rsid w:val="009D1799"/>
    <w:rsid w:val="009D1C66"/>
    <w:rsid w:val="009D2D4C"/>
    <w:rsid w:val="009D304C"/>
    <w:rsid w:val="009D3499"/>
    <w:rsid w:val="009D54E8"/>
    <w:rsid w:val="009D580F"/>
    <w:rsid w:val="009D6D27"/>
    <w:rsid w:val="009D7488"/>
    <w:rsid w:val="009D7D68"/>
    <w:rsid w:val="009D7FF7"/>
    <w:rsid w:val="009E03AF"/>
    <w:rsid w:val="009E1074"/>
    <w:rsid w:val="009E2AD2"/>
    <w:rsid w:val="009E2B92"/>
    <w:rsid w:val="009E4F0F"/>
    <w:rsid w:val="009E5190"/>
    <w:rsid w:val="009E60BB"/>
    <w:rsid w:val="009E7615"/>
    <w:rsid w:val="009E7928"/>
    <w:rsid w:val="009E7F5A"/>
    <w:rsid w:val="009F05AC"/>
    <w:rsid w:val="009F0EEF"/>
    <w:rsid w:val="009F13D5"/>
    <w:rsid w:val="009F2AB6"/>
    <w:rsid w:val="009F2C0F"/>
    <w:rsid w:val="009F35BF"/>
    <w:rsid w:val="009F46B7"/>
    <w:rsid w:val="009F4FDA"/>
    <w:rsid w:val="009F5A03"/>
    <w:rsid w:val="009F6ED4"/>
    <w:rsid w:val="00A018BA"/>
    <w:rsid w:val="00A01B78"/>
    <w:rsid w:val="00A023C1"/>
    <w:rsid w:val="00A0269C"/>
    <w:rsid w:val="00A02BE2"/>
    <w:rsid w:val="00A057CB"/>
    <w:rsid w:val="00A076C8"/>
    <w:rsid w:val="00A11088"/>
    <w:rsid w:val="00A13217"/>
    <w:rsid w:val="00A15459"/>
    <w:rsid w:val="00A160C0"/>
    <w:rsid w:val="00A16322"/>
    <w:rsid w:val="00A1797C"/>
    <w:rsid w:val="00A20E67"/>
    <w:rsid w:val="00A21B60"/>
    <w:rsid w:val="00A21CF8"/>
    <w:rsid w:val="00A2380F"/>
    <w:rsid w:val="00A23C26"/>
    <w:rsid w:val="00A243E1"/>
    <w:rsid w:val="00A253C5"/>
    <w:rsid w:val="00A25662"/>
    <w:rsid w:val="00A25FF6"/>
    <w:rsid w:val="00A26C1D"/>
    <w:rsid w:val="00A26C86"/>
    <w:rsid w:val="00A27223"/>
    <w:rsid w:val="00A27E88"/>
    <w:rsid w:val="00A30E97"/>
    <w:rsid w:val="00A31263"/>
    <w:rsid w:val="00A31727"/>
    <w:rsid w:val="00A3443A"/>
    <w:rsid w:val="00A34E17"/>
    <w:rsid w:val="00A35155"/>
    <w:rsid w:val="00A358FF"/>
    <w:rsid w:val="00A36157"/>
    <w:rsid w:val="00A361A0"/>
    <w:rsid w:val="00A36D4B"/>
    <w:rsid w:val="00A372A4"/>
    <w:rsid w:val="00A37622"/>
    <w:rsid w:val="00A376CF"/>
    <w:rsid w:val="00A37D5F"/>
    <w:rsid w:val="00A409E1"/>
    <w:rsid w:val="00A41DB4"/>
    <w:rsid w:val="00A44A84"/>
    <w:rsid w:val="00A45CB1"/>
    <w:rsid w:val="00A4601F"/>
    <w:rsid w:val="00A47B9B"/>
    <w:rsid w:val="00A50494"/>
    <w:rsid w:val="00A506D2"/>
    <w:rsid w:val="00A50A7F"/>
    <w:rsid w:val="00A51EDF"/>
    <w:rsid w:val="00A52418"/>
    <w:rsid w:val="00A54256"/>
    <w:rsid w:val="00A558D7"/>
    <w:rsid w:val="00A56DC4"/>
    <w:rsid w:val="00A56EB4"/>
    <w:rsid w:val="00A577F1"/>
    <w:rsid w:val="00A6325A"/>
    <w:rsid w:val="00A63D9F"/>
    <w:rsid w:val="00A6631C"/>
    <w:rsid w:val="00A666F3"/>
    <w:rsid w:val="00A700FF"/>
    <w:rsid w:val="00A70658"/>
    <w:rsid w:val="00A7078F"/>
    <w:rsid w:val="00A70D63"/>
    <w:rsid w:val="00A7292D"/>
    <w:rsid w:val="00A72CBA"/>
    <w:rsid w:val="00A8036B"/>
    <w:rsid w:val="00A80FEE"/>
    <w:rsid w:val="00A81AE6"/>
    <w:rsid w:val="00A81D48"/>
    <w:rsid w:val="00A84EC1"/>
    <w:rsid w:val="00A851BF"/>
    <w:rsid w:val="00A85959"/>
    <w:rsid w:val="00A87287"/>
    <w:rsid w:val="00A917B0"/>
    <w:rsid w:val="00A954DC"/>
    <w:rsid w:val="00A957D5"/>
    <w:rsid w:val="00A9760D"/>
    <w:rsid w:val="00AA437E"/>
    <w:rsid w:val="00AA5893"/>
    <w:rsid w:val="00AA5B8D"/>
    <w:rsid w:val="00AA5C11"/>
    <w:rsid w:val="00AA5D4E"/>
    <w:rsid w:val="00AA7CCC"/>
    <w:rsid w:val="00AA7E43"/>
    <w:rsid w:val="00AA7E7B"/>
    <w:rsid w:val="00AB10F2"/>
    <w:rsid w:val="00AB1636"/>
    <w:rsid w:val="00AB26FA"/>
    <w:rsid w:val="00AB375A"/>
    <w:rsid w:val="00AB5195"/>
    <w:rsid w:val="00AC0187"/>
    <w:rsid w:val="00AC0A7E"/>
    <w:rsid w:val="00AC11DB"/>
    <w:rsid w:val="00AC180B"/>
    <w:rsid w:val="00AC1891"/>
    <w:rsid w:val="00AC3AB9"/>
    <w:rsid w:val="00AC3EB9"/>
    <w:rsid w:val="00AC59E6"/>
    <w:rsid w:val="00AC6ED6"/>
    <w:rsid w:val="00AD026A"/>
    <w:rsid w:val="00AD032E"/>
    <w:rsid w:val="00AD12EE"/>
    <w:rsid w:val="00AD1FA1"/>
    <w:rsid w:val="00AD25B8"/>
    <w:rsid w:val="00AD73D5"/>
    <w:rsid w:val="00AE06E4"/>
    <w:rsid w:val="00AE15F7"/>
    <w:rsid w:val="00AE1C23"/>
    <w:rsid w:val="00AE2DFF"/>
    <w:rsid w:val="00AE31C0"/>
    <w:rsid w:val="00AE33EB"/>
    <w:rsid w:val="00AE3DEF"/>
    <w:rsid w:val="00AE635E"/>
    <w:rsid w:val="00AE6CCA"/>
    <w:rsid w:val="00AF013C"/>
    <w:rsid w:val="00AF17AA"/>
    <w:rsid w:val="00AF3249"/>
    <w:rsid w:val="00AF364B"/>
    <w:rsid w:val="00AF417E"/>
    <w:rsid w:val="00AF568E"/>
    <w:rsid w:val="00AF6009"/>
    <w:rsid w:val="00AF67AF"/>
    <w:rsid w:val="00AF6A30"/>
    <w:rsid w:val="00B014B4"/>
    <w:rsid w:val="00B0176B"/>
    <w:rsid w:val="00B024DB"/>
    <w:rsid w:val="00B03437"/>
    <w:rsid w:val="00B036F8"/>
    <w:rsid w:val="00B07246"/>
    <w:rsid w:val="00B13028"/>
    <w:rsid w:val="00B13611"/>
    <w:rsid w:val="00B13D81"/>
    <w:rsid w:val="00B15396"/>
    <w:rsid w:val="00B15DED"/>
    <w:rsid w:val="00B164B3"/>
    <w:rsid w:val="00B211C7"/>
    <w:rsid w:val="00B22AED"/>
    <w:rsid w:val="00B2355B"/>
    <w:rsid w:val="00B23591"/>
    <w:rsid w:val="00B2467D"/>
    <w:rsid w:val="00B26D8C"/>
    <w:rsid w:val="00B26F55"/>
    <w:rsid w:val="00B27272"/>
    <w:rsid w:val="00B31075"/>
    <w:rsid w:val="00B31592"/>
    <w:rsid w:val="00B330A1"/>
    <w:rsid w:val="00B33F53"/>
    <w:rsid w:val="00B35E85"/>
    <w:rsid w:val="00B3670A"/>
    <w:rsid w:val="00B40052"/>
    <w:rsid w:val="00B40B63"/>
    <w:rsid w:val="00B41362"/>
    <w:rsid w:val="00B42D25"/>
    <w:rsid w:val="00B42EA5"/>
    <w:rsid w:val="00B430FC"/>
    <w:rsid w:val="00B44D80"/>
    <w:rsid w:val="00B44EB3"/>
    <w:rsid w:val="00B450F1"/>
    <w:rsid w:val="00B4590D"/>
    <w:rsid w:val="00B47808"/>
    <w:rsid w:val="00B47D69"/>
    <w:rsid w:val="00B47E31"/>
    <w:rsid w:val="00B51C16"/>
    <w:rsid w:val="00B52694"/>
    <w:rsid w:val="00B527DC"/>
    <w:rsid w:val="00B53B17"/>
    <w:rsid w:val="00B56F5B"/>
    <w:rsid w:val="00B6151F"/>
    <w:rsid w:val="00B61995"/>
    <w:rsid w:val="00B63B00"/>
    <w:rsid w:val="00B63B81"/>
    <w:rsid w:val="00B65D19"/>
    <w:rsid w:val="00B67631"/>
    <w:rsid w:val="00B7011F"/>
    <w:rsid w:val="00B707F8"/>
    <w:rsid w:val="00B709C1"/>
    <w:rsid w:val="00B72BC6"/>
    <w:rsid w:val="00B749BC"/>
    <w:rsid w:val="00B74D02"/>
    <w:rsid w:val="00B757F2"/>
    <w:rsid w:val="00B773B6"/>
    <w:rsid w:val="00B80521"/>
    <w:rsid w:val="00B822FB"/>
    <w:rsid w:val="00B82472"/>
    <w:rsid w:val="00B82DF0"/>
    <w:rsid w:val="00B82FF7"/>
    <w:rsid w:val="00B837EE"/>
    <w:rsid w:val="00B83B2A"/>
    <w:rsid w:val="00B83E22"/>
    <w:rsid w:val="00B86A52"/>
    <w:rsid w:val="00B91B6B"/>
    <w:rsid w:val="00B92168"/>
    <w:rsid w:val="00B92F09"/>
    <w:rsid w:val="00B935BA"/>
    <w:rsid w:val="00B93B74"/>
    <w:rsid w:val="00B945DE"/>
    <w:rsid w:val="00B95EC3"/>
    <w:rsid w:val="00BA0DBE"/>
    <w:rsid w:val="00BA17DC"/>
    <w:rsid w:val="00BA208A"/>
    <w:rsid w:val="00BA47E9"/>
    <w:rsid w:val="00BA5EE9"/>
    <w:rsid w:val="00BB27EF"/>
    <w:rsid w:val="00BB3CAC"/>
    <w:rsid w:val="00BB5837"/>
    <w:rsid w:val="00BB6670"/>
    <w:rsid w:val="00BC1BF3"/>
    <w:rsid w:val="00BC221D"/>
    <w:rsid w:val="00BC2F75"/>
    <w:rsid w:val="00BC3EDF"/>
    <w:rsid w:val="00BC49A2"/>
    <w:rsid w:val="00BC58CC"/>
    <w:rsid w:val="00BC6125"/>
    <w:rsid w:val="00BC653F"/>
    <w:rsid w:val="00BD028D"/>
    <w:rsid w:val="00BD0DA4"/>
    <w:rsid w:val="00BD33B2"/>
    <w:rsid w:val="00BD43A1"/>
    <w:rsid w:val="00BD45A7"/>
    <w:rsid w:val="00BD51D7"/>
    <w:rsid w:val="00BD62C8"/>
    <w:rsid w:val="00BD6FF6"/>
    <w:rsid w:val="00BE14E1"/>
    <w:rsid w:val="00BE2CB4"/>
    <w:rsid w:val="00BE32B1"/>
    <w:rsid w:val="00BE35A6"/>
    <w:rsid w:val="00BE44B7"/>
    <w:rsid w:val="00BE4E53"/>
    <w:rsid w:val="00BE6954"/>
    <w:rsid w:val="00BF0FFB"/>
    <w:rsid w:val="00BF1499"/>
    <w:rsid w:val="00BF21C7"/>
    <w:rsid w:val="00BF2427"/>
    <w:rsid w:val="00BF30F6"/>
    <w:rsid w:val="00BF4C79"/>
    <w:rsid w:val="00BF504E"/>
    <w:rsid w:val="00BF54F7"/>
    <w:rsid w:val="00BF59D1"/>
    <w:rsid w:val="00BF653A"/>
    <w:rsid w:val="00BF68BC"/>
    <w:rsid w:val="00BF7614"/>
    <w:rsid w:val="00BF78B5"/>
    <w:rsid w:val="00C001A0"/>
    <w:rsid w:val="00C0184B"/>
    <w:rsid w:val="00C0248F"/>
    <w:rsid w:val="00C02DC7"/>
    <w:rsid w:val="00C035A0"/>
    <w:rsid w:val="00C041C7"/>
    <w:rsid w:val="00C04659"/>
    <w:rsid w:val="00C065AB"/>
    <w:rsid w:val="00C06D53"/>
    <w:rsid w:val="00C1076D"/>
    <w:rsid w:val="00C11902"/>
    <w:rsid w:val="00C119B2"/>
    <w:rsid w:val="00C11E1D"/>
    <w:rsid w:val="00C12BB2"/>
    <w:rsid w:val="00C1408F"/>
    <w:rsid w:val="00C15A53"/>
    <w:rsid w:val="00C21EF3"/>
    <w:rsid w:val="00C22A7D"/>
    <w:rsid w:val="00C22F3A"/>
    <w:rsid w:val="00C235A0"/>
    <w:rsid w:val="00C238EC"/>
    <w:rsid w:val="00C240D1"/>
    <w:rsid w:val="00C24226"/>
    <w:rsid w:val="00C24E7B"/>
    <w:rsid w:val="00C262A7"/>
    <w:rsid w:val="00C27566"/>
    <w:rsid w:val="00C27C4C"/>
    <w:rsid w:val="00C30BE4"/>
    <w:rsid w:val="00C312CF"/>
    <w:rsid w:val="00C31648"/>
    <w:rsid w:val="00C31A43"/>
    <w:rsid w:val="00C32276"/>
    <w:rsid w:val="00C32EF2"/>
    <w:rsid w:val="00C330D7"/>
    <w:rsid w:val="00C33896"/>
    <w:rsid w:val="00C34759"/>
    <w:rsid w:val="00C36266"/>
    <w:rsid w:val="00C3726D"/>
    <w:rsid w:val="00C3744A"/>
    <w:rsid w:val="00C408CE"/>
    <w:rsid w:val="00C41BDB"/>
    <w:rsid w:val="00C428ED"/>
    <w:rsid w:val="00C45496"/>
    <w:rsid w:val="00C47CED"/>
    <w:rsid w:val="00C47D0C"/>
    <w:rsid w:val="00C511D4"/>
    <w:rsid w:val="00C51B4A"/>
    <w:rsid w:val="00C52A42"/>
    <w:rsid w:val="00C54BC9"/>
    <w:rsid w:val="00C55158"/>
    <w:rsid w:val="00C57FA6"/>
    <w:rsid w:val="00C60D6F"/>
    <w:rsid w:val="00C619BB"/>
    <w:rsid w:val="00C63201"/>
    <w:rsid w:val="00C63DA5"/>
    <w:rsid w:val="00C64244"/>
    <w:rsid w:val="00C70169"/>
    <w:rsid w:val="00C70288"/>
    <w:rsid w:val="00C7057E"/>
    <w:rsid w:val="00C71190"/>
    <w:rsid w:val="00C71A5F"/>
    <w:rsid w:val="00C7493B"/>
    <w:rsid w:val="00C74C3D"/>
    <w:rsid w:val="00C76722"/>
    <w:rsid w:val="00C77082"/>
    <w:rsid w:val="00C77589"/>
    <w:rsid w:val="00C7780F"/>
    <w:rsid w:val="00C81874"/>
    <w:rsid w:val="00C81C1F"/>
    <w:rsid w:val="00C82775"/>
    <w:rsid w:val="00C84502"/>
    <w:rsid w:val="00C851F3"/>
    <w:rsid w:val="00C85480"/>
    <w:rsid w:val="00C86B4E"/>
    <w:rsid w:val="00C9058B"/>
    <w:rsid w:val="00C90804"/>
    <w:rsid w:val="00C9107A"/>
    <w:rsid w:val="00C949C6"/>
    <w:rsid w:val="00C95C85"/>
    <w:rsid w:val="00C97B7F"/>
    <w:rsid w:val="00CA0448"/>
    <w:rsid w:val="00CA223D"/>
    <w:rsid w:val="00CA3AB2"/>
    <w:rsid w:val="00CA4676"/>
    <w:rsid w:val="00CA6744"/>
    <w:rsid w:val="00CA7147"/>
    <w:rsid w:val="00CB031F"/>
    <w:rsid w:val="00CB04FC"/>
    <w:rsid w:val="00CB0A75"/>
    <w:rsid w:val="00CB0FD1"/>
    <w:rsid w:val="00CB1740"/>
    <w:rsid w:val="00CB28C4"/>
    <w:rsid w:val="00CB2D96"/>
    <w:rsid w:val="00CB374F"/>
    <w:rsid w:val="00CB4033"/>
    <w:rsid w:val="00CB4AC1"/>
    <w:rsid w:val="00CB51EF"/>
    <w:rsid w:val="00CB542C"/>
    <w:rsid w:val="00CB5F28"/>
    <w:rsid w:val="00CB630A"/>
    <w:rsid w:val="00CB73D8"/>
    <w:rsid w:val="00CC1270"/>
    <w:rsid w:val="00CC1939"/>
    <w:rsid w:val="00CC3573"/>
    <w:rsid w:val="00CC50D5"/>
    <w:rsid w:val="00CC54AF"/>
    <w:rsid w:val="00CC7EDE"/>
    <w:rsid w:val="00CD02E9"/>
    <w:rsid w:val="00CD0B2D"/>
    <w:rsid w:val="00CD165F"/>
    <w:rsid w:val="00CD1894"/>
    <w:rsid w:val="00CD1B13"/>
    <w:rsid w:val="00CD2F2A"/>
    <w:rsid w:val="00CD33E9"/>
    <w:rsid w:val="00CD5981"/>
    <w:rsid w:val="00CE0601"/>
    <w:rsid w:val="00CE35E7"/>
    <w:rsid w:val="00CE420A"/>
    <w:rsid w:val="00CE4A5E"/>
    <w:rsid w:val="00CE59BA"/>
    <w:rsid w:val="00CE634F"/>
    <w:rsid w:val="00CE64CB"/>
    <w:rsid w:val="00CF03A2"/>
    <w:rsid w:val="00CF5491"/>
    <w:rsid w:val="00CF5590"/>
    <w:rsid w:val="00CF5E9E"/>
    <w:rsid w:val="00CF5FD1"/>
    <w:rsid w:val="00CF6C1B"/>
    <w:rsid w:val="00D006A1"/>
    <w:rsid w:val="00D00C02"/>
    <w:rsid w:val="00D04440"/>
    <w:rsid w:val="00D055FE"/>
    <w:rsid w:val="00D059C0"/>
    <w:rsid w:val="00D10926"/>
    <w:rsid w:val="00D13471"/>
    <w:rsid w:val="00D150C3"/>
    <w:rsid w:val="00D168D4"/>
    <w:rsid w:val="00D16B5F"/>
    <w:rsid w:val="00D16DF1"/>
    <w:rsid w:val="00D17F36"/>
    <w:rsid w:val="00D209F1"/>
    <w:rsid w:val="00D2357A"/>
    <w:rsid w:val="00D249EE"/>
    <w:rsid w:val="00D2725D"/>
    <w:rsid w:val="00D27F9F"/>
    <w:rsid w:val="00D301BB"/>
    <w:rsid w:val="00D30ABC"/>
    <w:rsid w:val="00D31817"/>
    <w:rsid w:val="00D319A7"/>
    <w:rsid w:val="00D32E95"/>
    <w:rsid w:val="00D33D7E"/>
    <w:rsid w:val="00D3494D"/>
    <w:rsid w:val="00D350B2"/>
    <w:rsid w:val="00D40A8E"/>
    <w:rsid w:val="00D411B0"/>
    <w:rsid w:val="00D4124A"/>
    <w:rsid w:val="00D41368"/>
    <w:rsid w:val="00D41F34"/>
    <w:rsid w:val="00D43838"/>
    <w:rsid w:val="00D454F8"/>
    <w:rsid w:val="00D45D53"/>
    <w:rsid w:val="00D516E4"/>
    <w:rsid w:val="00D51F56"/>
    <w:rsid w:val="00D53636"/>
    <w:rsid w:val="00D549ED"/>
    <w:rsid w:val="00D55364"/>
    <w:rsid w:val="00D553F4"/>
    <w:rsid w:val="00D55688"/>
    <w:rsid w:val="00D56062"/>
    <w:rsid w:val="00D5652F"/>
    <w:rsid w:val="00D5670A"/>
    <w:rsid w:val="00D606FB"/>
    <w:rsid w:val="00D61746"/>
    <w:rsid w:val="00D6190C"/>
    <w:rsid w:val="00D61C71"/>
    <w:rsid w:val="00D62929"/>
    <w:rsid w:val="00D62A4E"/>
    <w:rsid w:val="00D6300E"/>
    <w:rsid w:val="00D6386D"/>
    <w:rsid w:val="00D653FE"/>
    <w:rsid w:val="00D655EF"/>
    <w:rsid w:val="00D658B5"/>
    <w:rsid w:val="00D66CEC"/>
    <w:rsid w:val="00D66E72"/>
    <w:rsid w:val="00D70226"/>
    <w:rsid w:val="00D70775"/>
    <w:rsid w:val="00D72C5B"/>
    <w:rsid w:val="00D73643"/>
    <w:rsid w:val="00D7382C"/>
    <w:rsid w:val="00D73C6B"/>
    <w:rsid w:val="00D741FD"/>
    <w:rsid w:val="00D7429B"/>
    <w:rsid w:val="00D7609B"/>
    <w:rsid w:val="00D76215"/>
    <w:rsid w:val="00D766D4"/>
    <w:rsid w:val="00D76D99"/>
    <w:rsid w:val="00D811CE"/>
    <w:rsid w:val="00D817BD"/>
    <w:rsid w:val="00D82D4F"/>
    <w:rsid w:val="00D84CDC"/>
    <w:rsid w:val="00D85814"/>
    <w:rsid w:val="00D863A2"/>
    <w:rsid w:val="00D92B17"/>
    <w:rsid w:val="00D9354A"/>
    <w:rsid w:val="00D94891"/>
    <w:rsid w:val="00D94CBD"/>
    <w:rsid w:val="00D952EC"/>
    <w:rsid w:val="00D9570F"/>
    <w:rsid w:val="00D95A39"/>
    <w:rsid w:val="00D96340"/>
    <w:rsid w:val="00D97381"/>
    <w:rsid w:val="00D97CB4"/>
    <w:rsid w:val="00DA0302"/>
    <w:rsid w:val="00DA1D97"/>
    <w:rsid w:val="00DA3D25"/>
    <w:rsid w:val="00DA4DE5"/>
    <w:rsid w:val="00DB1671"/>
    <w:rsid w:val="00DB25CA"/>
    <w:rsid w:val="00DB2B61"/>
    <w:rsid w:val="00DB3BDC"/>
    <w:rsid w:val="00DB4B7B"/>
    <w:rsid w:val="00DB4BCF"/>
    <w:rsid w:val="00DB5B25"/>
    <w:rsid w:val="00DB6505"/>
    <w:rsid w:val="00DB7339"/>
    <w:rsid w:val="00DC288F"/>
    <w:rsid w:val="00DC2B63"/>
    <w:rsid w:val="00DC67F3"/>
    <w:rsid w:val="00DC6DFB"/>
    <w:rsid w:val="00DC7615"/>
    <w:rsid w:val="00DD3002"/>
    <w:rsid w:val="00DD321C"/>
    <w:rsid w:val="00DD36FE"/>
    <w:rsid w:val="00DD3B77"/>
    <w:rsid w:val="00DD401E"/>
    <w:rsid w:val="00DD49A1"/>
    <w:rsid w:val="00DD5999"/>
    <w:rsid w:val="00DD5C62"/>
    <w:rsid w:val="00DD7E39"/>
    <w:rsid w:val="00DE2B97"/>
    <w:rsid w:val="00DE39AC"/>
    <w:rsid w:val="00DE472A"/>
    <w:rsid w:val="00DE474B"/>
    <w:rsid w:val="00DE5FF8"/>
    <w:rsid w:val="00DE6957"/>
    <w:rsid w:val="00DE6EF5"/>
    <w:rsid w:val="00DE7090"/>
    <w:rsid w:val="00DF0268"/>
    <w:rsid w:val="00DF07B8"/>
    <w:rsid w:val="00DF0989"/>
    <w:rsid w:val="00DF0F3D"/>
    <w:rsid w:val="00DF1088"/>
    <w:rsid w:val="00DF32B9"/>
    <w:rsid w:val="00DF3AE6"/>
    <w:rsid w:val="00DF3BE3"/>
    <w:rsid w:val="00DF3DE0"/>
    <w:rsid w:val="00DF4AA7"/>
    <w:rsid w:val="00DF547E"/>
    <w:rsid w:val="00DF5A5E"/>
    <w:rsid w:val="00DF5A8A"/>
    <w:rsid w:val="00DF68FC"/>
    <w:rsid w:val="00DF7C46"/>
    <w:rsid w:val="00E00879"/>
    <w:rsid w:val="00E019E3"/>
    <w:rsid w:val="00E01A2D"/>
    <w:rsid w:val="00E04A39"/>
    <w:rsid w:val="00E04F82"/>
    <w:rsid w:val="00E04FB8"/>
    <w:rsid w:val="00E07740"/>
    <w:rsid w:val="00E12465"/>
    <w:rsid w:val="00E131BF"/>
    <w:rsid w:val="00E133AD"/>
    <w:rsid w:val="00E13EA8"/>
    <w:rsid w:val="00E14426"/>
    <w:rsid w:val="00E16B3F"/>
    <w:rsid w:val="00E16EA7"/>
    <w:rsid w:val="00E17510"/>
    <w:rsid w:val="00E20038"/>
    <w:rsid w:val="00E21CF7"/>
    <w:rsid w:val="00E22391"/>
    <w:rsid w:val="00E22A21"/>
    <w:rsid w:val="00E23A24"/>
    <w:rsid w:val="00E25882"/>
    <w:rsid w:val="00E25FCA"/>
    <w:rsid w:val="00E27C5C"/>
    <w:rsid w:val="00E32A05"/>
    <w:rsid w:val="00E371C0"/>
    <w:rsid w:val="00E3733B"/>
    <w:rsid w:val="00E3783B"/>
    <w:rsid w:val="00E448A0"/>
    <w:rsid w:val="00E44F26"/>
    <w:rsid w:val="00E4533B"/>
    <w:rsid w:val="00E46617"/>
    <w:rsid w:val="00E473CD"/>
    <w:rsid w:val="00E502EF"/>
    <w:rsid w:val="00E50534"/>
    <w:rsid w:val="00E52420"/>
    <w:rsid w:val="00E53235"/>
    <w:rsid w:val="00E53E19"/>
    <w:rsid w:val="00E5484D"/>
    <w:rsid w:val="00E56420"/>
    <w:rsid w:val="00E56FC3"/>
    <w:rsid w:val="00E5744C"/>
    <w:rsid w:val="00E6018F"/>
    <w:rsid w:val="00E6314D"/>
    <w:rsid w:val="00E63ABB"/>
    <w:rsid w:val="00E645BC"/>
    <w:rsid w:val="00E64795"/>
    <w:rsid w:val="00E64BE4"/>
    <w:rsid w:val="00E65F71"/>
    <w:rsid w:val="00E7015D"/>
    <w:rsid w:val="00E70B93"/>
    <w:rsid w:val="00E70C55"/>
    <w:rsid w:val="00E71966"/>
    <w:rsid w:val="00E7264D"/>
    <w:rsid w:val="00E73424"/>
    <w:rsid w:val="00E73B61"/>
    <w:rsid w:val="00E748BF"/>
    <w:rsid w:val="00E753B2"/>
    <w:rsid w:val="00E755B0"/>
    <w:rsid w:val="00E75EF8"/>
    <w:rsid w:val="00E82B4A"/>
    <w:rsid w:val="00E82F37"/>
    <w:rsid w:val="00E83480"/>
    <w:rsid w:val="00E8443F"/>
    <w:rsid w:val="00E84A04"/>
    <w:rsid w:val="00E8534B"/>
    <w:rsid w:val="00E90B95"/>
    <w:rsid w:val="00E9132A"/>
    <w:rsid w:val="00E9164D"/>
    <w:rsid w:val="00E91B2F"/>
    <w:rsid w:val="00E91BBA"/>
    <w:rsid w:val="00E91EE0"/>
    <w:rsid w:val="00E92AFF"/>
    <w:rsid w:val="00E92BDD"/>
    <w:rsid w:val="00E9300A"/>
    <w:rsid w:val="00E950BD"/>
    <w:rsid w:val="00E957FA"/>
    <w:rsid w:val="00E96785"/>
    <w:rsid w:val="00EA0350"/>
    <w:rsid w:val="00EA198A"/>
    <w:rsid w:val="00EA5E32"/>
    <w:rsid w:val="00EB0852"/>
    <w:rsid w:val="00EB1E40"/>
    <w:rsid w:val="00EB23E3"/>
    <w:rsid w:val="00EB3A63"/>
    <w:rsid w:val="00EB4B77"/>
    <w:rsid w:val="00EB6A39"/>
    <w:rsid w:val="00EB6C59"/>
    <w:rsid w:val="00EB6CE6"/>
    <w:rsid w:val="00EC0AA3"/>
    <w:rsid w:val="00EC163C"/>
    <w:rsid w:val="00EC1A9D"/>
    <w:rsid w:val="00EC2EE1"/>
    <w:rsid w:val="00EC3FEF"/>
    <w:rsid w:val="00EC4279"/>
    <w:rsid w:val="00EC42BC"/>
    <w:rsid w:val="00EC44FB"/>
    <w:rsid w:val="00EC4D0D"/>
    <w:rsid w:val="00EC5EFA"/>
    <w:rsid w:val="00EC6706"/>
    <w:rsid w:val="00EC747B"/>
    <w:rsid w:val="00EC7D65"/>
    <w:rsid w:val="00ED18CD"/>
    <w:rsid w:val="00ED39B2"/>
    <w:rsid w:val="00ED3AFC"/>
    <w:rsid w:val="00ED408E"/>
    <w:rsid w:val="00ED62AA"/>
    <w:rsid w:val="00ED6AAE"/>
    <w:rsid w:val="00ED763C"/>
    <w:rsid w:val="00ED7AD0"/>
    <w:rsid w:val="00EE1032"/>
    <w:rsid w:val="00EE201B"/>
    <w:rsid w:val="00EE28B6"/>
    <w:rsid w:val="00EE4038"/>
    <w:rsid w:val="00EE4292"/>
    <w:rsid w:val="00EE4C5E"/>
    <w:rsid w:val="00EE56C5"/>
    <w:rsid w:val="00EE57B0"/>
    <w:rsid w:val="00EE6166"/>
    <w:rsid w:val="00EE625A"/>
    <w:rsid w:val="00EE7640"/>
    <w:rsid w:val="00EF050D"/>
    <w:rsid w:val="00EF0BBF"/>
    <w:rsid w:val="00EF13E0"/>
    <w:rsid w:val="00EF3AD7"/>
    <w:rsid w:val="00EF3BDE"/>
    <w:rsid w:val="00EF493C"/>
    <w:rsid w:val="00EF4F09"/>
    <w:rsid w:val="00EF5086"/>
    <w:rsid w:val="00EF560E"/>
    <w:rsid w:val="00EF5C79"/>
    <w:rsid w:val="00F00A9A"/>
    <w:rsid w:val="00F00E70"/>
    <w:rsid w:val="00F010AC"/>
    <w:rsid w:val="00F01D7D"/>
    <w:rsid w:val="00F0263C"/>
    <w:rsid w:val="00F0314F"/>
    <w:rsid w:val="00F03B95"/>
    <w:rsid w:val="00F03F3B"/>
    <w:rsid w:val="00F0445D"/>
    <w:rsid w:val="00F0448F"/>
    <w:rsid w:val="00F04F34"/>
    <w:rsid w:val="00F10247"/>
    <w:rsid w:val="00F109A4"/>
    <w:rsid w:val="00F10D1D"/>
    <w:rsid w:val="00F10E0C"/>
    <w:rsid w:val="00F12566"/>
    <w:rsid w:val="00F12992"/>
    <w:rsid w:val="00F12F0A"/>
    <w:rsid w:val="00F13881"/>
    <w:rsid w:val="00F13F38"/>
    <w:rsid w:val="00F14740"/>
    <w:rsid w:val="00F16530"/>
    <w:rsid w:val="00F1675A"/>
    <w:rsid w:val="00F21769"/>
    <w:rsid w:val="00F2233B"/>
    <w:rsid w:val="00F22842"/>
    <w:rsid w:val="00F22B89"/>
    <w:rsid w:val="00F23943"/>
    <w:rsid w:val="00F24B9D"/>
    <w:rsid w:val="00F25A1C"/>
    <w:rsid w:val="00F25CAB"/>
    <w:rsid w:val="00F260FE"/>
    <w:rsid w:val="00F2768A"/>
    <w:rsid w:val="00F27864"/>
    <w:rsid w:val="00F324F5"/>
    <w:rsid w:val="00F32D8D"/>
    <w:rsid w:val="00F33E8B"/>
    <w:rsid w:val="00F346F9"/>
    <w:rsid w:val="00F35504"/>
    <w:rsid w:val="00F363E5"/>
    <w:rsid w:val="00F37DBF"/>
    <w:rsid w:val="00F403CE"/>
    <w:rsid w:val="00F407F6"/>
    <w:rsid w:val="00F41258"/>
    <w:rsid w:val="00F41305"/>
    <w:rsid w:val="00F41760"/>
    <w:rsid w:val="00F42E97"/>
    <w:rsid w:val="00F44E8A"/>
    <w:rsid w:val="00F4631E"/>
    <w:rsid w:val="00F46972"/>
    <w:rsid w:val="00F46DBF"/>
    <w:rsid w:val="00F471B6"/>
    <w:rsid w:val="00F47570"/>
    <w:rsid w:val="00F47847"/>
    <w:rsid w:val="00F5171C"/>
    <w:rsid w:val="00F53FF1"/>
    <w:rsid w:val="00F55379"/>
    <w:rsid w:val="00F60102"/>
    <w:rsid w:val="00F610D9"/>
    <w:rsid w:val="00F633BE"/>
    <w:rsid w:val="00F6342E"/>
    <w:rsid w:val="00F64463"/>
    <w:rsid w:val="00F64885"/>
    <w:rsid w:val="00F653DD"/>
    <w:rsid w:val="00F65661"/>
    <w:rsid w:val="00F6647A"/>
    <w:rsid w:val="00F66795"/>
    <w:rsid w:val="00F67229"/>
    <w:rsid w:val="00F6756E"/>
    <w:rsid w:val="00F73607"/>
    <w:rsid w:val="00F736E9"/>
    <w:rsid w:val="00F742A8"/>
    <w:rsid w:val="00F74A61"/>
    <w:rsid w:val="00F7505C"/>
    <w:rsid w:val="00F7543F"/>
    <w:rsid w:val="00F76049"/>
    <w:rsid w:val="00F762EB"/>
    <w:rsid w:val="00F7677D"/>
    <w:rsid w:val="00F77DFD"/>
    <w:rsid w:val="00F77ED9"/>
    <w:rsid w:val="00F80121"/>
    <w:rsid w:val="00F810F8"/>
    <w:rsid w:val="00F81112"/>
    <w:rsid w:val="00F82EBE"/>
    <w:rsid w:val="00F83A5B"/>
    <w:rsid w:val="00F83AB5"/>
    <w:rsid w:val="00F8648F"/>
    <w:rsid w:val="00F87205"/>
    <w:rsid w:val="00F87EDD"/>
    <w:rsid w:val="00F914C7"/>
    <w:rsid w:val="00F926BB"/>
    <w:rsid w:val="00F93420"/>
    <w:rsid w:val="00F94525"/>
    <w:rsid w:val="00F949E4"/>
    <w:rsid w:val="00F96272"/>
    <w:rsid w:val="00FA005F"/>
    <w:rsid w:val="00FA25AC"/>
    <w:rsid w:val="00FA3FA3"/>
    <w:rsid w:val="00FA590D"/>
    <w:rsid w:val="00FA6637"/>
    <w:rsid w:val="00FA7B97"/>
    <w:rsid w:val="00FB135D"/>
    <w:rsid w:val="00FB2891"/>
    <w:rsid w:val="00FB292D"/>
    <w:rsid w:val="00FB2FF5"/>
    <w:rsid w:val="00FB4247"/>
    <w:rsid w:val="00FB4733"/>
    <w:rsid w:val="00FB4954"/>
    <w:rsid w:val="00FB7366"/>
    <w:rsid w:val="00FB7BE0"/>
    <w:rsid w:val="00FC06F9"/>
    <w:rsid w:val="00FC0BA8"/>
    <w:rsid w:val="00FC0C1C"/>
    <w:rsid w:val="00FC143A"/>
    <w:rsid w:val="00FC239F"/>
    <w:rsid w:val="00FC2B0F"/>
    <w:rsid w:val="00FC2BDD"/>
    <w:rsid w:val="00FC3B7F"/>
    <w:rsid w:val="00FC4D96"/>
    <w:rsid w:val="00FC5929"/>
    <w:rsid w:val="00FC5F55"/>
    <w:rsid w:val="00FC6089"/>
    <w:rsid w:val="00FC69B2"/>
    <w:rsid w:val="00FD4720"/>
    <w:rsid w:val="00FD549C"/>
    <w:rsid w:val="00FD6205"/>
    <w:rsid w:val="00FD66C1"/>
    <w:rsid w:val="00FD766F"/>
    <w:rsid w:val="00FE027C"/>
    <w:rsid w:val="00FE0EB3"/>
    <w:rsid w:val="00FE1290"/>
    <w:rsid w:val="00FE148E"/>
    <w:rsid w:val="00FE4542"/>
    <w:rsid w:val="00FE6224"/>
    <w:rsid w:val="00FE63DE"/>
    <w:rsid w:val="00FE6431"/>
    <w:rsid w:val="00FE6D87"/>
    <w:rsid w:val="00FE7023"/>
    <w:rsid w:val="00FE7BBB"/>
    <w:rsid w:val="00FF0225"/>
    <w:rsid w:val="00FF2D69"/>
    <w:rsid w:val="00FF3710"/>
    <w:rsid w:val="00FF456D"/>
    <w:rsid w:val="00FF59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01B99"/>
  <w15:docId w15:val="{0B58ACCD-3860-45E6-8608-AAFF04BC4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FD1"/>
  </w:style>
  <w:style w:type="paragraph" w:styleId="Heading1">
    <w:name w:val="heading 1"/>
    <w:basedOn w:val="Normal"/>
    <w:next w:val="Normal"/>
    <w:link w:val="Heading1Char"/>
    <w:uiPriority w:val="9"/>
    <w:qFormat/>
    <w:rsid w:val="006A5B25"/>
    <w:pPr>
      <w:keepNext/>
      <w:keepLines/>
      <w:numPr>
        <w:numId w:val="16"/>
      </w:numPr>
      <w:pBdr>
        <w:bottom w:val="single" w:sz="4" w:space="1" w:color="595959" w:themeColor="text1" w:themeTint="A6"/>
      </w:pBdr>
      <w:spacing w:before="360"/>
      <w:outlineLvl w:val="0"/>
    </w:pPr>
    <w:rPr>
      <w:rFonts w:asciiTheme="majorHAnsi" w:eastAsiaTheme="majorEastAsia" w:hAnsiTheme="majorHAnsi" w:cstheme="majorBidi"/>
      <w:b/>
      <w:bCs/>
      <w:smallCaps/>
      <w:color w:val="336699" w:themeColor="background2"/>
      <w:sz w:val="36"/>
      <w:szCs w:val="36"/>
    </w:rPr>
  </w:style>
  <w:style w:type="paragraph" w:styleId="Heading2">
    <w:name w:val="heading 2"/>
    <w:basedOn w:val="Normal"/>
    <w:next w:val="Normal"/>
    <w:link w:val="Heading2Char"/>
    <w:uiPriority w:val="9"/>
    <w:unhideWhenUsed/>
    <w:qFormat/>
    <w:rsid w:val="006A5B25"/>
    <w:pPr>
      <w:keepNext/>
      <w:keepLines/>
      <w:numPr>
        <w:ilvl w:val="1"/>
        <w:numId w:val="16"/>
      </w:numPr>
      <w:spacing w:before="360" w:after="0"/>
      <w:outlineLvl w:val="1"/>
    </w:pPr>
    <w:rPr>
      <w:rFonts w:asciiTheme="majorHAnsi" w:eastAsiaTheme="majorEastAsia" w:hAnsiTheme="majorHAnsi" w:cstheme="majorBidi"/>
      <w:b/>
      <w:bCs/>
      <w:smallCaps/>
      <w:color w:val="595959" w:themeColor="text2"/>
      <w:sz w:val="28"/>
      <w:szCs w:val="28"/>
    </w:rPr>
  </w:style>
  <w:style w:type="paragraph" w:styleId="Heading3">
    <w:name w:val="heading 3"/>
    <w:basedOn w:val="Normal"/>
    <w:next w:val="Normal"/>
    <w:link w:val="Heading3Char"/>
    <w:uiPriority w:val="9"/>
    <w:unhideWhenUsed/>
    <w:qFormat/>
    <w:rsid w:val="00CF5FD1"/>
    <w:pPr>
      <w:keepNext/>
      <w:keepLines/>
      <w:numPr>
        <w:ilvl w:val="2"/>
        <w:numId w:val="16"/>
      </w:numPr>
      <w:spacing w:before="200" w:after="0"/>
      <w:ind w:left="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CF5FD1"/>
    <w:pPr>
      <w:keepNext/>
      <w:keepLines/>
      <w:numPr>
        <w:ilvl w:val="3"/>
        <w:numId w:val="16"/>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CF5FD1"/>
    <w:pPr>
      <w:keepNext/>
      <w:keepLines/>
      <w:numPr>
        <w:ilvl w:val="4"/>
        <w:numId w:val="16"/>
      </w:numPr>
      <w:spacing w:before="200" w:after="0"/>
      <w:outlineLvl w:val="4"/>
    </w:pPr>
    <w:rPr>
      <w:rFonts w:asciiTheme="majorHAnsi" w:eastAsiaTheme="majorEastAsia" w:hAnsiTheme="majorHAnsi" w:cstheme="majorBidi"/>
      <w:color w:val="424242" w:themeColor="text2" w:themeShade="BF"/>
    </w:rPr>
  </w:style>
  <w:style w:type="paragraph" w:styleId="Heading6">
    <w:name w:val="heading 6"/>
    <w:basedOn w:val="Normal"/>
    <w:next w:val="Normal"/>
    <w:link w:val="Heading6Char"/>
    <w:uiPriority w:val="9"/>
    <w:semiHidden/>
    <w:unhideWhenUsed/>
    <w:qFormat/>
    <w:rsid w:val="00CF5FD1"/>
    <w:pPr>
      <w:keepNext/>
      <w:keepLines/>
      <w:numPr>
        <w:ilvl w:val="5"/>
        <w:numId w:val="16"/>
      </w:numPr>
      <w:spacing w:before="200" w:after="0"/>
      <w:outlineLvl w:val="5"/>
    </w:pPr>
    <w:rPr>
      <w:rFonts w:asciiTheme="majorHAnsi" w:eastAsiaTheme="majorEastAsia" w:hAnsiTheme="majorHAnsi" w:cstheme="majorBidi"/>
      <w:i/>
      <w:iCs/>
      <w:color w:val="424242" w:themeColor="text2" w:themeShade="BF"/>
    </w:rPr>
  </w:style>
  <w:style w:type="paragraph" w:styleId="Heading7">
    <w:name w:val="heading 7"/>
    <w:basedOn w:val="Normal"/>
    <w:next w:val="Normal"/>
    <w:link w:val="Heading7Char"/>
    <w:uiPriority w:val="9"/>
    <w:semiHidden/>
    <w:unhideWhenUsed/>
    <w:qFormat/>
    <w:rsid w:val="00CF5FD1"/>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F5FD1"/>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F5FD1"/>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5FD1"/>
    <w:pPr>
      <w:spacing w:after="0" w:line="240" w:lineRule="auto"/>
    </w:pPr>
  </w:style>
  <w:style w:type="paragraph" w:styleId="Header">
    <w:name w:val="header"/>
    <w:basedOn w:val="Normal"/>
    <w:link w:val="HeaderChar"/>
    <w:uiPriority w:val="99"/>
    <w:unhideWhenUsed/>
    <w:rsid w:val="00B82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472"/>
  </w:style>
  <w:style w:type="paragraph" w:styleId="Footer">
    <w:name w:val="footer"/>
    <w:basedOn w:val="Normal"/>
    <w:link w:val="FooterChar"/>
    <w:uiPriority w:val="99"/>
    <w:unhideWhenUsed/>
    <w:rsid w:val="00B82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472"/>
  </w:style>
  <w:style w:type="character" w:customStyle="1" w:styleId="Heading1Char">
    <w:name w:val="Heading 1 Char"/>
    <w:basedOn w:val="DefaultParagraphFont"/>
    <w:link w:val="Heading1"/>
    <w:uiPriority w:val="9"/>
    <w:rsid w:val="006A5B25"/>
    <w:rPr>
      <w:rFonts w:asciiTheme="majorHAnsi" w:eastAsiaTheme="majorEastAsia" w:hAnsiTheme="majorHAnsi" w:cstheme="majorBidi"/>
      <w:b/>
      <w:bCs/>
      <w:smallCaps/>
      <w:color w:val="336699" w:themeColor="background2"/>
      <w:sz w:val="36"/>
      <w:szCs w:val="36"/>
    </w:rPr>
  </w:style>
  <w:style w:type="paragraph" w:styleId="TOCHeading">
    <w:name w:val="TOC Heading"/>
    <w:basedOn w:val="Heading1"/>
    <w:next w:val="Normal"/>
    <w:uiPriority w:val="39"/>
    <w:unhideWhenUsed/>
    <w:qFormat/>
    <w:rsid w:val="00CF5FD1"/>
  </w:style>
  <w:style w:type="paragraph" w:styleId="TOC2">
    <w:name w:val="toc 2"/>
    <w:basedOn w:val="Normal"/>
    <w:next w:val="Normal"/>
    <w:autoRedefine/>
    <w:uiPriority w:val="39"/>
    <w:unhideWhenUsed/>
    <w:rsid w:val="00B82472"/>
    <w:pPr>
      <w:spacing w:after="100"/>
      <w:ind w:left="220"/>
    </w:pPr>
    <w:rPr>
      <w:rFonts w:cs="Times New Roman"/>
      <w:lang w:val="en-US"/>
    </w:rPr>
  </w:style>
  <w:style w:type="paragraph" w:styleId="TOC1">
    <w:name w:val="toc 1"/>
    <w:basedOn w:val="Normal"/>
    <w:next w:val="Normal"/>
    <w:autoRedefine/>
    <w:uiPriority w:val="39"/>
    <w:unhideWhenUsed/>
    <w:rsid w:val="00B82472"/>
    <w:pPr>
      <w:spacing w:after="100"/>
    </w:pPr>
    <w:rPr>
      <w:rFonts w:cs="Times New Roman"/>
      <w:lang w:val="en-US"/>
    </w:rPr>
  </w:style>
  <w:style w:type="paragraph" w:styleId="TOC3">
    <w:name w:val="toc 3"/>
    <w:basedOn w:val="Normal"/>
    <w:next w:val="Normal"/>
    <w:autoRedefine/>
    <w:uiPriority w:val="39"/>
    <w:unhideWhenUsed/>
    <w:rsid w:val="00E91B2F"/>
    <w:pPr>
      <w:spacing w:after="100"/>
      <w:ind w:left="216"/>
    </w:pPr>
    <w:rPr>
      <w:rFonts w:cs="Times New Roman"/>
      <w:lang w:val="en-US"/>
    </w:rPr>
  </w:style>
  <w:style w:type="character" w:customStyle="1" w:styleId="NoSpacingChar">
    <w:name w:val="No Spacing Char"/>
    <w:basedOn w:val="DefaultParagraphFont"/>
    <w:link w:val="NoSpacing"/>
    <w:uiPriority w:val="1"/>
    <w:rsid w:val="00B82472"/>
  </w:style>
  <w:style w:type="character" w:styleId="Hyperlink">
    <w:name w:val="Hyperlink"/>
    <w:basedOn w:val="DefaultParagraphFont"/>
    <w:uiPriority w:val="99"/>
    <w:unhideWhenUsed/>
    <w:rsid w:val="00A3443A"/>
    <w:rPr>
      <w:color w:val="F49100" w:themeColor="hyperlink"/>
      <w:u w:val="single"/>
    </w:rPr>
  </w:style>
  <w:style w:type="character" w:customStyle="1" w:styleId="UnresolvedMention1">
    <w:name w:val="Unresolved Mention1"/>
    <w:basedOn w:val="DefaultParagraphFont"/>
    <w:uiPriority w:val="99"/>
    <w:semiHidden/>
    <w:unhideWhenUsed/>
    <w:rsid w:val="00A3443A"/>
    <w:rPr>
      <w:color w:val="605E5C"/>
      <w:shd w:val="clear" w:color="auto" w:fill="E1DFDD"/>
    </w:rPr>
  </w:style>
  <w:style w:type="character" w:customStyle="1" w:styleId="wb-inv">
    <w:name w:val="wb-inv"/>
    <w:basedOn w:val="DefaultParagraphFont"/>
    <w:rsid w:val="00AF6A30"/>
  </w:style>
  <w:style w:type="character" w:styleId="CommentReference">
    <w:name w:val="annotation reference"/>
    <w:basedOn w:val="DefaultParagraphFont"/>
    <w:uiPriority w:val="99"/>
    <w:semiHidden/>
    <w:unhideWhenUsed/>
    <w:rsid w:val="00063FD5"/>
    <w:rPr>
      <w:sz w:val="16"/>
      <w:szCs w:val="16"/>
    </w:rPr>
  </w:style>
  <w:style w:type="paragraph" w:styleId="CommentText">
    <w:name w:val="annotation text"/>
    <w:basedOn w:val="Normal"/>
    <w:link w:val="CommentTextChar"/>
    <w:uiPriority w:val="99"/>
    <w:semiHidden/>
    <w:unhideWhenUsed/>
    <w:rsid w:val="00063FD5"/>
    <w:pPr>
      <w:spacing w:line="240" w:lineRule="auto"/>
    </w:pPr>
    <w:rPr>
      <w:sz w:val="20"/>
      <w:szCs w:val="20"/>
    </w:rPr>
  </w:style>
  <w:style w:type="character" w:customStyle="1" w:styleId="CommentTextChar">
    <w:name w:val="Comment Text Char"/>
    <w:basedOn w:val="DefaultParagraphFont"/>
    <w:link w:val="CommentText"/>
    <w:uiPriority w:val="99"/>
    <w:semiHidden/>
    <w:rsid w:val="00063FD5"/>
    <w:rPr>
      <w:sz w:val="20"/>
      <w:szCs w:val="20"/>
    </w:rPr>
  </w:style>
  <w:style w:type="paragraph" w:styleId="CommentSubject">
    <w:name w:val="annotation subject"/>
    <w:basedOn w:val="CommentText"/>
    <w:next w:val="CommentText"/>
    <w:link w:val="CommentSubjectChar"/>
    <w:uiPriority w:val="99"/>
    <w:semiHidden/>
    <w:unhideWhenUsed/>
    <w:rsid w:val="00063FD5"/>
    <w:rPr>
      <w:b/>
      <w:bCs/>
    </w:rPr>
  </w:style>
  <w:style w:type="character" w:customStyle="1" w:styleId="CommentSubjectChar">
    <w:name w:val="Comment Subject Char"/>
    <w:basedOn w:val="CommentTextChar"/>
    <w:link w:val="CommentSubject"/>
    <w:uiPriority w:val="99"/>
    <w:semiHidden/>
    <w:rsid w:val="00063FD5"/>
    <w:rPr>
      <w:b/>
      <w:bCs/>
      <w:sz w:val="20"/>
      <w:szCs w:val="20"/>
    </w:rPr>
  </w:style>
  <w:style w:type="paragraph" w:styleId="BalloonText">
    <w:name w:val="Balloon Text"/>
    <w:basedOn w:val="Normal"/>
    <w:link w:val="BalloonTextChar"/>
    <w:uiPriority w:val="99"/>
    <w:semiHidden/>
    <w:unhideWhenUsed/>
    <w:rsid w:val="00063F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D5"/>
    <w:rPr>
      <w:rFonts w:ascii="Segoe UI" w:hAnsi="Segoe UI" w:cs="Segoe UI"/>
      <w:sz w:val="18"/>
      <w:szCs w:val="18"/>
    </w:rPr>
  </w:style>
  <w:style w:type="paragraph" w:styleId="Revision">
    <w:name w:val="Revision"/>
    <w:hidden/>
    <w:uiPriority w:val="99"/>
    <w:semiHidden/>
    <w:rsid w:val="0036270D"/>
    <w:pPr>
      <w:spacing w:after="0" w:line="240" w:lineRule="auto"/>
    </w:pPr>
  </w:style>
  <w:style w:type="paragraph" w:styleId="Caption">
    <w:name w:val="caption"/>
    <w:basedOn w:val="Normal"/>
    <w:next w:val="Normal"/>
    <w:uiPriority w:val="35"/>
    <w:unhideWhenUsed/>
    <w:qFormat/>
    <w:rsid w:val="00CF5FD1"/>
    <w:pPr>
      <w:spacing w:after="200" w:line="240" w:lineRule="auto"/>
    </w:pPr>
    <w:rPr>
      <w:i/>
      <w:iCs/>
      <w:color w:val="595959" w:themeColor="text2"/>
      <w:sz w:val="18"/>
      <w:szCs w:val="18"/>
    </w:rPr>
  </w:style>
  <w:style w:type="paragraph" w:styleId="ListParagraph">
    <w:name w:val="List Paragraph"/>
    <w:basedOn w:val="Normal"/>
    <w:uiPriority w:val="34"/>
    <w:qFormat/>
    <w:rsid w:val="00A11088"/>
    <w:pPr>
      <w:ind w:left="720"/>
      <w:contextualSpacing/>
    </w:pPr>
  </w:style>
  <w:style w:type="paragraph" w:styleId="Title">
    <w:name w:val="Title"/>
    <w:basedOn w:val="Normal"/>
    <w:next w:val="Normal"/>
    <w:link w:val="TitleChar"/>
    <w:uiPriority w:val="10"/>
    <w:qFormat/>
    <w:rsid w:val="00CF5FD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F5FD1"/>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CF5FD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F5FD1"/>
    <w:rPr>
      <w:color w:val="5A5A5A" w:themeColor="text1" w:themeTint="A5"/>
      <w:spacing w:val="10"/>
    </w:rPr>
  </w:style>
  <w:style w:type="character" w:customStyle="1" w:styleId="Heading2Char">
    <w:name w:val="Heading 2 Char"/>
    <w:basedOn w:val="DefaultParagraphFont"/>
    <w:link w:val="Heading2"/>
    <w:uiPriority w:val="9"/>
    <w:rsid w:val="006A5B25"/>
    <w:rPr>
      <w:rFonts w:asciiTheme="majorHAnsi" w:eastAsiaTheme="majorEastAsia" w:hAnsiTheme="majorHAnsi" w:cstheme="majorBidi"/>
      <w:b/>
      <w:bCs/>
      <w:smallCaps/>
      <w:color w:val="595959" w:themeColor="text2"/>
      <w:sz w:val="28"/>
      <w:szCs w:val="28"/>
    </w:rPr>
  </w:style>
  <w:style w:type="character" w:customStyle="1" w:styleId="Heading3Char">
    <w:name w:val="Heading 3 Char"/>
    <w:basedOn w:val="DefaultParagraphFont"/>
    <w:link w:val="Heading3"/>
    <w:uiPriority w:val="9"/>
    <w:rsid w:val="00CF5FD1"/>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CF5FD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CF5FD1"/>
    <w:rPr>
      <w:rFonts w:asciiTheme="majorHAnsi" w:eastAsiaTheme="majorEastAsia" w:hAnsiTheme="majorHAnsi" w:cstheme="majorBidi"/>
      <w:color w:val="424242" w:themeColor="text2" w:themeShade="BF"/>
    </w:rPr>
  </w:style>
  <w:style w:type="character" w:customStyle="1" w:styleId="Heading6Char">
    <w:name w:val="Heading 6 Char"/>
    <w:basedOn w:val="DefaultParagraphFont"/>
    <w:link w:val="Heading6"/>
    <w:uiPriority w:val="9"/>
    <w:semiHidden/>
    <w:rsid w:val="00CF5FD1"/>
    <w:rPr>
      <w:rFonts w:asciiTheme="majorHAnsi" w:eastAsiaTheme="majorEastAsia" w:hAnsiTheme="majorHAnsi" w:cstheme="majorBidi"/>
      <w:i/>
      <w:iCs/>
      <w:color w:val="424242" w:themeColor="text2" w:themeShade="BF"/>
    </w:rPr>
  </w:style>
  <w:style w:type="character" w:customStyle="1" w:styleId="Heading7Char">
    <w:name w:val="Heading 7 Char"/>
    <w:basedOn w:val="DefaultParagraphFont"/>
    <w:link w:val="Heading7"/>
    <w:uiPriority w:val="9"/>
    <w:semiHidden/>
    <w:rsid w:val="00CF5FD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F5F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F5FD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CF5FD1"/>
    <w:rPr>
      <w:b/>
      <w:bCs/>
      <w:color w:val="000000" w:themeColor="text1"/>
    </w:rPr>
  </w:style>
  <w:style w:type="character" w:styleId="Emphasis">
    <w:name w:val="Emphasis"/>
    <w:basedOn w:val="DefaultParagraphFont"/>
    <w:uiPriority w:val="20"/>
    <w:qFormat/>
    <w:rsid w:val="00CF5FD1"/>
    <w:rPr>
      <w:i/>
      <w:iCs/>
      <w:color w:val="auto"/>
    </w:rPr>
  </w:style>
  <w:style w:type="paragraph" w:styleId="Quote">
    <w:name w:val="Quote"/>
    <w:basedOn w:val="Normal"/>
    <w:next w:val="Normal"/>
    <w:link w:val="QuoteChar"/>
    <w:uiPriority w:val="29"/>
    <w:qFormat/>
    <w:rsid w:val="00CF5FD1"/>
    <w:pPr>
      <w:spacing w:before="160"/>
      <w:ind w:left="720" w:right="720"/>
    </w:pPr>
    <w:rPr>
      <w:i/>
      <w:iCs/>
      <w:color w:val="000000" w:themeColor="text1"/>
    </w:rPr>
  </w:style>
  <w:style w:type="character" w:customStyle="1" w:styleId="QuoteChar">
    <w:name w:val="Quote Char"/>
    <w:basedOn w:val="DefaultParagraphFont"/>
    <w:link w:val="Quote"/>
    <w:uiPriority w:val="29"/>
    <w:rsid w:val="00CF5FD1"/>
    <w:rPr>
      <w:i/>
      <w:iCs/>
      <w:color w:val="000000" w:themeColor="text1"/>
    </w:rPr>
  </w:style>
  <w:style w:type="paragraph" w:styleId="IntenseQuote">
    <w:name w:val="Intense Quote"/>
    <w:basedOn w:val="Normal"/>
    <w:next w:val="Normal"/>
    <w:link w:val="IntenseQuoteChar"/>
    <w:uiPriority w:val="30"/>
    <w:qFormat/>
    <w:rsid w:val="00CF5FD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F5FD1"/>
    <w:rPr>
      <w:color w:val="000000" w:themeColor="text1"/>
      <w:shd w:val="clear" w:color="auto" w:fill="F2F2F2" w:themeFill="background1" w:themeFillShade="F2"/>
    </w:rPr>
  </w:style>
  <w:style w:type="character" w:styleId="SubtleEmphasis">
    <w:name w:val="Subtle Emphasis"/>
    <w:basedOn w:val="DefaultParagraphFont"/>
    <w:uiPriority w:val="19"/>
    <w:qFormat/>
    <w:rsid w:val="00CF5FD1"/>
    <w:rPr>
      <w:i/>
      <w:iCs/>
      <w:color w:val="404040" w:themeColor="text1" w:themeTint="BF"/>
    </w:rPr>
  </w:style>
  <w:style w:type="character" w:styleId="IntenseEmphasis">
    <w:name w:val="Intense Emphasis"/>
    <w:basedOn w:val="DefaultParagraphFont"/>
    <w:uiPriority w:val="21"/>
    <w:qFormat/>
    <w:rsid w:val="00CF5FD1"/>
    <w:rPr>
      <w:b/>
      <w:bCs/>
      <w:i/>
      <w:iCs/>
      <w:caps/>
    </w:rPr>
  </w:style>
  <w:style w:type="character" w:styleId="SubtleReference">
    <w:name w:val="Subtle Reference"/>
    <w:basedOn w:val="DefaultParagraphFont"/>
    <w:uiPriority w:val="31"/>
    <w:qFormat/>
    <w:rsid w:val="00CF5FD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F5FD1"/>
    <w:rPr>
      <w:b/>
      <w:bCs/>
      <w:smallCaps/>
      <w:u w:val="single"/>
    </w:rPr>
  </w:style>
  <w:style w:type="character" w:styleId="BookTitle">
    <w:name w:val="Book Title"/>
    <w:basedOn w:val="DefaultParagraphFont"/>
    <w:uiPriority w:val="33"/>
    <w:qFormat/>
    <w:rsid w:val="00CF5FD1"/>
    <w:rPr>
      <w:b w:val="0"/>
      <w:bCs w:val="0"/>
      <w:smallCaps/>
      <w:spacing w:val="5"/>
    </w:rPr>
  </w:style>
  <w:style w:type="table" w:styleId="TableGrid">
    <w:name w:val="Table Grid"/>
    <w:basedOn w:val="TableNormal"/>
    <w:uiPriority w:val="39"/>
    <w:rsid w:val="00D54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
    <w:name w:val="List Table 31"/>
    <w:basedOn w:val="TableNormal"/>
    <w:uiPriority w:val="48"/>
    <w:rsid w:val="000A70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PlaceholderText">
    <w:name w:val="Placeholder Text"/>
    <w:basedOn w:val="DefaultParagraphFont"/>
    <w:uiPriority w:val="99"/>
    <w:semiHidden/>
    <w:rsid w:val="00B709C1"/>
    <w:rPr>
      <w:color w:val="808080"/>
    </w:rPr>
  </w:style>
  <w:style w:type="table" w:customStyle="1" w:styleId="GridTable4-Accent31">
    <w:name w:val="Grid Table 4 - Accent 31"/>
    <w:basedOn w:val="TableNormal"/>
    <w:uiPriority w:val="49"/>
    <w:rsid w:val="00652908"/>
    <w:pPr>
      <w:spacing w:after="0" w:line="240" w:lineRule="auto"/>
    </w:pPr>
    <w:rPr>
      <w:rFonts w:eastAsiaTheme="minorHAnsi"/>
    </w:rPr>
    <w:tblPr>
      <w:tblStyleRowBandSize w:val="1"/>
      <w:tblStyleColBandSize w:val="1"/>
      <w:tblBorders>
        <w:top w:val="single" w:sz="4" w:space="0" w:color="75A2D1" w:themeColor="accent3" w:themeTint="99"/>
        <w:left w:val="single" w:sz="4" w:space="0" w:color="75A2D1" w:themeColor="accent3" w:themeTint="99"/>
        <w:bottom w:val="single" w:sz="4" w:space="0" w:color="75A2D1" w:themeColor="accent3" w:themeTint="99"/>
        <w:right w:val="single" w:sz="4" w:space="0" w:color="75A2D1" w:themeColor="accent3" w:themeTint="99"/>
        <w:insideH w:val="single" w:sz="4" w:space="0" w:color="75A2D1" w:themeColor="accent3" w:themeTint="99"/>
        <w:insideV w:val="single" w:sz="4" w:space="0" w:color="75A2D1" w:themeColor="accent3" w:themeTint="99"/>
      </w:tblBorders>
    </w:tblPr>
    <w:tblStylePr w:type="firstRow">
      <w:rPr>
        <w:b/>
        <w:bCs/>
        <w:color w:val="FFFFFF" w:themeColor="background1"/>
      </w:rPr>
      <w:tblPr/>
      <w:tcPr>
        <w:tcBorders>
          <w:top w:val="single" w:sz="4" w:space="0" w:color="336699" w:themeColor="accent3"/>
          <w:left w:val="single" w:sz="4" w:space="0" w:color="336699" w:themeColor="accent3"/>
          <w:bottom w:val="single" w:sz="4" w:space="0" w:color="336699" w:themeColor="accent3"/>
          <w:right w:val="single" w:sz="4" w:space="0" w:color="336699" w:themeColor="accent3"/>
          <w:insideH w:val="nil"/>
          <w:insideV w:val="nil"/>
        </w:tcBorders>
        <w:shd w:val="clear" w:color="auto" w:fill="336699" w:themeFill="accent3"/>
      </w:tcPr>
    </w:tblStylePr>
    <w:tblStylePr w:type="lastRow">
      <w:rPr>
        <w:b/>
        <w:bCs/>
      </w:rPr>
      <w:tblPr/>
      <w:tcPr>
        <w:tcBorders>
          <w:top w:val="double" w:sz="4" w:space="0" w:color="336699" w:themeColor="accent3"/>
        </w:tcBorders>
      </w:tcPr>
    </w:tblStylePr>
    <w:tblStylePr w:type="firstCol">
      <w:rPr>
        <w:b/>
        <w:bCs/>
      </w:rPr>
    </w:tblStylePr>
    <w:tblStylePr w:type="lastCol">
      <w:rPr>
        <w:b/>
        <w:bCs/>
      </w:rPr>
    </w:tblStylePr>
    <w:tblStylePr w:type="band1Vert">
      <w:tblPr/>
      <w:tcPr>
        <w:shd w:val="clear" w:color="auto" w:fill="D1E0EF" w:themeFill="accent3" w:themeFillTint="33"/>
      </w:tcPr>
    </w:tblStylePr>
    <w:tblStylePr w:type="band1Horz">
      <w:tblPr/>
      <w:tcPr>
        <w:shd w:val="clear" w:color="auto" w:fill="D1E0EF" w:themeFill="accent3" w:themeFillTint="33"/>
      </w:tcPr>
    </w:tblStylePr>
  </w:style>
  <w:style w:type="table" w:customStyle="1" w:styleId="GridTable4-Accent11">
    <w:name w:val="Grid Table 4 - Accent 11"/>
    <w:basedOn w:val="TableNormal"/>
    <w:uiPriority w:val="49"/>
    <w:rsid w:val="00993318"/>
    <w:pPr>
      <w:spacing w:after="0" w:line="240" w:lineRule="auto"/>
    </w:pPr>
    <w:tblPr>
      <w:tblStyleRowBandSize w:val="1"/>
      <w:tblStyleColBandSize w:val="1"/>
      <w:tblBorders>
        <w:top w:val="single" w:sz="4" w:space="0" w:color="75A2D1" w:themeColor="accent1" w:themeTint="99"/>
        <w:left w:val="single" w:sz="4" w:space="0" w:color="75A2D1" w:themeColor="accent1" w:themeTint="99"/>
        <w:bottom w:val="single" w:sz="4" w:space="0" w:color="75A2D1" w:themeColor="accent1" w:themeTint="99"/>
        <w:right w:val="single" w:sz="4" w:space="0" w:color="75A2D1" w:themeColor="accent1" w:themeTint="99"/>
        <w:insideH w:val="single" w:sz="4" w:space="0" w:color="75A2D1" w:themeColor="accent1" w:themeTint="99"/>
        <w:insideV w:val="single" w:sz="4" w:space="0" w:color="75A2D1" w:themeColor="accent1" w:themeTint="99"/>
      </w:tblBorders>
    </w:tblPr>
    <w:tblStylePr w:type="firstRow">
      <w:rPr>
        <w:b/>
        <w:bCs/>
        <w:color w:val="FFFFFF" w:themeColor="background1"/>
      </w:rPr>
      <w:tblPr/>
      <w:tcPr>
        <w:tcBorders>
          <w:top w:val="single" w:sz="4" w:space="0" w:color="336699" w:themeColor="accent1"/>
          <w:left w:val="single" w:sz="4" w:space="0" w:color="336699" w:themeColor="accent1"/>
          <w:bottom w:val="single" w:sz="4" w:space="0" w:color="336699" w:themeColor="accent1"/>
          <w:right w:val="single" w:sz="4" w:space="0" w:color="336699" w:themeColor="accent1"/>
          <w:insideH w:val="nil"/>
          <w:insideV w:val="nil"/>
        </w:tcBorders>
        <w:shd w:val="clear" w:color="auto" w:fill="336699" w:themeFill="accent1"/>
      </w:tcPr>
    </w:tblStylePr>
    <w:tblStylePr w:type="lastRow">
      <w:rPr>
        <w:b/>
        <w:bCs/>
      </w:rPr>
      <w:tblPr/>
      <w:tcPr>
        <w:tcBorders>
          <w:top w:val="double" w:sz="4" w:space="0" w:color="336699" w:themeColor="accent1"/>
        </w:tcBorders>
      </w:tcPr>
    </w:tblStylePr>
    <w:tblStylePr w:type="firstCol">
      <w:rPr>
        <w:b/>
        <w:bCs/>
      </w:rPr>
    </w:tblStylePr>
    <w:tblStylePr w:type="lastCol">
      <w:rPr>
        <w:b/>
        <w:bCs/>
      </w:rPr>
    </w:tblStylePr>
    <w:tblStylePr w:type="band1Vert">
      <w:tblPr/>
      <w:tcPr>
        <w:shd w:val="clear" w:color="auto" w:fill="D1E0EF" w:themeFill="accent1" w:themeFillTint="33"/>
      </w:tcPr>
    </w:tblStylePr>
    <w:tblStylePr w:type="band1Horz">
      <w:tblPr/>
      <w:tcPr>
        <w:shd w:val="clear" w:color="auto" w:fill="D1E0EF" w:themeFill="accent1" w:themeFillTint="33"/>
      </w:tcPr>
    </w:tblStylePr>
  </w:style>
  <w:style w:type="table" w:customStyle="1" w:styleId="ListTable4-Accent11">
    <w:name w:val="List Table 4 - Accent 11"/>
    <w:basedOn w:val="TableNormal"/>
    <w:uiPriority w:val="49"/>
    <w:rsid w:val="009F6ED4"/>
    <w:pPr>
      <w:spacing w:after="0" w:line="240" w:lineRule="auto"/>
    </w:pPr>
    <w:tblPr>
      <w:tblStyleRowBandSize w:val="1"/>
      <w:tblStyleColBandSize w:val="1"/>
      <w:tblBorders>
        <w:top w:val="single" w:sz="4" w:space="0" w:color="75A2D1" w:themeColor="accent1" w:themeTint="99"/>
        <w:left w:val="single" w:sz="4" w:space="0" w:color="75A2D1" w:themeColor="accent1" w:themeTint="99"/>
        <w:bottom w:val="single" w:sz="4" w:space="0" w:color="75A2D1" w:themeColor="accent1" w:themeTint="99"/>
        <w:right w:val="single" w:sz="4" w:space="0" w:color="75A2D1" w:themeColor="accent1" w:themeTint="99"/>
        <w:insideH w:val="single" w:sz="4" w:space="0" w:color="75A2D1" w:themeColor="accent1" w:themeTint="99"/>
      </w:tblBorders>
    </w:tblPr>
    <w:tblStylePr w:type="firstRow">
      <w:rPr>
        <w:b/>
        <w:bCs/>
        <w:color w:val="FFFFFF" w:themeColor="background1"/>
      </w:rPr>
      <w:tblPr/>
      <w:tcPr>
        <w:tcBorders>
          <w:top w:val="single" w:sz="4" w:space="0" w:color="336699" w:themeColor="accent1"/>
          <w:left w:val="single" w:sz="4" w:space="0" w:color="336699" w:themeColor="accent1"/>
          <w:bottom w:val="single" w:sz="4" w:space="0" w:color="336699" w:themeColor="accent1"/>
          <w:right w:val="single" w:sz="4" w:space="0" w:color="336699" w:themeColor="accent1"/>
          <w:insideH w:val="nil"/>
        </w:tcBorders>
        <w:shd w:val="clear" w:color="auto" w:fill="336699" w:themeFill="accent1"/>
      </w:tcPr>
    </w:tblStylePr>
    <w:tblStylePr w:type="lastRow">
      <w:rPr>
        <w:b/>
        <w:bCs/>
      </w:rPr>
      <w:tblPr/>
      <w:tcPr>
        <w:tcBorders>
          <w:top w:val="double" w:sz="4" w:space="0" w:color="75A2D1" w:themeColor="accent1" w:themeTint="99"/>
        </w:tcBorders>
      </w:tcPr>
    </w:tblStylePr>
    <w:tblStylePr w:type="firstCol">
      <w:rPr>
        <w:b/>
        <w:bCs/>
      </w:rPr>
    </w:tblStylePr>
    <w:tblStylePr w:type="lastCol">
      <w:rPr>
        <w:b/>
        <w:bCs/>
      </w:rPr>
    </w:tblStylePr>
    <w:tblStylePr w:type="band1Vert">
      <w:tblPr/>
      <w:tcPr>
        <w:shd w:val="clear" w:color="auto" w:fill="D1E0EF" w:themeFill="accent1" w:themeFillTint="33"/>
      </w:tcPr>
    </w:tblStylePr>
    <w:tblStylePr w:type="band1Horz">
      <w:tblPr/>
      <w:tcPr>
        <w:shd w:val="clear" w:color="auto" w:fill="D1E0EF" w:themeFill="accent1" w:themeFillTint="33"/>
      </w:tcPr>
    </w:tblStylePr>
  </w:style>
  <w:style w:type="table" w:customStyle="1" w:styleId="GridTable4-Accent41">
    <w:name w:val="Grid Table 4 - Accent 41"/>
    <w:basedOn w:val="TableNormal"/>
    <w:uiPriority w:val="49"/>
    <w:rsid w:val="00622417"/>
    <w:pPr>
      <w:spacing w:after="0" w:line="240" w:lineRule="auto"/>
    </w:pPr>
    <w:tblPr>
      <w:tblStyleRowBandSize w:val="1"/>
      <w:tblStyleColBandSize w:val="1"/>
      <w:tblBorders>
        <w:top w:val="single" w:sz="4" w:space="0" w:color="75A2D1" w:themeColor="accent4" w:themeTint="99"/>
        <w:left w:val="single" w:sz="4" w:space="0" w:color="75A2D1" w:themeColor="accent4" w:themeTint="99"/>
        <w:bottom w:val="single" w:sz="4" w:space="0" w:color="75A2D1" w:themeColor="accent4" w:themeTint="99"/>
        <w:right w:val="single" w:sz="4" w:space="0" w:color="75A2D1" w:themeColor="accent4" w:themeTint="99"/>
        <w:insideH w:val="single" w:sz="4" w:space="0" w:color="75A2D1" w:themeColor="accent4" w:themeTint="99"/>
        <w:insideV w:val="single" w:sz="4" w:space="0" w:color="75A2D1" w:themeColor="accent4" w:themeTint="99"/>
      </w:tblBorders>
    </w:tblPr>
    <w:tblStylePr w:type="firstRow">
      <w:rPr>
        <w:b/>
        <w:bCs/>
        <w:color w:val="FFFFFF" w:themeColor="background1"/>
      </w:rPr>
      <w:tblPr/>
      <w:tcPr>
        <w:tcBorders>
          <w:top w:val="single" w:sz="4" w:space="0" w:color="336699" w:themeColor="accent4"/>
          <w:left w:val="single" w:sz="4" w:space="0" w:color="336699" w:themeColor="accent4"/>
          <w:bottom w:val="single" w:sz="4" w:space="0" w:color="336699" w:themeColor="accent4"/>
          <w:right w:val="single" w:sz="4" w:space="0" w:color="336699" w:themeColor="accent4"/>
          <w:insideH w:val="nil"/>
          <w:insideV w:val="nil"/>
        </w:tcBorders>
        <w:shd w:val="clear" w:color="auto" w:fill="336699" w:themeFill="accent4"/>
      </w:tcPr>
    </w:tblStylePr>
    <w:tblStylePr w:type="lastRow">
      <w:rPr>
        <w:b/>
        <w:bCs/>
      </w:rPr>
      <w:tblPr/>
      <w:tcPr>
        <w:tcBorders>
          <w:top w:val="double" w:sz="4" w:space="0" w:color="336699" w:themeColor="accent4"/>
        </w:tcBorders>
      </w:tcPr>
    </w:tblStylePr>
    <w:tblStylePr w:type="firstCol">
      <w:rPr>
        <w:b/>
        <w:bCs/>
      </w:rPr>
    </w:tblStylePr>
    <w:tblStylePr w:type="lastCol">
      <w:rPr>
        <w:b/>
        <w:bCs/>
      </w:rPr>
    </w:tblStylePr>
    <w:tblStylePr w:type="band1Vert">
      <w:tblPr/>
      <w:tcPr>
        <w:shd w:val="clear" w:color="auto" w:fill="D1E0EF" w:themeFill="accent4" w:themeFillTint="33"/>
      </w:tcPr>
    </w:tblStylePr>
    <w:tblStylePr w:type="band1Horz">
      <w:tblPr/>
      <w:tcPr>
        <w:shd w:val="clear" w:color="auto" w:fill="D1E0EF" w:themeFill="accent4" w:themeFillTint="33"/>
      </w:tcPr>
    </w:tblStylePr>
  </w:style>
  <w:style w:type="paragraph" w:styleId="NormalWeb">
    <w:name w:val="Normal (Web)"/>
    <w:basedOn w:val="Normal"/>
    <w:uiPriority w:val="99"/>
    <w:semiHidden/>
    <w:unhideWhenUsed/>
    <w:rsid w:val="009E7F5A"/>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84664">
      <w:bodyDiv w:val="1"/>
      <w:marLeft w:val="0"/>
      <w:marRight w:val="0"/>
      <w:marTop w:val="0"/>
      <w:marBottom w:val="0"/>
      <w:divBdr>
        <w:top w:val="none" w:sz="0" w:space="0" w:color="auto"/>
        <w:left w:val="none" w:sz="0" w:space="0" w:color="auto"/>
        <w:bottom w:val="none" w:sz="0" w:space="0" w:color="auto"/>
        <w:right w:val="none" w:sz="0" w:space="0" w:color="auto"/>
      </w:divBdr>
      <w:divsChild>
        <w:div w:id="1434280470">
          <w:marLeft w:val="0"/>
          <w:marRight w:val="0"/>
          <w:marTop w:val="0"/>
          <w:marBottom w:val="0"/>
          <w:divBdr>
            <w:top w:val="none" w:sz="0" w:space="0" w:color="auto"/>
            <w:left w:val="none" w:sz="0" w:space="0" w:color="auto"/>
            <w:bottom w:val="none" w:sz="0" w:space="0" w:color="auto"/>
            <w:right w:val="none" w:sz="0" w:space="0" w:color="auto"/>
          </w:divBdr>
        </w:div>
      </w:divsChild>
    </w:div>
    <w:div w:id="195699407">
      <w:bodyDiv w:val="1"/>
      <w:marLeft w:val="0"/>
      <w:marRight w:val="0"/>
      <w:marTop w:val="0"/>
      <w:marBottom w:val="0"/>
      <w:divBdr>
        <w:top w:val="none" w:sz="0" w:space="0" w:color="auto"/>
        <w:left w:val="none" w:sz="0" w:space="0" w:color="auto"/>
        <w:bottom w:val="none" w:sz="0" w:space="0" w:color="auto"/>
        <w:right w:val="none" w:sz="0" w:space="0" w:color="auto"/>
      </w:divBdr>
    </w:div>
    <w:div w:id="321667172">
      <w:bodyDiv w:val="1"/>
      <w:marLeft w:val="0"/>
      <w:marRight w:val="0"/>
      <w:marTop w:val="0"/>
      <w:marBottom w:val="0"/>
      <w:divBdr>
        <w:top w:val="none" w:sz="0" w:space="0" w:color="auto"/>
        <w:left w:val="none" w:sz="0" w:space="0" w:color="auto"/>
        <w:bottom w:val="none" w:sz="0" w:space="0" w:color="auto"/>
        <w:right w:val="none" w:sz="0" w:space="0" w:color="auto"/>
      </w:divBdr>
      <w:divsChild>
        <w:div w:id="1581599906">
          <w:marLeft w:val="0"/>
          <w:marRight w:val="0"/>
          <w:marTop w:val="0"/>
          <w:marBottom w:val="0"/>
          <w:divBdr>
            <w:top w:val="none" w:sz="0" w:space="0" w:color="auto"/>
            <w:left w:val="none" w:sz="0" w:space="0" w:color="auto"/>
            <w:bottom w:val="none" w:sz="0" w:space="0" w:color="auto"/>
            <w:right w:val="none" w:sz="0" w:space="0" w:color="auto"/>
          </w:divBdr>
          <w:divsChild>
            <w:div w:id="188868519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441145313">
      <w:bodyDiv w:val="1"/>
      <w:marLeft w:val="0"/>
      <w:marRight w:val="0"/>
      <w:marTop w:val="0"/>
      <w:marBottom w:val="0"/>
      <w:divBdr>
        <w:top w:val="none" w:sz="0" w:space="0" w:color="auto"/>
        <w:left w:val="none" w:sz="0" w:space="0" w:color="auto"/>
        <w:bottom w:val="none" w:sz="0" w:space="0" w:color="auto"/>
        <w:right w:val="none" w:sz="0" w:space="0" w:color="auto"/>
      </w:divBdr>
    </w:div>
    <w:div w:id="570504517">
      <w:bodyDiv w:val="1"/>
      <w:marLeft w:val="0"/>
      <w:marRight w:val="0"/>
      <w:marTop w:val="0"/>
      <w:marBottom w:val="0"/>
      <w:divBdr>
        <w:top w:val="none" w:sz="0" w:space="0" w:color="auto"/>
        <w:left w:val="none" w:sz="0" w:space="0" w:color="auto"/>
        <w:bottom w:val="none" w:sz="0" w:space="0" w:color="auto"/>
        <w:right w:val="none" w:sz="0" w:space="0" w:color="auto"/>
      </w:divBdr>
      <w:divsChild>
        <w:div w:id="1946577198">
          <w:marLeft w:val="0"/>
          <w:marRight w:val="0"/>
          <w:marTop w:val="0"/>
          <w:marBottom w:val="0"/>
          <w:divBdr>
            <w:top w:val="none" w:sz="0" w:space="0" w:color="auto"/>
            <w:left w:val="none" w:sz="0" w:space="0" w:color="auto"/>
            <w:bottom w:val="none" w:sz="0" w:space="0" w:color="auto"/>
            <w:right w:val="none" w:sz="0" w:space="0" w:color="auto"/>
          </w:divBdr>
        </w:div>
      </w:divsChild>
    </w:div>
    <w:div w:id="920915391">
      <w:bodyDiv w:val="1"/>
      <w:marLeft w:val="0"/>
      <w:marRight w:val="0"/>
      <w:marTop w:val="0"/>
      <w:marBottom w:val="0"/>
      <w:divBdr>
        <w:top w:val="none" w:sz="0" w:space="0" w:color="auto"/>
        <w:left w:val="none" w:sz="0" w:space="0" w:color="auto"/>
        <w:bottom w:val="none" w:sz="0" w:space="0" w:color="auto"/>
        <w:right w:val="none" w:sz="0" w:space="0" w:color="auto"/>
      </w:divBdr>
    </w:div>
    <w:div w:id="941690642">
      <w:bodyDiv w:val="1"/>
      <w:marLeft w:val="0"/>
      <w:marRight w:val="0"/>
      <w:marTop w:val="0"/>
      <w:marBottom w:val="0"/>
      <w:divBdr>
        <w:top w:val="none" w:sz="0" w:space="0" w:color="auto"/>
        <w:left w:val="none" w:sz="0" w:space="0" w:color="auto"/>
        <w:bottom w:val="none" w:sz="0" w:space="0" w:color="auto"/>
        <w:right w:val="none" w:sz="0" w:space="0" w:color="auto"/>
      </w:divBdr>
    </w:div>
    <w:div w:id="947808590">
      <w:bodyDiv w:val="1"/>
      <w:marLeft w:val="0"/>
      <w:marRight w:val="0"/>
      <w:marTop w:val="0"/>
      <w:marBottom w:val="0"/>
      <w:divBdr>
        <w:top w:val="none" w:sz="0" w:space="0" w:color="auto"/>
        <w:left w:val="none" w:sz="0" w:space="0" w:color="auto"/>
        <w:bottom w:val="none" w:sz="0" w:space="0" w:color="auto"/>
        <w:right w:val="none" w:sz="0" w:space="0" w:color="auto"/>
      </w:divBdr>
    </w:div>
    <w:div w:id="959337774">
      <w:bodyDiv w:val="1"/>
      <w:marLeft w:val="0"/>
      <w:marRight w:val="0"/>
      <w:marTop w:val="0"/>
      <w:marBottom w:val="0"/>
      <w:divBdr>
        <w:top w:val="none" w:sz="0" w:space="0" w:color="auto"/>
        <w:left w:val="none" w:sz="0" w:space="0" w:color="auto"/>
        <w:bottom w:val="none" w:sz="0" w:space="0" w:color="auto"/>
        <w:right w:val="none" w:sz="0" w:space="0" w:color="auto"/>
      </w:divBdr>
      <w:divsChild>
        <w:div w:id="1028221474">
          <w:marLeft w:val="0"/>
          <w:marRight w:val="0"/>
          <w:marTop w:val="0"/>
          <w:marBottom w:val="0"/>
          <w:divBdr>
            <w:top w:val="none" w:sz="0" w:space="0" w:color="auto"/>
            <w:left w:val="none" w:sz="0" w:space="0" w:color="auto"/>
            <w:bottom w:val="none" w:sz="0" w:space="0" w:color="auto"/>
            <w:right w:val="none" w:sz="0" w:space="0" w:color="auto"/>
          </w:divBdr>
        </w:div>
      </w:divsChild>
    </w:div>
    <w:div w:id="1080951479">
      <w:bodyDiv w:val="1"/>
      <w:marLeft w:val="0"/>
      <w:marRight w:val="0"/>
      <w:marTop w:val="0"/>
      <w:marBottom w:val="0"/>
      <w:divBdr>
        <w:top w:val="none" w:sz="0" w:space="0" w:color="auto"/>
        <w:left w:val="none" w:sz="0" w:space="0" w:color="auto"/>
        <w:bottom w:val="none" w:sz="0" w:space="0" w:color="auto"/>
        <w:right w:val="none" w:sz="0" w:space="0" w:color="auto"/>
      </w:divBdr>
    </w:div>
    <w:div w:id="1100949285">
      <w:bodyDiv w:val="1"/>
      <w:marLeft w:val="0"/>
      <w:marRight w:val="0"/>
      <w:marTop w:val="0"/>
      <w:marBottom w:val="0"/>
      <w:divBdr>
        <w:top w:val="none" w:sz="0" w:space="0" w:color="auto"/>
        <w:left w:val="none" w:sz="0" w:space="0" w:color="auto"/>
        <w:bottom w:val="none" w:sz="0" w:space="0" w:color="auto"/>
        <w:right w:val="none" w:sz="0" w:space="0" w:color="auto"/>
      </w:divBdr>
    </w:div>
    <w:div w:id="1334213298">
      <w:bodyDiv w:val="1"/>
      <w:marLeft w:val="0"/>
      <w:marRight w:val="0"/>
      <w:marTop w:val="0"/>
      <w:marBottom w:val="0"/>
      <w:divBdr>
        <w:top w:val="none" w:sz="0" w:space="0" w:color="auto"/>
        <w:left w:val="none" w:sz="0" w:space="0" w:color="auto"/>
        <w:bottom w:val="none" w:sz="0" w:space="0" w:color="auto"/>
        <w:right w:val="none" w:sz="0" w:space="0" w:color="auto"/>
      </w:divBdr>
      <w:divsChild>
        <w:div w:id="823738111">
          <w:marLeft w:val="0"/>
          <w:marRight w:val="0"/>
          <w:marTop w:val="0"/>
          <w:marBottom w:val="0"/>
          <w:divBdr>
            <w:top w:val="none" w:sz="0" w:space="0" w:color="auto"/>
            <w:left w:val="none" w:sz="0" w:space="0" w:color="auto"/>
            <w:bottom w:val="none" w:sz="0" w:space="0" w:color="auto"/>
            <w:right w:val="none" w:sz="0" w:space="0" w:color="auto"/>
          </w:divBdr>
        </w:div>
      </w:divsChild>
    </w:div>
    <w:div w:id="1334724530">
      <w:bodyDiv w:val="1"/>
      <w:marLeft w:val="0"/>
      <w:marRight w:val="0"/>
      <w:marTop w:val="0"/>
      <w:marBottom w:val="0"/>
      <w:divBdr>
        <w:top w:val="none" w:sz="0" w:space="0" w:color="auto"/>
        <w:left w:val="none" w:sz="0" w:space="0" w:color="auto"/>
        <w:bottom w:val="none" w:sz="0" w:space="0" w:color="auto"/>
        <w:right w:val="none" w:sz="0" w:space="0" w:color="auto"/>
      </w:divBdr>
    </w:div>
    <w:div w:id="1358851555">
      <w:bodyDiv w:val="1"/>
      <w:marLeft w:val="0"/>
      <w:marRight w:val="0"/>
      <w:marTop w:val="0"/>
      <w:marBottom w:val="0"/>
      <w:divBdr>
        <w:top w:val="none" w:sz="0" w:space="0" w:color="auto"/>
        <w:left w:val="none" w:sz="0" w:space="0" w:color="auto"/>
        <w:bottom w:val="none" w:sz="0" w:space="0" w:color="auto"/>
        <w:right w:val="none" w:sz="0" w:space="0" w:color="auto"/>
      </w:divBdr>
    </w:div>
    <w:div w:id="1468551373">
      <w:bodyDiv w:val="1"/>
      <w:marLeft w:val="0"/>
      <w:marRight w:val="0"/>
      <w:marTop w:val="0"/>
      <w:marBottom w:val="0"/>
      <w:divBdr>
        <w:top w:val="none" w:sz="0" w:space="0" w:color="auto"/>
        <w:left w:val="none" w:sz="0" w:space="0" w:color="auto"/>
        <w:bottom w:val="none" w:sz="0" w:space="0" w:color="auto"/>
        <w:right w:val="none" w:sz="0" w:space="0" w:color="auto"/>
      </w:divBdr>
    </w:div>
    <w:div w:id="1525632996">
      <w:bodyDiv w:val="1"/>
      <w:marLeft w:val="0"/>
      <w:marRight w:val="0"/>
      <w:marTop w:val="0"/>
      <w:marBottom w:val="0"/>
      <w:divBdr>
        <w:top w:val="none" w:sz="0" w:space="0" w:color="auto"/>
        <w:left w:val="none" w:sz="0" w:space="0" w:color="auto"/>
        <w:bottom w:val="none" w:sz="0" w:space="0" w:color="auto"/>
        <w:right w:val="none" w:sz="0" w:space="0" w:color="auto"/>
      </w:divBdr>
    </w:div>
    <w:div w:id="1559124118">
      <w:bodyDiv w:val="1"/>
      <w:marLeft w:val="0"/>
      <w:marRight w:val="0"/>
      <w:marTop w:val="0"/>
      <w:marBottom w:val="0"/>
      <w:divBdr>
        <w:top w:val="none" w:sz="0" w:space="0" w:color="auto"/>
        <w:left w:val="none" w:sz="0" w:space="0" w:color="auto"/>
        <w:bottom w:val="none" w:sz="0" w:space="0" w:color="auto"/>
        <w:right w:val="none" w:sz="0" w:space="0" w:color="auto"/>
      </w:divBdr>
    </w:div>
    <w:div w:id="1629974005">
      <w:bodyDiv w:val="1"/>
      <w:marLeft w:val="0"/>
      <w:marRight w:val="0"/>
      <w:marTop w:val="0"/>
      <w:marBottom w:val="0"/>
      <w:divBdr>
        <w:top w:val="none" w:sz="0" w:space="0" w:color="auto"/>
        <w:left w:val="none" w:sz="0" w:space="0" w:color="auto"/>
        <w:bottom w:val="none" w:sz="0" w:space="0" w:color="auto"/>
        <w:right w:val="none" w:sz="0" w:space="0" w:color="auto"/>
      </w:divBdr>
      <w:divsChild>
        <w:div w:id="1364332047">
          <w:marLeft w:val="0"/>
          <w:marRight w:val="0"/>
          <w:marTop w:val="0"/>
          <w:marBottom w:val="0"/>
          <w:divBdr>
            <w:top w:val="none" w:sz="0" w:space="0" w:color="auto"/>
            <w:left w:val="none" w:sz="0" w:space="0" w:color="auto"/>
            <w:bottom w:val="none" w:sz="0" w:space="0" w:color="auto"/>
            <w:right w:val="none" w:sz="0" w:space="0" w:color="auto"/>
          </w:divBdr>
        </w:div>
      </w:divsChild>
    </w:div>
    <w:div w:id="1765107942">
      <w:bodyDiv w:val="1"/>
      <w:marLeft w:val="0"/>
      <w:marRight w:val="0"/>
      <w:marTop w:val="0"/>
      <w:marBottom w:val="0"/>
      <w:divBdr>
        <w:top w:val="none" w:sz="0" w:space="0" w:color="auto"/>
        <w:left w:val="none" w:sz="0" w:space="0" w:color="auto"/>
        <w:bottom w:val="none" w:sz="0" w:space="0" w:color="auto"/>
        <w:right w:val="none" w:sz="0" w:space="0" w:color="auto"/>
      </w:divBdr>
    </w:div>
    <w:div w:id="1923876084">
      <w:bodyDiv w:val="1"/>
      <w:marLeft w:val="0"/>
      <w:marRight w:val="0"/>
      <w:marTop w:val="0"/>
      <w:marBottom w:val="0"/>
      <w:divBdr>
        <w:top w:val="none" w:sz="0" w:space="0" w:color="auto"/>
        <w:left w:val="none" w:sz="0" w:space="0" w:color="auto"/>
        <w:bottom w:val="none" w:sz="0" w:space="0" w:color="auto"/>
        <w:right w:val="none" w:sz="0" w:space="0" w:color="auto"/>
      </w:divBdr>
    </w:div>
    <w:div w:id="210190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emf"/><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Custom 1">
      <a:dk1>
        <a:sysClr val="windowText" lastClr="000000"/>
      </a:dk1>
      <a:lt1>
        <a:sysClr val="window" lastClr="FFFFFF"/>
      </a:lt1>
      <a:dk2>
        <a:srgbClr val="595959"/>
      </a:dk2>
      <a:lt2>
        <a:srgbClr val="336699"/>
      </a:lt2>
      <a:accent1>
        <a:srgbClr val="336699"/>
      </a:accent1>
      <a:accent2>
        <a:srgbClr val="FFFFFF"/>
      </a:accent2>
      <a:accent3>
        <a:srgbClr val="336699"/>
      </a:accent3>
      <a:accent4>
        <a:srgbClr val="336699"/>
      </a:accent4>
      <a:accent5>
        <a:srgbClr val="7CCA62"/>
      </a:accent5>
      <a:accent6>
        <a:srgbClr val="A5C249"/>
      </a:accent6>
      <a:hlink>
        <a:srgbClr val="F49100"/>
      </a:hlink>
      <a:folHlink>
        <a:srgbClr val="85DFD0"/>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Take home messges here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7DFB07-B2D3-4E07-AE4F-2BBFDB289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3154</TotalTime>
  <Pages>101</Pages>
  <Words>19584</Words>
  <Characters>111634</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Court Service Provision Report, January 2017-December 2018</vt:lpstr>
    </vt:vector>
  </TitlesOfParts>
  <Company/>
  <LinksUpToDate>false</LinksUpToDate>
  <CharactersWithSpaces>130957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Service Provision Report, January 2017-December 2018</dc:title>
  <dc:subject>The Elizabeth Fry Society of Calgary</dc:subject>
  <dc:creator>Amanda Annette, June 2019</dc:creator>
  <cp:lastModifiedBy>Amanda Annette</cp:lastModifiedBy>
  <cp:revision>462</cp:revision>
  <dcterms:created xsi:type="dcterms:W3CDTF">2019-08-06T15:11:00Z</dcterms:created>
  <dcterms:modified xsi:type="dcterms:W3CDTF">2019-08-09T22:59:00Z</dcterms:modified>
</cp:coreProperties>
</file>