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FD53C" w14:textId="3739B883" w:rsidR="00DE6088" w:rsidRDefault="00DE6088" w:rsidP="270294E6">
      <w:pPr>
        <w:spacing w:before="0" w:after="0" w:line="240" w:lineRule="auto"/>
        <w:rPr>
          <w:rFonts w:asciiTheme="minorHAnsi" w:eastAsiaTheme="minorEastAsia" w:hAnsiTheme="minorHAnsi" w:cstheme="minorBidi"/>
          <w:sz w:val="44"/>
          <w:szCs w:val="44"/>
        </w:rPr>
      </w:pPr>
    </w:p>
    <w:p w14:paraId="09AAC1D8" w14:textId="5FF3382E" w:rsidR="2DC2CA89" w:rsidRDefault="2DC2CA89" w:rsidP="270294E6">
      <w:pPr>
        <w:spacing w:before="0" w:after="0" w:line="240" w:lineRule="auto"/>
        <w:rPr>
          <w:rFonts w:asciiTheme="minorHAnsi" w:eastAsiaTheme="minorEastAsia" w:hAnsiTheme="minorHAnsi" w:cstheme="minorBidi"/>
          <w:sz w:val="44"/>
          <w:szCs w:val="44"/>
        </w:rPr>
      </w:pPr>
    </w:p>
    <w:p w14:paraId="04C85D85" w14:textId="36E4B61A" w:rsidR="2DC2CA89" w:rsidRDefault="2DC2CA89" w:rsidP="270294E6">
      <w:pPr>
        <w:spacing w:before="0" w:after="0" w:line="240" w:lineRule="auto"/>
        <w:rPr>
          <w:rFonts w:asciiTheme="minorHAnsi" w:eastAsiaTheme="minorEastAsia" w:hAnsiTheme="minorHAnsi" w:cstheme="minorBidi"/>
          <w:sz w:val="44"/>
          <w:szCs w:val="44"/>
        </w:rPr>
      </w:pPr>
    </w:p>
    <w:p w14:paraId="24A78CE0" w14:textId="7D4177F0" w:rsidR="2DC2CA89" w:rsidRDefault="2DC2CA89" w:rsidP="270294E6">
      <w:pPr>
        <w:spacing w:before="0" w:after="0" w:line="240" w:lineRule="auto"/>
        <w:rPr>
          <w:rFonts w:asciiTheme="minorHAnsi" w:eastAsiaTheme="minorEastAsia" w:hAnsiTheme="minorHAnsi" w:cstheme="minorBidi"/>
          <w:sz w:val="44"/>
          <w:szCs w:val="44"/>
        </w:rPr>
      </w:pPr>
    </w:p>
    <w:p w14:paraId="0A7B2091" w14:textId="581CE5B5" w:rsidR="2DC2CA89" w:rsidRDefault="2DC2CA89" w:rsidP="270294E6">
      <w:pPr>
        <w:spacing w:before="0" w:after="0" w:line="240" w:lineRule="auto"/>
        <w:rPr>
          <w:rFonts w:asciiTheme="minorHAnsi" w:eastAsiaTheme="minorEastAsia" w:hAnsiTheme="minorHAnsi" w:cstheme="minorBidi"/>
          <w:sz w:val="44"/>
          <w:szCs w:val="44"/>
        </w:rPr>
      </w:pPr>
    </w:p>
    <w:p w14:paraId="3270A1BE" w14:textId="742C2DF8" w:rsidR="2DC2CA89" w:rsidRDefault="2DC2CA89" w:rsidP="008B5EFB">
      <w:pPr>
        <w:spacing w:before="0" w:after="0" w:line="240" w:lineRule="auto"/>
        <w:rPr>
          <w:rFonts w:ascii="Calibri" w:eastAsia="Calibri" w:hAnsi="Calibri" w:cs="Calibri"/>
          <w:b/>
          <w:bCs/>
          <w:color w:val="70AD47" w:themeColor="accent6"/>
          <w:sz w:val="72"/>
          <w:szCs w:val="72"/>
        </w:rPr>
      </w:pPr>
    </w:p>
    <w:p w14:paraId="654AB793" w14:textId="12DB0B53" w:rsidR="2DC2CA89" w:rsidRDefault="270294E6" w:rsidP="270294E6">
      <w:pPr>
        <w:spacing w:before="0" w:after="0" w:line="240" w:lineRule="auto"/>
        <w:jc w:val="center"/>
        <w:rPr>
          <w:rFonts w:ascii="Calibri" w:eastAsia="Calibri" w:hAnsi="Calibri" w:cs="Calibri"/>
          <w:b/>
          <w:bCs/>
          <w:color w:val="70AD47" w:themeColor="accent6"/>
          <w:sz w:val="80"/>
          <w:szCs w:val="80"/>
        </w:rPr>
      </w:pPr>
      <w:r w:rsidRPr="270294E6">
        <w:rPr>
          <w:rFonts w:ascii="Calibri" w:eastAsia="Calibri" w:hAnsi="Calibri" w:cs="Calibri"/>
          <w:b/>
          <w:bCs/>
          <w:color w:val="70AD47" w:themeColor="accent6"/>
          <w:sz w:val="80"/>
          <w:szCs w:val="80"/>
        </w:rPr>
        <w:t>Elizabeth Fry Program Statistics Snapshot</w:t>
      </w:r>
    </w:p>
    <w:p w14:paraId="1735D1FF" w14:textId="4638CFFC" w:rsidR="2DC2CA89" w:rsidRDefault="270294E6" w:rsidP="270294E6">
      <w:pPr>
        <w:spacing w:before="0" w:after="0" w:line="240" w:lineRule="auto"/>
        <w:jc w:val="center"/>
      </w:pPr>
      <w:r w:rsidRPr="270294E6">
        <w:rPr>
          <w:rFonts w:ascii="Calibri" w:eastAsia="Calibri" w:hAnsi="Calibri" w:cs="Calibri"/>
          <w:i/>
          <w:iCs/>
          <w:sz w:val="44"/>
          <w:szCs w:val="44"/>
        </w:rPr>
        <w:t>2017-2019</w:t>
      </w:r>
    </w:p>
    <w:p w14:paraId="6BA93116" w14:textId="4E78FEFD" w:rsidR="2DC2CA89" w:rsidRDefault="2DC2CA89" w:rsidP="270294E6">
      <w:pPr>
        <w:spacing w:before="0" w:after="0" w:line="240" w:lineRule="auto"/>
        <w:jc w:val="center"/>
        <w:rPr>
          <w:rFonts w:asciiTheme="minorHAnsi" w:eastAsiaTheme="minorEastAsia" w:hAnsiTheme="minorHAnsi" w:cstheme="minorBidi"/>
          <w:sz w:val="44"/>
          <w:szCs w:val="44"/>
        </w:rPr>
      </w:pPr>
    </w:p>
    <w:p w14:paraId="1407C929" w14:textId="64A516C8" w:rsidR="2DC2CA89" w:rsidRDefault="2DC2CA89" w:rsidP="270294E6">
      <w:pPr>
        <w:spacing w:before="0" w:after="0" w:line="240" w:lineRule="auto"/>
        <w:rPr>
          <w:rFonts w:asciiTheme="minorHAnsi" w:eastAsiaTheme="minorEastAsia" w:hAnsiTheme="minorHAnsi" w:cstheme="minorBidi"/>
          <w:sz w:val="44"/>
          <w:szCs w:val="44"/>
        </w:rPr>
      </w:pPr>
    </w:p>
    <w:p w14:paraId="5D5CE1F9" w14:textId="2C67EB8C" w:rsidR="2DC2CA89" w:rsidRDefault="005D1037" w:rsidP="270294E6">
      <w:pPr>
        <w:spacing w:before="0" w:after="0" w:line="240" w:lineRule="auto"/>
        <w:rPr>
          <w:rFonts w:asciiTheme="minorHAnsi" w:eastAsiaTheme="minorEastAsia" w:hAnsiTheme="minorHAnsi" w:cstheme="minorBidi"/>
          <w:sz w:val="44"/>
          <w:szCs w:val="44"/>
        </w:rPr>
      </w:pPr>
      <w:r>
        <w:rPr>
          <w:noProof/>
        </w:rPr>
        <w:drawing>
          <wp:anchor distT="0" distB="0" distL="114300" distR="114300" simplePos="0" relativeHeight="251659264" behindDoc="1" locked="0" layoutInCell="1" allowOverlap="1" wp14:anchorId="3A4DCC79" wp14:editId="77E98CE5">
            <wp:simplePos x="0" y="0"/>
            <wp:positionH relativeFrom="margin">
              <wp:posOffset>2343150</wp:posOffset>
            </wp:positionH>
            <wp:positionV relativeFrom="paragraph">
              <wp:posOffset>8890</wp:posOffset>
            </wp:positionV>
            <wp:extent cx="1371600" cy="1371600"/>
            <wp:effectExtent l="0" t="0" r="0" b="0"/>
            <wp:wrapThrough wrapText="bothSides">
              <wp:wrapPolygon edited="0">
                <wp:start x="0" y="0"/>
                <wp:lineTo x="0" y="21300"/>
                <wp:lineTo x="21300" y="21300"/>
                <wp:lineTo x="21300" y="0"/>
                <wp:lineTo x="0" y="0"/>
              </wp:wrapPolygon>
            </wp:wrapThrough>
            <wp:docPr id="3" name="Picture 3" descr="Image result for elizabeth fry calg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lizabeth fry calga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407D8A" w14:textId="5F64C8FF" w:rsidR="2DC2CA89" w:rsidRDefault="2DC2CA89" w:rsidP="270294E6">
      <w:pPr>
        <w:spacing w:before="0" w:after="0" w:line="240" w:lineRule="auto"/>
        <w:rPr>
          <w:rFonts w:asciiTheme="minorHAnsi" w:eastAsiaTheme="minorEastAsia" w:hAnsiTheme="minorHAnsi" w:cstheme="minorBidi"/>
          <w:sz w:val="44"/>
          <w:szCs w:val="44"/>
        </w:rPr>
      </w:pPr>
    </w:p>
    <w:p w14:paraId="11D3187D" w14:textId="06BFBA08" w:rsidR="2DC2CA89" w:rsidRDefault="2DC2CA89" w:rsidP="270294E6">
      <w:pPr>
        <w:spacing w:before="0" w:after="0" w:line="240" w:lineRule="auto"/>
        <w:rPr>
          <w:rFonts w:asciiTheme="minorHAnsi" w:eastAsiaTheme="minorEastAsia" w:hAnsiTheme="minorHAnsi" w:cstheme="minorBidi"/>
          <w:sz w:val="44"/>
          <w:szCs w:val="44"/>
        </w:rPr>
      </w:pPr>
    </w:p>
    <w:p w14:paraId="2EB8327F" w14:textId="4450082A" w:rsidR="2DC2CA89" w:rsidRDefault="2DC2CA89" w:rsidP="270294E6">
      <w:pPr>
        <w:spacing w:before="0" w:after="0" w:line="240" w:lineRule="auto"/>
        <w:rPr>
          <w:rFonts w:asciiTheme="minorHAnsi" w:eastAsiaTheme="minorEastAsia" w:hAnsiTheme="minorHAnsi" w:cstheme="minorBidi"/>
          <w:sz w:val="44"/>
          <w:szCs w:val="44"/>
        </w:rPr>
      </w:pPr>
    </w:p>
    <w:p w14:paraId="34C47C02" w14:textId="42B6A013" w:rsidR="2DC2CA89" w:rsidRDefault="2DC2CA89" w:rsidP="270294E6">
      <w:pPr>
        <w:spacing w:before="0" w:after="0" w:line="240" w:lineRule="auto"/>
        <w:rPr>
          <w:rFonts w:asciiTheme="minorHAnsi" w:eastAsiaTheme="minorEastAsia" w:hAnsiTheme="minorHAnsi" w:cstheme="minorBidi"/>
          <w:sz w:val="44"/>
          <w:szCs w:val="44"/>
        </w:rPr>
      </w:pPr>
    </w:p>
    <w:p w14:paraId="5DABE189" w14:textId="447FA1A4" w:rsidR="2DC2CA89" w:rsidRDefault="2DC2CA89" w:rsidP="270294E6">
      <w:pPr>
        <w:spacing w:before="0" w:after="0" w:line="240" w:lineRule="auto"/>
        <w:rPr>
          <w:rFonts w:asciiTheme="minorHAnsi" w:eastAsiaTheme="minorEastAsia" w:hAnsiTheme="minorHAnsi" w:cstheme="minorBidi"/>
          <w:sz w:val="44"/>
          <w:szCs w:val="44"/>
        </w:rPr>
      </w:pPr>
    </w:p>
    <w:p w14:paraId="73B72AEB" w14:textId="7EAE8391" w:rsidR="2DC2CA89" w:rsidRDefault="2DC2CA89" w:rsidP="270294E6">
      <w:pPr>
        <w:spacing w:before="0" w:after="0" w:line="240" w:lineRule="auto"/>
        <w:rPr>
          <w:rFonts w:asciiTheme="minorHAnsi" w:eastAsiaTheme="minorEastAsia" w:hAnsiTheme="minorHAnsi" w:cstheme="minorBidi"/>
          <w:sz w:val="44"/>
          <w:szCs w:val="44"/>
        </w:rPr>
      </w:pPr>
    </w:p>
    <w:p w14:paraId="48268A8B" w14:textId="77777777" w:rsidR="008B5EFB" w:rsidRDefault="008B5EFB" w:rsidP="006B7AFB">
      <w:pPr>
        <w:spacing w:before="0" w:after="0" w:line="240" w:lineRule="auto"/>
        <w:jc w:val="center"/>
        <w:rPr>
          <w:rFonts w:asciiTheme="minorHAnsi" w:eastAsiaTheme="minorEastAsia" w:hAnsiTheme="minorHAnsi" w:cstheme="minorBidi"/>
          <w:sz w:val="44"/>
          <w:szCs w:val="44"/>
        </w:rPr>
      </w:pPr>
    </w:p>
    <w:p w14:paraId="493E129E" w14:textId="7512311C" w:rsidR="006B7AFB" w:rsidRPr="006B7AFB" w:rsidRDefault="006B7AFB" w:rsidP="006B7AFB">
      <w:pPr>
        <w:spacing w:before="0" w:after="0" w:line="240" w:lineRule="auto"/>
        <w:jc w:val="center"/>
        <w:rPr>
          <w:rFonts w:ascii="Calibri" w:eastAsia="Calibri" w:hAnsi="Calibri" w:cs="Calibri"/>
          <w:i/>
          <w:iCs/>
          <w:color w:val="000000" w:themeColor="text1"/>
        </w:rPr>
      </w:pPr>
      <w:r w:rsidRPr="006B7AFB">
        <w:rPr>
          <w:rFonts w:ascii="Calibri" w:eastAsia="Calibri" w:hAnsi="Calibri" w:cs="Calibri"/>
          <w:i/>
          <w:iCs/>
          <w:color w:val="000000" w:themeColor="text1"/>
        </w:rPr>
        <w:t>The Elizabeth Fry Society of Calgary</w:t>
      </w:r>
    </w:p>
    <w:p w14:paraId="55F2ECA4" w14:textId="51560DCC" w:rsidR="006B7AFB" w:rsidRPr="006B7AFB" w:rsidRDefault="006B7AFB" w:rsidP="006B7AFB">
      <w:pPr>
        <w:spacing w:before="0" w:after="0" w:line="240" w:lineRule="auto"/>
        <w:jc w:val="center"/>
        <w:rPr>
          <w:rFonts w:ascii="Calibri" w:eastAsia="Calibri" w:hAnsi="Calibri" w:cs="Calibri"/>
          <w:i/>
          <w:iCs/>
          <w:color w:val="000000" w:themeColor="text1"/>
        </w:rPr>
      </w:pPr>
      <w:r w:rsidRPr="006B7AFB">
        <w:rPr>
          <w:rFonts w:ascii="Calibri" w:eastAsia="Calibri" w:hAnsi="Calibri" w:cs="Calibri"/>
          <w:i/>
          <w:iCs/>
          <w:color w:val="000000" w:themeColor="text1"/>
        </w:rPr>
        <w:t>1731 10 Ave SW, Calgary, AB</w:t>
      </w:r>
    </w:p>
    <w:p w14:paraId="6D5C191B" w14:textId="2C93C452" w:rsidR="006B7AFB" w:rsidRPr="006B7AFB" w:rsidRDefault="006B7AFB" w:rsidP="006B7AFB">
      <w:pPr>
        <w:spacing w:before="0" w:after="0" w:line="240" w:lineRule="auto"/>
        <w:jc w:val="center"/>
        <w:rPr>
          <w:rFonts w:ascii="Calibri" w:eastAsia="Calibri" w:hAnsi="Calibri" w:cs="Calibri"/>
          <w:i/>
          <w:iCs/>
          <w:color w:val="000000" w:themeColor="text1"/>
        </w:rPr>
      </w:pPr>
      <w:r w:rsidRPr="006B7AFB">
        <w:rPr>
          <w:rFonts w:ascii="Calibri" w:eastAsia="Calibri" w:hAnsi="Calibri" w:cs="Calibri"/>
          <w:i/>
          <w:iCs/>
          <w:color w:val="000000" w:themeColor="text1"/>
        </w:rPr>
        <w:t>T3C OK1</w:t>
      </w:r>
    </w:p>
    <w:p w14:paraId="36B06A1A" w14:textId="0875EFA3" w:rsidR="006B7AFB" w:rsidRPr="006B7AFB" w:rsidRDefault="006B7AFB" w:rsidP="006B7AFB">
      <w:pPr>
        <w:spacing w:before="0" w:after="0" w:line="240" w:lineRule="auto"/>
        <w:jc w:val="center"/>
        <w:rPr>
          <w:rFonts w:ascii="Calibri" w:eastAsia="Calibri" w:hAnsi="Calibri" w:cs="Calibri"/>
          <w:i/>
          <w:iCs/>
          <w:color w:val="000000" w:themeColor="text1"/>
        </w:rPr>
      </w:pPr>
      <w:r w:rsidRPr="006B7AFB">
        <w:rPr>
          <w:rFonts w:ascii="Calibri" w:eastAsia="Calibri" w:hAnsi="Calibri" w:cs="Calibri"/>
          <w:i/>
          <w:iCs/>
          <w:color w:val="000000" w:themeColor="text1"/>
        </w:rPr>
        <w:t>(403) 294 0737</w:t>
      </w:r>
    </w:p>
    <w:p w14:paraId="40E7AED4" w14:textId="68B4A674" w:rsidR="270294E6" w:rsidRPr="0095425E" w:rsidRDefault="270294E6" w:rsidP="270294E6">
      <w:pPr>
        <w:spacing w:before="0" w:after="0" w:line="240" w:lineRule="auto"/>
        <w:rPr>
          <w:rFonts w:ascii="Calibri" w:eastAsia="Calibri" w:hAnsi="Calibri" w:cs="Calibri"/>
          <w:color w:val="70AD47" w:themeColor="accent6"/>
          <w:sz w:val="44"/>
          <w:szCs w:val="44"/>
        </w:rPr>
      </w:pPr>
      <w:r w:rsidRPr="0095425E">
        <w:rPr>
          <w:rFonts w:ascii="Calibri" w:eastAsia="Calibri" w:hAnsi="Calibri" w:cs="Calibri"/>
          <w:color w:val="70AD47" w:themeColor="accent6"/>
          <w:sz w:val="44"/>
          <w:szCs w:val="44"/>
        </w:rPr>
        <w:lastRenderedPageBreak/>
        <w:t>Adult Legal Advocacy</w:t>
      </w:r>
    </w:p>
    <w:p w14:paraId="56492F08" w14:textId="05BA4995" w:rsidR="00870D7F" w:rsidRPr="0095425E" w:rsidRDefault="270294E6" w:rsidP="270294E6">
      <w:pPr>
        <w:spacing w:before="0" w:after="0" w:line="240" w:lineRule="auto"/>
        <w:rPr>
          <w:rFonts w:asciiTheme="minorHAnsi" w:eastAsiaTheme="minorEastAsia" w:hAnsiTheme="minorHAnsi" w:cstheme="minorBidi"/>
          <w:b/>
          <w:bCs/>
        </w:rPr>
      </w:pPr>
      <w:r w:rsidRPr="270294E6">
        <w:rPr>
          <w:rFonts w:asciiTheme="minorHAnsi" w:eastAsiaTheme="minorEastAsia" w:hAnsiTheme="minorHAnsi" w:cstheme="minorBidi"/>
          <w:b/>
          <w:bCs/>
        </w:rPr>
        <w:t>Q: What percentage of beneficiaries are eligible for Legal Aid or capable of hiring a Lawyer?</w:t>
      </w:r>
    </w:p>
    <w:p w14:paraId="7F92F1AA" w14:textId="2B217E99" w:rsidR="270294E6" w:rsidRDefault="270294E6" w:rsidP="270294E6">
      <w:pPr>
        <w:pStyle w:val="Title"/>
        <w:ind w:firstLine="720"/>
        <w:rPr>
          <w:rFonts w:asciiTheme="minorHAnsi" w:eastAsiaTheme="minorEastAsia" w:hAnsiTheme="minorHAnsi" w:cstheme="minorBidi"/>
          <w:smallCaps w:val="0"/>
          <w:color w:val="000000" w:themeColor="text1"/>
          <w:sz w:val="22"/>
          <w:szCs w:val="22"/>
        </w:rPr>
      </w:pPr>
    </w:p>
    <w:p w14:paraId="37F8CE8E" w14:textId="6EDE7BDF" w:rsidR="00126F19" w:rsidRPr="0095425E" w:rsidRDefault="270294E6" w:rsidP="00B03FAD">
      <w:pPr>
        <w:pStyle w:val="Title"/>
        <w:rPr>
          <w:rFonts w:asciiTheme="minorHAnsi" w:eastAsiaTheme="minorEastAsia" w:hAnsiTheme="minorHAnsi" w:cstheme="minorBidi"/>
          <w:smallCaps w:val="0"/>
          <w:color w:val="000000" w:themeColor="text1"/>
          <w:sz w:val="22"/>
          <w:szCs w:val="22"/>
        </w:rPr>
      </w:pPr>
      <w:r w:rsidRPr="0095425E">
        <w:rPr>
          <w:rFonts w:asciiTheme="minorHAnsi" w:eastAsiaTheme="minorEastAsia" w:hAnsiTheme="minorHAnsi" w:cstheme="minorBidi"/>
          <w:smallCaps w:val="0"/>
          <w:color w:val="000000" w:themeColor="text1"/>
          <w:sz w:val="22"/>
          <w:szCs w:val="22"/>
        </w:rPr>
        <w:t xml:space="preserve">As shown by the data below, the majority of our clients would not be able to afford a lawyer. At face value, they </w:t>
      </w:r>
      <w:r w:rsidR="00B03FAD">
        <w:rPr>
          <w:rFonts w:asciiTheme="minorHAnsi" w:eastAsiaTheme="minorEastAsia" w:hAnsiTheme="minorHAnsi" w:cstheme="minorBidi"/>
          <w:smallCaps w:val="0"/>
          <w:color w:val="000000" w:themeColor="text1"/>
          <w:sz w:val="22"/>
          <w:szCs w:val="22"/>
        </w:rPr>
        <w:t>appear to</w:t>
      </w:r>
      <w:r w:rsidRPr="0095425E">
        <w:rPr>
          <w:rFonts w:asciiTheme="minorHAnsi" w:eastAsiaTheme="minorEastAsia" w:hAnsiTheme="minorHAnsi" w:cstheme="minorBidi"/>
          <w:smallCaps w:val="0"/>
          <w:color w:val="000000" w:themeColor="text1"/>
          <w:sz w:val="22"/>
          <w:szCs w:val="22"/>
        </w:rPr>
        <w:t xml:space="preserve"> meet the low-income requirements set by Legal Aid. </w:t>
      </w:r>
      <w:r w:rsidR="00B03FAD">
        <w:rPr>
          <w:rFonts w:asciiTheme="minorHAnsi" w:eastAsiaTheme="minorEastAsia" w:hAnsiTheme="minorHAnsi" w:cstheme="minorBidi"/>
          <w:smallCaps w:val="0"/>
          <w:color w:val="000000" w:themeColor="text1"/>
          <w:sz w:val="22"/>
          <w:szCs w:val="22"/>
        </w:rPr>
        <w:t xml:space="preserve">However, </w:t>
      </w:r>
      <w:r w:rsidRPr="0095425E">
        <w:rPr>
          <w:rFonts w:asciiTheme="minorHAnsi" w:eastAsiaTheme="minorEastAsia" w:hAnsiTheme="minorHAnsi" w:cstheme="minorBidi"/>
          <w:smallCaps w:val="0"/>
          <w:color w:val="000000" w:themeColor="text1"/>
          <w:sz w:val="22"/>
          <w:szCs w:val="22"/>
        </w:rPr>
        <w:t xml:space="preserve">Legal Aid takes into account all of the assets in an individual’s household </w:t>
      </w:r>
      <w:r w:rsidR="00B03FAD">
        <w:rPr>
          <w:rFonts w:asciiTheme="minorHAnsi" w:eastAsiaTheme="minorEastAsia" w:hAnsiTheme="minorHAnsi" w:cstheme="minorBidi"/>
          <w:smallCaps w:val="0"/>
          <w:color w:val="000000" w:themeColor="text1"/>
          <w:sz w:val="22"/>
          <w:szCs w:val="22"/>
        </w:rPr>
        <w:t xml:space="preserve">to calculate household income. </w:t>
      </w:r>
      <w:r w:rsidRPr="0095425E">
        <w:rPr>
          <w:rFonts w:asciiTheme="minorHAnsi" w:eastAsiaTheme="minorEastAsia" w:hAnsiTheme="minorHAnsi" w:cstheme="minorBidi"/>
          <w:smallCaps w:val="0"/>
          <w:color w:val="000000" w:themeColor="text1"/>
          <w:sz w:val="22"/>
          <w:szCs w:val="22"/>
        </w:rPr>
        <w:t xml:space="preserve">Our Legal Advocates describe several instances where a stay at home mom seeking a divorce will not qualify for Legal Aid because her husband makes too much money, despite having no access to his finances.  </w:t>
      </w:r>
    </w:p>
    <w:p w14:paraId="5CBED95C" w14:textId="77777777" w:rsidR="000A5B09" w:rsidRPr="0095425E" w:rsidRDefault="000A5B09" w:rsidP="270294E6">
      <w:pPr>
        <w:spacing w:before="0" w:after="0" w:line="240" w:lineRule="auto"/>
        <w:rPr>
          <w:rFonts w:asciiTheme="minorHAnsi" w:eastAsiaTheme="minorEastAsia" w:hAnsiTheme="minorHAnsi" w:cstheme="minorBidi"/>
        </w:rPr>
      </w:pPr>
    </w:p>
    <w:tbl>
      <w:tblPr>
        <w:tblW w:w="9776" w:type="dxa"/>
        <w:jc w:val="center"/>
        <w:tblLayout w:type="fixed"/>
        <w:tblCellMar>
          <w:top w:w="15" w:type="dxa"/>
          <w:bottom w:w="15" w:type="dxa"/>
        </w:tblCellMar>
        <w:tblLook w:val="04A0" w:firstRow="1" w:lastRow="0" w:firstColumn="1" w:lastColumn="0" w:noHBand="0" w:noVBand="1"/>
      </w:tblPr>
      <w:tblGrid>
        <w:gridCol w:w="2165"/>
        <w:gridCol w:w="990"/>
        <w:gridCol w:w="2160"/>
        <w:gridCol w:w="1080"/>
        <w:gridCol w:w="2160"/>
        <w:gridCol w:w="1221"/>
      </w:tblGrid>
      <w:tr w:rsidR="00325975" w:rsidRPr="00325975" w14:paraId="1980E5AB" w14:textId="77777777" w:rsidTr="006D5266">
        <w:trPr>
          <w:trHeight w:val="355"/>
          <w:jc w:val="center"/>
        </w:trPr>
        <w:tc>
          <w:tcPr>
            <w:tcW w:w="3155" w:type="dxa"/>
            <w:gridSpan w:val="2"/>
            <w:tcBorders>
              <w:top w:val="single" w:sz="4" w:space="0" w:color="auto"/>
              <w:left w:val="single" w:sz="4" w:space="0" w:color="auto"/>
              <w:bottom w:val="single" w:sz="8" w:space="0" w:color="auto"/>
              <w:right w:val="single" w:sz="4" w:space="0" w:color="auto"/>
            </w:tcBorders>
            <w:shd w:val="clear" w:color="auto" w:fill="A8D08D" w:themeFill="accent6" w:themeFillTint="99"/>
            <w:vAlign w:val="center"/>
          </w:tcPr>
          <w:p w14:paraId="20A58753" w14:textId="77777777" w:rsidR="00325975"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Theme="minorHAnsi" w:eastAsiaTheme="minorEastAsia" w:hAnsiTheme="minorHAnsi" w:cstheme="minorBidi"/>
                <w:b/>
                <w:bCs/>
                <w:color w:val="auto"/>
                <w:lang w:val="en-CA"/>
              </w:rPr>
            </w:pPr>
            <w:r w:rsidRPr="006B7AFB">
              <w:rPr>
                <w:rFonts w:asciiTheme="minorHAnsi" w:eastAsiaTheme="minorEastAsia" w:hAnsiTheme="minorHAnsi" w:cstheme="minorBidi"/>
                <w:b/>
                <w:bCs/>
                <w:color w:val="auto"/>
                <w:lang w:val="en-CA"/>
              </w:rPr>
              <w:t>2019</w:t>
            </w:r>
          </w:p>
        </w:tc>
        <w:tc>
          <w:tcPr>
            <w:tcW w:w="3240" w:type="dxa"/>
            <w:gridSpan w:val="2"/>
            <w:tcBorders>
              <w:top w:val="single" w:sz="8" w:space="0" w:color="auto"/>
              <w:left w:val="single" w:sz="4" w:space="0" w:color="auto"/>
              <w:bottom w:val="single" w:sz="8" w:space="0" w:color="auto"/>
              <w:right w:val="single" w:sz="8" w:space="0" w:color="auto"/>
            </w:tcBorders>
            <w:shd w:val="clear" w:color="auto" w:fill="8EAADB" w:themeFill="accent1" w:themeFillTint="99"/>
          </w:tcPr>
          <w:p w14:paraId="09453A05" w14:textId="77777777" w:rsidR="00325975"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Theme="minorHAnsi" w:eastAsiaTheme="minorEastAsia" w:hAnsiTheme="minorHAnsi" w:cstheme="minorBidi"/>
                <w:b/>
                <w:bCs/>
                <w:color w:val="auto"/>
                <w:lang w:val="en-CA"/>
              </w:rPr>
            </w:pPr>
            <w:r w:rsidRPr="006B7AFB">
              <w:rPr>
                <w:rFonts w:asciiTheme="minorHAnsi" w:eastAsiaTheme="minorEastAsia" w:hAnsiTheme="minorHAnsi" w:cstheme="minorBidi"/>
                <w:b/>
                <w:bCs/>
                <w:color w:val="auto"/>
                <w:lang w:val="en-CA"/>
              </w:rPr>
              <w:t>2018</w:t>
            </w:r>
          </w:p>
        </w:tc>
        <w:tc>
          <w:tcPr>
            <w:tcW w:w="3381" w:type="dxa"/>
            <w:gridSpan w:val="2"/>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3FCF9481" w14:textId="77777777" w:rsidR="00325975"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Theme="minorHAnsi" w:eastAsiaTheme="minorEastAsia" w:hAnsiTheme="minorHAnsi" w:cstheme="minorBidi"/>
                <w:b/>
                <w:bCs/>
                <w:color w:val="auto"/>
                <w:lang w:val="en-CA"/>
              </w:rPr>
            </w:pPr>
            <w:r w:rsidRPr="006B7AFB">
              <w:rPr>
                <w:rFonts w:asciiTheme="minorHAnsi" w:eastAsiaTheme="minorEastAsia" w:hAnsiTheme="minorHAnsi" w:cstheme="minorBidi"/>
                <w:b/>
                <w:bCs/>
                <w:color w:val="auto"/>
                <w:lang w:val="en-CA"/>
              </w:rPr>
              <w:t>2017</w:t>
            </w:r>
          </w:p>
        </w:tc>
      </w:tr>
      <w:tr w:rsidR="00325975" w:rsidRPr="00325975" w14:paraId="5727659F" w14:textId="77777777" w:rsidTr="006D5266">
        <w:trPr>
          <w:trHeight w:val="355"/>
          <w:jc w:val="center"/>
        </w:trPr>
        <w:tc>
          <w:tcPr>
            <w:tcW w:w="2165" w:type="dxa"/>
            <w:tcBorders>
              <w:top w:val="single" w:sz="8" w:space="0" w:color="auto"/>
              <w:left w:val="single" w:sz="4" w:space="0" w:color="auto"/>
              <w:bottom w:val="single" w:sz="8" w:space="0" w:color="auto"/>
              <w:right w:val="single" w:sz="4" w:space="0" w:color="auto"/>
            </w:tcBorders>
            <w:shd w:val="clear" w:color="auto" w:fill="E2EFD9" w:themeFill="accent6" w:themeFillTint="33"/>
            <w:vAlign w:val="center"/>
            <w:hideMark/>
          </w:tcPr>
          <w:p w14:paraId="00F78B92" w14:textId="77777777" w:rsidR="00325975"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Theme="minorHAnsi" w:eastAsiaTheme="minorEastAsia" w:hAnsiTheme="minorHAnsi" w:cstheme="minorBidi"/>
                <w:b/>
                <w:bCs/>
                <w:color w:val="auto"/>
                <w:lang w:val="en-CA"/>
              </w:rPr>
            </w:pPr>
            <w:r w:rsidRPr="006B7AFB">
              <w:rPr>
                <w:rFonts w:asciiTheme="minorHAnsi" w:eastAsiaTheme="minorEastAsia" w:hAnsiTheme="minorHAnsi" w:cstheme="minorBidi"/>
                <w:b/>
                <w:bCs/>
                <w:color w:val="auto"/>
                <w:lang w:val="en-CA"/>
              </w:rPr>
              <w:t>Annual Income</w:t>
            </w:r>
          </w:p>
        </w:tc>
        <w:tc>
          <w:tcPr>
            <w:tcW w:w="990" w:type="dxa"/>
            <w:tcBorders>
              <w:top w:val="single" w:sz="8" w:space="0" w:color="auto"/>
              <w:left w:val="single" w:sz="4" w:space="0" w:color="auto"/>
              <w:bottom w:val="single" w:sz="8" w:space="0" w:color="auto"/>
              <w:right w:val="single" w:sz="4" w:space="0" w:color="auto"/>
            </w:tcBorders>
            <w:shd w:val="clear" w:color="auto" w:fill="E2EFD9" w:themeFill="accent6" w:themeFillTint="33"/>
            <w:noWrap/>
            <w:vAlign w:val="center"/>
            <w:hideMark/>
          </w:tcPr>
          <w:p w14:paraId="33B2073A" w14:textId="77777777" w:rsidR="00325975"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Theme="minorHAnsi" w:eastAsiaTheme="minorEastAsia" w:hAnsiTheme="minorHAnsi" w:cstheme="minorBidi"/>
                <w:b/>
                <w:bCs/>
                <w:color w:val="auto"/>
                <w:lang w:val="en-CA"/>
              </w:rPr>
            </w:pPr>
            <w:r w:rsidRPr="006B7AFB">
              <w:rPr>
                <w:rFonts w:asciiTheme="minorHAnsi" w:eastAsiaTheme="minorEastAsia" w:hAnsiTheme="minorHAnsi" w:cstheme="minorBidi"/>
                <w:b/>
                <w:bCs/>
                <w:color w:val="auto"/>
                <w:lang w:val="en-CA"/>
              </w:rPr>
              <w:t>% of Clients</w:t>
            </w:r>
          </w:p>
        </w:tc>
        <w:tc>
          <w:tcPr>
            <w:tcW w:w="2160" w:type="dxa"/>
            <w:tcBorders>
              <w:top w:val="single" w:sz="8" w:space="0" w:color="auto"/>
              <w:left w:val="single" w:sz="4" w:space="0" w:color="auto"/>
              <w:bottom w:val="single" w:sz="8" w:space="0" w:color="auto"/>
              <w:right w:val="single" w:sz="4" w:space="0" w:color="auto"/>
            </w:tcBorders>
            <w:shd w:val="clear" w:color="auto" w:fill="DEEAF6" w:themeFill="accent5" w:themeFillTint="33"/>
            <w:vAlign w:val="center"/>
          </w:tcPr>
          <w:p w14:paraId="4FCC15D6" w14:textId="77777777" w:rsidR="00325975"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Theme="minorHAnsi" w:eastAsiaTheme="minorEastAsia" w:hAnsiTheme="minorHAnsi" w:cstheme="minorBidi"/>
                <w:b/>
                <w:bCs/>
                <w:color w:val="auto"/>
                <w:lang w:val="en-CA"/>
              </w:rPr>
            </w:pPr>
            <w:r w:rsidRPr="006B7AFB">
              <w:rPr>
                <w:rFonts w:asciiTheme="minorHAnsi" w:eastAsiaTheme="minorEastAsia" w:hAnsiTheme="minorHAnsi" w:cstheme="minorBidi"/>
                <w:b/>
                <w:bCs/>
                <w:color w:val="auto"/>
                <w:lang w:val="en-CA"/>
              </w:rPr>
              <w:t>Annual Income</w:t>
            </w:r>
          </w:p>
        </w:tc>
        <w:tc>
          <w:tcPr>
            <w:tcW w:w="1080" w:type="dxa"/>
            <w:tcBorders>
              <w:top w:val="single" w:sz="8" w:space="0" w:color="auto"/>
              <w:left w:val="single" w:sz="4" w:space="0" w:color="auto"/>
              <w:bottom w:val="single" w:sz="8" w:space="0" w:color="auto"/>
              <w:right w:val="single" w:sz="8" w:space="0" w:color="auto"/>
            </w:tcBorders>
            <w:shd w:val="clear" w:color="auto" w:fill="DEEAF6" w:themeFill="accent5" w:themeFillTint="33"/>
            <w:vAlign w:val="center"/>
          </w:tcPr>
          <w:p w14:paraId="636E88F2" w14:textId="77777777" w:rsidR="00325975"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Theme="minorHAnsi" w:eastAsiaTheme="minorEastAsia" w:hAnsiTheme="minorHAnsi" w:cstheme="minorBidi"/>
                <w:b/>
                <w:bCs/>
                <w:color w:val="auto"/>
                <w:lang w:val="en-CA"/>
              </w:rPr>
            </w:pPr>
            <w:r w:rsidRPr="006B7AFB">
              <w:rPr>
                <w:rFonts w:asciiTheme="minorHAnsi" w:eastAsiaTheme="minorEastAsia" w:hAnsiTheme="minorHAnsi" w:cstheme="minorBidi"/>
                <w:b/>
                <w:bCs/>
                <w:color w:val="auto"/>
                <w:lang w:val="en-CA"/>
              </w:rPr>
              <w:t>% of Clients</w:t>
            </w:r>
          </w:p>
        </w:tc>
        <w:tc>
          <w:tcPr>
            <w:tcW w:w="2160" w:type="dxa"/>
            <w:tcBorders>
              <w:top w:val="single" w:sz="8" w:space="0" w:color="auto"/>
              <w:left w:val="single" w:sz="8" w:space="0" w:color="auto"/>
              <w:bottom w:val="single" w:sz="8" w:space="0" w:color="auto"/>
              <w:right w:val="single" w:sz="4" w:space="0" w:color="auto"/>
            </w:tcBorders>
            <w:shd w:val="clear" w:color="auto" w:fill="FFF2CC" w:themeFill="accent4" w:themeFillTint="33"/>
            <w:vAlign w:val="center"/>
          </w:tcPr>
          <w:p w14:paraId="2288981D" w14:textId="77777777" w:rsidR="00325975"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Theme="minorHAnsi" w:eastAsiaTheme="minorEastAsia" w:hAnsiTheme="minorHAnsi" w:cstheme="minorBidi"/>
                <w:b/>
                <w:bCs/>
                <w:color w:val="auto"/>
                <w:lang w:val="en-CA"/>
              </w:rPr>
            </w:pPr>
            <w:r w:rsidRPr="006B7AFB">
              <w:rPr>
                <w:rFonts w:asciiTheme="minorHAnsi" w:eastAsiaTheme="minorEastAsia" w:hAnsiTheme="minorHAnsi" w:cstheme="minorBidi"/>
                <w:b/>
                <w:bCs/>
                <w:color w:val="auto"/>
                <w:lang w:val="en-CA"/>
              </w:rPr>
              <w:t>Annual Income</w:t>
            </w:r>
          </w:p>
        </w:tc>
        <w:tc>
          <w:tcPr>
            <w:tcW w:w="1221" w:type="dxa"/>
            <w:tcBorders>
              <w:top w:val="single" w:sz="8" w:space="0" w:color="auto"/>
              <w:left w:val="single" w:sz="4" w:space="0" w:color="auto"/>
              <w:bottom w:val="single" w:sz="4" w:space="0" w:color="auto"/>
              <w:right w:val="single" w:sz="8" w:space="0" w:color="auto"/>
            </w:tcBorders>
            <w:shd w:val="clear" w:color="auto" w:fill="FFF2CC" w:themeFill="accent4" w:themeFillTint="33"/>
            <w:vAlign w:val="center"/>
          </w:tcPr>
          <w:p w14:paraId="6D404F19" w14:textId="77777777" w:rsidR="00325975"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Theme="minorHAnsi" w:eastAsiaTheme="minorEastAsia" w:hAnsiTheme="minorHAnsi" w:cstheme="minorBidi"/>
                <w:b/>
                <w:bCs/>
                <w:color w:val="auto"/>
                <w:lang w:val="en-CA"/>
              </w:rPr>
            </w:pPr>
            <w:r w:rsidRPr="006B7AFB">
              <w:rPr>
                <w:rFonts w:asciiTheme="minorHAnsi" w:eastAsiaTheme="minorEastAsia" w:hAnsiTheme="minorHAnsi" w:cstheme="minorBidi"/>
                <w:b/>
                <w:bCs/>
                <w:color w:val="auto"/>
                <w:lang w:val="en-CA"/>
              </w:rPr>
              <w:t>% of Clients</w:t>
            </w:r>
          </w:p>
        </w:tc>
      </w:tr>
      <w:tr w:rsidR="00325975" w:rsidRPr="00325975" w14:paraId="6AC16CD9" w14:textId="77777777" w:rsidTr="006D5266">
        <w:trPr>
          <w:trHeight w:val="273"/>
          <w:jc w:val="center"/>
        </w:trPr>
        <w:tc>
          <w:tcPr>
            <w:tcW w:w="21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D726233" w14:textId="77777777" w:rsidR="00325975"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Theme="minorHAnsi" w:eastAsiaTheme="minorEastAsia" w:hAnsiTheme="minorHAnsi" w:cstheme="minorBidi"/>
                <w:color w:val="auto"/>
                <w:lang w:val="en-CA"/>
              </w:rPr>
            </w:pPr>
            <w:r w:rsidRPr="006B7AFB">
              <w:rPr>
                <w:rFonts w:asciiTheme="minorHAnsi" w:eastAsiaTheme="minorEastAsia" w:hAnsiTheme="minorHAnsi" w:cstheme="minorBidi"/>
                <w:color w:val="auto"/>
                <w:lang w:val="en-CA"/>
              </w:rPr>
              <w:t>Less than 15,000</w:t>
            </w:r>
          </w:p>
        </w:tc>
        <w:tc>
          <w:tcPr>
            <w:tcW w:w="990" w:type="dxa"/>
            <w:tcBorders>
              <w:top w:val="nil"/>
              <w:left w:val="single" w:sz="4" w:space="0" w:color="auto"/>
              <w:bottom w:val="single" w:sz="4" w:space="0" w:color="auto"/>
              <w:right w:val="single" w:sz="4" w:space="0" w:color="auto"/>
            </w:tcBorders>
            <w:shd w:val="clear" w:color="auto" w:fill="FFFFFF" w:themeFill="background1"/>
            <w:noWrap/>
            <w:vAlign w:val="center"/>
          </w:tcPr>
          <w:p w14:paraId="482E0569" w14:textId="77777777" w:rsidR="00325975"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Theme="minorHAnsi" w:eastAsiaTheme="minorEastAsia" w:hAnsiTheme="minorHAnsi" w:cstheme="minorBidi"/>
                <w:color w:val="auto"/>
                <w:lang w:val="en-CA"/>
              </w:rPr>
            </w:pPr>
            <w:r w:rsidRPr="006B7AFB">
              <w:rPr>
                <w:rFonts w:asciiTheme="minorHAnsi" w:eastAsiaTheme="minorEastAsia" w:hAnsiTheme="minorHAnsi" w:cstheme="minorBidi"/>
                <w:color w:val="auto"/>
                <w:lang w:val="en-CA"/>
              </w:rPr>
              <w:t>78%</w:t>
            </w:r>
          </w:p>
        </w:tc>
        <w:tc>
          <w:tcPr>
            <w:tcW w:w="2160" w:type="dxa"/>
            <w:tcBorders>
              <w:top w:val="nil"/>
              <w:left w:val="single" w:sz="4" w:space="0" w:color="auto"/>
              <w:bottom w:val="single" w:sz="4" w:space="0" w:color="auto"/>
              <w:right w:val="single" w:sz="4" w:space="0" w:color="auto"/>
            </w:tcBorders>
            <w:shd w:val="clear" w:color="auto" w:fill="FFFFFF" w:themeFill="background1"/>
          </w:tcPr>
          <w:p w14:paraId="2892608B" w14:textId="77777777" w:rsidR="00325975"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Theme="minorHAnsi" w:eastAsiaTheme="minorEastAsia" w:hAnsiTheme="minorHAnsi" w:cstheme="minorBidi"/>
                <w:color w:val="auto"/>
                <w:lang w:val="en-CA"/>
              </w:rPr>
            </w:pPr>
            <w:r w:rsidRPr="006B7AFB">
              <w:rPr>
                <w:rFonts w:asciiTheme="minorHAnsi" w:eastAsiaTheme="minorEastAsia" w:hAnsiTheme="minorHAnsi" w:cstheme="minorBidi"/>
                <w:color w:val="auto"/>
                <w:lang w:val="en-CA"/>
              </w:rPr>
              <w:t>Less than 15,000</w:t>
            </w:r>
          </w:p>
        </w:tc>
        <w:tc>
          <w:tcPr>
            <w:tcW w:w="1080" w:type="dxa"/>
            <w:tcBorders>
              <w:top w:val="nil"/>
              <w:left w:val="single" w:sz="4" w:space="0" w:color="auto"/>
              <w:bottom w:val="single" w:sz="4" w:space="0" w:color="auto"/>
              <w:right w:val="single" w:sz="8" w:space="0" w:color="auto"/>
            </w:tcBorders>
            <w:shd w:val="clear" w:color="auto" w:fill="FFFFFF" w:themeFill="background1"/>
            <w:vAlign w:val="center"/>
          </w:tcPr>
          <w:p w14:paraId="128E6E58" w14:textId="77777777" w:rsidR="00325975"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Theme="minorHAnsi" w:eastAsiaTheme="minorEastAsia" w:hAnsiTheme="minorHAnsi" w:cstheme="minorBidi"/>
                <w:color w:val="auto"/>
                <w:lang w:val="en-CA"/>
              </w:rPr>
            </w:pPr>
            <w:r w:rsidRPr="006B7AFB">
              <w:rPr>
                <w:rFonts w:asciiTheme="minorHAnsi" w:eastAsiaTheme="minorEastAsia" w:hAnsiTheme="minorHAnsi" w:cstheme="minorBidi"/>
                <w:color w:val="auto"/>
                <w:lang w:val="en-CA"/>
              </w:rPr>
              <w:t>85%</w:t>
            </w:r>
          </w:p>
        </w:tc>
        <w:tc>
          <w:tcPr>
            <w:tcW w:w="2160" w:type="dxa"/>
            <w:tcBorders>
              <w:top w:val="nil"/>
              <w:left w:val="single" w:sz="8" w:space="0" w:color="auto"/>
              <w:bottom w:val="single" w:sz="4" w:space="0" w:color="auto"/>
              <w:right w:val="single" w:sz="4" w:space="0" w:color="auto"/>
            </w:tcBorders>
            <w:shd w:val="clear" w:color="auto" w:fill="FFFFFF" w:themeFill="background1"/>
          </w:tcPr>
          <w:p w14:paraId="7D2BE222" w14:textId="77777777" w:rsidR="00325975"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Theme="minorHAnsi" w:eastAsiaTheme="minorEastAsia" w:hAnsiTheme="minorHAnsi" w:cstheme="minorBidi"/>
                <w:color w:val="auto"/>
                <w:lang w:val="en-CA"/>
              </w:rPr>
            </w:pPr>
            <w:r w:rsidRPr="006B7AFB">
              <w:rPr>
                <w:rFonts w:asciiTheme="minorHAnsi" w:eastAsiaTheme="minorEastAsia" w:hAnsiTheme="minorHAnsi" w:cstheme="minorBidi"/>
                <w:color w:val="auto"/>
                <w:lang w:val="en-CA"/>
              </w:rPr>
              <w:t>Less than 15,000</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F2D16" w14:textId="39316446" w:rsidR="00325975"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Theme="minorHAnsi" w:eastAsiaTheme="minorEastAsia" w:hAnsiTheme="minorHAnsi" w:cstheme="minorBidi"/>
                <w:color w:val="auto"/>
                <w:lang w:val="en-CA"/>
              </w:rPr>
            </w:pPr>
            <w:r w:rsidRPr="006B7AFB">
              <w:rPr>
                <w:rFonts w:asciiTheme="minorHAnsi" w:eastAsiaTheme="minorEastAsia" w:hAnsiTheme="minorHAnsi" w:cstheme="minorBidi"/>
                <w:color w:val="auto"/>
                <w:lang w:val="en-CA"/>
              </w:rPr>
              <w:t>Not enough data on income in this year</w:t>
            </w:r>
            <w:r w:rsidR="006D5266">
              <w:rPr>
                <w:rFonts w:asciiTheme="minorHAnsi" w:eastAsiaTheme="minorEastAsia" w:hAnsiTheme="minorHAnsi" w:cstheme="minorBidi"/>
                <w:color w:val="auto"/>
                <w:lang w:val="en-CA"/>
              </w:rPr>
              <w:t xml:space="preserve"> based on implementation of the data category in November 2017.</w:t>
            </w:r>
          </w:p>
        </w:tc>
      </w:tr>
      <w:tr w:rsidR="00325975" w:rsidRPr="00325975" w14:paraId="7AC13255" w14:textId="77777777" w:rsidTr="006D5266">
        <w:trPr>
          <w:trHeight w:val="273"/>
          <w:jc w:val="center"/>
        </w:trPr>
        <w:tc>
          <w:tcPr>
            <w:tcW w:w="21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79A217" w14:textId="77777777" w:rsidR="00325975"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Theme="minorHAnsi" w:eastAsiaTheme="minorEastAsia" w:hAnsiTheme="minorHAnsi" w:cstheme="minorBidi"/>
                <w:color w:val="auto"/>
                <w:lang w:val="en-CA"/>
              </w:rPr>
            </w:pPr>
            <w:r w:rsidRPr="006B7AFB">
              <w:rPr>
                <w:rFonts w:asciiTheme="minorHAnsi" w:eastAsiaTheme="minorEastAsia" w:hAnsiTheme="minorHAnsi" w:cstheme="minorBidi"/>
                <w:color w:val="auto"/>
                <w:lang w:val="en-CA"/>
              </w:rPr>
              <w:t>15,000 – 24,999</w:t>
            </w:r>
          </w:p>
        </w:tc>
        <w:tc>
          <w:tcPr>
            <w:tcW w:w="990" w:type="dxa"/>
            <w:tcBorders>
              <w:top w:val="nil"/>
              <w:left w:val="single" w:sz="4" w:space="0" w:color="auto"/>
              <w:bottom w:val="single" w:sz="4" w:space="0" w:color="auto"/>
              <w:right w:val="single" w:sz="4" w:space="0" w:color="auto"/>
            </w:tcBorders>
            <w:shd w:val="clear" w:color="auto" w:fill="FFFFFF" w:themeFill="background1"/>
            <w:noWrap/>
            <w:vAlign w:val="center"/>
          </w:tcPr>
          <w:p w14:paraId="6A4C1D5A" w14:textId="77777777" w:rsidR="00325975"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Theme="minorHAnsi" w:eastAsiaTheme="minorEastAsia" w:hAnsiTheme="minorHAnsi" w:cstheme="minorBidi"/>
                <w:color w:val="auto"/>
                <w:lang w:val="en-CA"/>
              </w:rPr>
            </w:pPr>
            <w:r w:rsidRPr="006B7AFB">
              <w:rPr>
                <w:rFonts w:asciiTheme="minorHAnsi" w:eastAsiaTheme="minorEastAsia" w:hAnsiTheme="minorHAnsi" w:cstheme="minorBidi"/>
                <w:color w:val="auto"/>
                <w:lang w:val="en-CA"/>
              </w:rPr>
              <w:t>13%</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14:paraId="050EED1A" w14:textId="77777777" w:rsidR="00325975"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Theme="minorHAnsi" w:eastAsiaTheme="minorEastAsia" w:hAnsiTheme="minorHAnsi" w:cstheme="minorBidi"/>
                <w:color w:val="auto"/>
                <w:lang w:val="en-CA"/>
              </w:rPr>
            </w:pPr>
            <w:r w:rsidRPr="006B7AFB">
              <w:rPr>
                <w:rFonts w:asciiTheme="minorHAnsi" w:eastAsiaTheme="minorEastAsia" w:hAnsiTheme="minorHAnsi" w:cstheme="minorBidi"/>
                <w:color w:val="auto"/>
                <w:lang w:val="en-CA"/>
              </w:rPr>
              <w:t>15,000 – 24,999</w:t>
            </w:r>
          </w:p>
        </w:tc>
        <w:tc>
          <w:tcPr>
            <w:tcW w:w="1080" w:type="dxa"/>
            <w:tcBorders>
              <w:top w:val="nil"/>
              <w:left w:val="single" w:sz="4" w:space="0" w:color="auto"/>
              <w:bottom w:val="single" w:sz="4" w:space="0" w:color="auto"/>
              <w:right w:val="single" w:sz="8" w:space="0" w:color="auto"/>
            </w:tcBorders>
            <w:shd w:val="clear" w:color="auto" w:fill="FFFFFF" w:themeFill="background1"/>
            <w:vAlign w:val="center"/>
          </w:tcPr>
          <w:p w14:paraId="28AAA509" w14:textId="77777777" w:rsidR="00325975"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Theme="minorHAnsi" w:eastAsiaTheme="minorEastAsia" w:hAnsiTheme="minorHAnsi" w:cstheme="minorBidi"/>
                <w:color w:val="auto"/>
                <w:lang w:val="en-CA"/>
              </w:rPr>
            </w:pPr>
            <w:r w:rsidRPr="006B7AFB">
              <w:rPr>
                <w:rFonts w:asciiTheme="minorHAnsi" w:eastAsiaTheme="minorEastAsia" w:hAnsiTheme="minorHAnsi" w:cstheme="minorBidi"/>
                <w:color w:val="auto"/>
                <w:lang w:val="en-CA"/>
              </w:rPr>
              <w:t>7%</w:t>
            </w:r>
          </w:p>
        </w:tc>
        <w:tc>
          <w:tcPr>
            <w:tcW w:w="2160" w:type="dxa"/>
            <w:tcBorders>
              <w:top w:val="single" w:sz="4" w:space="0" w:color="auto"/>
              <w:left w:val="single" w:sz="8" w:space="0" w:color="auto"/>
              <w:bottom w:val="single" w:sz="4" w:space="0" w:color="auto"/>
              <w:right w:val="single" w:sz="4" w:space="0" w:color="auto"/>
            </w:tcBorders>
            <w:shd w:val="clear" w:color="auto" w:fill="FFFFFF" w:themeFill="background1"/>
          </w:tcPr>
          <w:p w14:paraId="358A12A7" w14:textId="77777777" w:rsidR="00325975"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Theme="minorHAnsi" w:eastAsiaTheme="minorEastAsia" w:hAnsiTheme="minorHAnsi" w:cstheme="minorBidi"/>
                <w:color w:val="auto"/>
                <w:lang w:val="en-CA"/>
              </w:rPr>
            </w:pPr>
            <w:r w:rsidRPr="006B7AFB">
              <w:rPr>
                <w:rFonts w:asciiTheme="minorHAnsi" w:eastAsiaTheme="minorEastAsia" w:hAnsiTheme="minorHAnsi" w:cstheme="minorBidi"/>
                <w:color w:val="auto"/>
                <w:lang w:val="en-CA"/>
              </w:rPr>
              <w:t>15,000 – 24,999</w:t>
            </w:r>
          </w:p>
        </w:tc>
        <w:tc>
          <w:tcPr>
            <w:tcW w:w="1221" w:type="dxa"/>
            <w:vMerge/>
            <w:tcBorders>
              <w:bottom w:val="single" w:sz="4" w:space="0" w:color="auto"/>
              <w:right w:val="single" w:sz="4" w:space="0" w:color="auto"/>
            </w:tcBorders>
            <w:vAlign w:val="center"/>
          </w:tcPr>
          <w:p w14:paraId="0CFA55FB" w14:textId="77777777" w:rsidR="00325975" w:rsidRPr="00325975" w:rsidRDefault="00325975" w:rsidP="00325975">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eastAsia="Times New Roman" w:cs="Calibri"/>
                <w:color w:val="auto"/>
                <w:sz w:val="24"/>
                <w:szCs w:val="24"/>
                <w:lang w:val="en-CA"/>
              </w:rPr>
            </w:pPr>
          </w:p>
        </w:tc>
      </w:tr>
      <w:tr w:rsidR="00325975" w:rsidRPr="00325975" w14:paraId="5B8FBE7B" w14:textId="77777777" w:rsidTr="006D5266">
        <w:trPr>
          <w:trHeight w:val="273"/>
          <w:jc w:val="center"/>
        </w:trPr>
        <w:tc>
          <w:tcPr>
            <w:tcW w:w="21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B4D0E7" w14:textId="77777777" w:rsidR="00325975"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Theme="minorHAnsi" w:eastAsiaTheme="minorEastAsia" w:hAnsiTheme="minorHAnsi" w:cstheme="minorBidi"/>
                <w:color w:val="auto"/>
                <w:lang w:val="en-CA"/>
              </w:rPr>
            </w:pPr>
            <w:r w:rsidRPr="006B7AFB">
              <w:rPr>
                <w:rFonts w:asciiTheme="minorHAnsi" w:eastAsiaTheme="minorEastAsia" w:hAnsiTheme="minorHAnsi" w:cstheme="minorBidi"/>
                <w:color w:val="auto"/>
                <w:lang w:val="en-CA"/>
              </w:rPr>
              <w:t>25,000 – 34,999</w:t>
            </w:r>
          </w:p>
        </w:tc>
        <w:tc>
          <w:tcPr>
            <w:tcW w:w="990" w:type="dxa"/>
            <w:tcBorders>
              <w:top w:val="nil"/>
              <w:left w:val="single" w:sz="4" w:space="0" w:color="auto"/>
              <w:bottom w:val="single" w:sz="4" w:space="0" w:color="auto"/>
              <w:right w:val="single" w:sz="4" w:space="0" w:color="auto"/>
            </w:tcBorders>
            <w:shd w:val="clear" w:color="auto" w:fill="FFFFFF" w:themeFill="background1"/>
            <w:noWrap/>
            <w:vAlign w:val="center"/>
          </w:tcPr>
          <w:p w14:paraId="13BF08A9" w14:textId="77777777" w:rsidR="00325975"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Theme="minorHAnsi" w:eastAsiaTheme="minorEastAsia" w:hAnsiTheme="minorHAnsi" w:cstheme="minorBidi"/>
                <w:color w:val="auto"/>
                <w:lang w:val="en-CA"/>
              </w:rPr>
            </w:pPr>
            <w:r w:rsidRPr="006B7AFB">
              <w:rPr>
                <w:rFonts w:asciiTheme="minorHAnsi" w:eastAsiaTheme="minorEastAsia" w:hAnsiTheme="minorHAnsi" w:cstheme="minorBidi"/>
                <w:color w:val="auto"/>
                <w:lang w:val="en-CA"/>
              </w:rPr>
              <w:t>6%</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14:paraId="22BBED99" w14:textId="77777777" w:rsidR="00325975"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Theme="minorHAnsi" w:eastAsiaTheme="minorEastAsia" w:hAnsiTheme="minorHAnsi" w:cstheme="minorBidi"/>
                <w:color w:val="auto"/>
                <w:lang w:val="en-CA"/>
              </w:rPr>
            </w:pPr>
            <w:r w:rsidRPr="006B7AFB">
              <w:rPr>
                <w:rFonts w:asciiTheme="minorHAnsi" w:eastAsiaTheme="minorEastAsia" w:hAnsiTheme="minorHAnsi" w:cstheme="minorBidi"/>
                <w:color w:val="auto"/>
                <w:lang w:val="en-CA"/>
              </w:rPr>
              <w:t>25,000 – 34,999</w:t>
            </w:r>
          </w:p>
        </w:tc>
        <w:tc>
          <w:tcPr>
            <w:tcW w:w="1080" w:type="dxa"/>
            <w:tcBorders>
              <w:top w:val="nil"/>
              <w:left w:val="single" w:sz="4" w:space="0" w:color="auto"/>
              <w:bottom w:val="single" w:sz="4" w:space="0" w:color="auto"/>
              <w:right w:val="single" w:sz="8" w:space="0" w:color="auto"/>
            </w:tcBorders>
            <w:shd w:val="clear" w:color="auto" w:fill="FFFFFF" w:themeFill="background1"/>
            <w:vAlign w:val="center"/>
          </w:tcPr>
          <w:p w14:paraId="1E96D4E2" w14:textId="77777777" w:rsidR="00325975"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Theme="minorHAnsi" w:eastAsiaTheme="minorEastAsia" w:hAnsiTheme="minorHAnsi" w:cstheme="minorBidi"/>
                <w:color w:val="auto"/>
                <w:lang w:val="en-CA"/>
              </w:rPr>
            </w:pPr>
            <w:r w:rsidRPr="006B7AFB">
              <w:rPr>
                <w:rFonts w:asciiTheme="minorHAnsi" w:eastAsiaTheme="minorEastAsia" w:hAnsiTheme="minorHAnsi" w:cstheme="minorBidi"/>
                <w:color w:val="auto"/>
                <w:lang w:val="en-CA"/>
              </w:rPr>
              <w:t>7%</w:t>
            </w:r>
          </w:p>
        </w:tc>
        <w:tc>
          <w:tcPr>
            <w:tcW w:w="2160" w:type="dxa"/>
            <w:tcBorders>
              <w:top w:val="single" w:sz="4" w:space="0" w:color="auto"/>
              <w:left w:val="single" w:sz="8" w:space="0" w:color="auto"/>
              <w:bottom w:val="single" w:sz="4" w:space="0" w:color="auto"/>
              <w:right w:val="single" w:sz="4" w:space="0" w:color="auto"/>
            </w:tcBorders>
            <w:shd w:val="clear" w:color="auto" w:fill="FFFFFF" w:themeFill="background1"/>
          </w:tcPr>
          <w:p w14:paraId="1B71B4D3" w14:textId="77777777" w:rsidR="00325975"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Theme="minorHAnsi" w:eastAsiaTheme="minorEastAsia" w:hAnsiTheme="minorHAnsi" w:cstheme="minorBidi"/>
                <w:color w:val="auto"/>
                <w:lang w:val="en-CA"/>
              </w:rPr>
            </w:pPr>
            <w:r w:rsidRPr="006B7AFB">
              <w:rPr>
                <w:rFonts w:asciiTheme="minorHAnsi" w:eastAsiaTheme="minorEastAsia" w:hAnsiTheme="minorHAnsi" w:cstheme="minorBidi"/>
                <w:color w:val="auto"/>
                <w:lang w:val="en-CA"/>
              </w:rPr>
              <w:t>25,000 – 34,999</w:t>
            </w:r>
          </w:p>
        </w:tc>
        <w:tc>
          <w:tcPr>
            <w:tcW w:w="1221" w:type="dxa"/>
            <w:vMerge/>
            <w:tcBorders>
              <w:bottom w:val="single" w:sz="4" w:space="0" w:color="auto"/>
              <w:right w:val="single" w:sz="4" w:space="0" w:color="auto"/>
            </w:tcBorders>
            <w:vAlign w:val="center"/>
          </w:tcPr>
          <w:p w14:paraId="7432CA81" w14:textId="77777777" w:rsidR="00325975" w:rsidRPr="00325975" w:rsidRDefault="00325975" w:rsidP="00325975">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eastAsia="Times New Roman" w:cs="Calibri"/>
                <w:color w:val="auto"/>
                <w:sz w:val="24"/>
                <w:szCs w:val="24"/>
                <w:lang w:val="en-CA"/>
              </w:rPr>
            </w:pPr>
          </w:p>
        </w:tc>
      </w:tr>
      <w:tr w:rsidR="00325975" w:rsidRPr="00325975" w14:paraId="74F1D0A5" w14:textId="77777777" w:rsidTr="006D5266">
        <w:trPr>
          <w:trHeight w:val="273"/>
          <w:jc w:val="center"/>
        </w:trPr>
        <w:tc>
          <w:tcPr>
            <w:tcW w:w="21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8B6C32" w14:textId="77777777" w:rsidR="00325975"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Theme="minorHAnsi" w:eastAsiaTheme="minorEastAsia" w:hAnsiTheme="minorHAnsi" w:cstheme="minorBidi"/>
                <w:color w:val="auto"/>
                <w:lang w:val="en-CA"/>
              </w:rPr>
            </w:pPr>
            <w:r w:rsidRPr="006B7AFB">
              <w:rPr>
                <w:rFonts w:asciiTheme="minorHAnsi" w:eastAsiaTheme="minorEastAsia" w:hAnsiTheme="minorHAnsi" w:cstheme="minorBidi"/>
                <w:color w:val="auto"/>
                <w:lang w:val="en-CA"/>
              </w:rPr>
              <w:t>35,000 – 44,999</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C28923" w14:textId="77777777" w:rsidR="00325975"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Theme="minorHAnsi" w:eastAsiaTheme="minorEastAsia" w:hAnsiTheme="minorHAnsi" w:cstheme="minorBidi"/>
                <w:color w:val="auto"/>
                <w:lang w:val="en-CA"/>
              </w:rPr>
            </w:pPr>
            <w:r w:rsidRPr="006B7AFB">
              <w:rPr>
                <w:rFonts w:asciiTheme="minorHAnsi" w:eastAsiaTheme="minorEastAsia" w:hAnsiTheme="minorHAnsi" w:cstheme="minorBidi"/>
                <w:color w:val="auto"/>
                <w:lang w:val="en-CA"/>
              </w:rPr>
              <w:t>3%</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14:paraId="3913EECA" w14:textId="77777777" w:rsidR="00325975"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Theme="minorHAnsi" w:eastAsiaTheme="minorEastAsia" w:hAnsiTheme="minorHAnsi" w:cstheme="minorBidi"/>
                <w:color w:val="auto"/>
                <w:lang w:val="en-CA"/>
              </w:rPr>
            </w:pPr>
            <w:r w:rsidRPr="006B7AFB">
              <w:rPr>
                <w:rFonts w:asciiTheme="minorHAnsi" w:eastAsiaTheme="minorEastAsia" w:hAnsiTheme="minorHAnsi" w:cstheme="minorBidi"/>
                <w:color w:val="auto"/>
                <w:lang w:val="en-CA"/>
              </w:rPr>
              <w:t>35,000 – 44,999</w:t>
            </w:r>
          </w:p>
        </w:tc>
        <w:tc>
          <w:tcPr>
            <w:tcW w:w="1080"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4CBC8483" w14:textId="77777777" w:rsidR="00325975"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Theme="minorHAnsi" w:eastAsiaTheme="minorEastAsia" w:hAnsiTheme="minorHAnsi" w:cstheme="minorBidi"/>
                <w:color w:val="auto"/>
                <w:lang w:val="en-CA"/>
              </w:rPr>
            </w:pPr>
            <w:r w:rsidRPr="006B7AFB">
              <w:rPr>
                <w:rFonts w:asciiTheme="minorHAnsi" w:eastAsiaTheme="minorEastAsia" w:hAnsiTheme="minorHAnsi" w:cstheme="minorBidi"/>
                <w:color w:val="auto"/>
                <w:lang w:val="en-CA"/>
              </w:rPr>
              <w:t>1%</w:t>
            </w:r>
          </w:p>
        </w:tc>
        <w:tc>
          <w:tcPr>
            <w:tcW w:w="2160" w:type="dxa"/>
            <w:tcBorders>
              <w:top w:val="single" w:sz="4" w:space="0" w:color="auto"/>
              <w:left w:val="single" w:sz="8" w:space="0" w:color="auto"/>
              <w:bottom w:val="single" w:sz="4" w:space="0" w:color="auto"/>
              <w:right w:val="single" w:sz="4" w:space="0" w:color="auto"/>
            </w:tcBorders>
            <w:shd w:val="clear" w:color="auto" w:fill="FFFFFF" w:themeFill="background1"/>
          </w:tcPr>
          <w:p w14:paraId="77347A37" w14:textId="77777777" w:rsidR="00325975"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Theme="minorHAnsi" w:eastAsiaTheme="minorEastAsia" w:hAnsiTheme="minorHAnsi" w:cstheme="minorBidi"/>
                <w:color w:val="auto"/>
                <w:lang w:val="en-CA"/>
              </w:rPr>
            </w:pPr>
            <w:r w:rsidRPr="006B7AFB">
              <w:rPr>
                <w:rFonts w:asciiTheme="minorHAnsi" w:eastAsiaTheme="minorEastAsia" w:hAnsiTheme="minorHAnsi" w:cstheme="minorBidi"/>
                <w:color w:val="auto"/>
                <w:lang w:val="en-CA"/>
              </w:rPr>
              <w:t>35,000 – 44,999</w:t>
            </w:r>
          </w:p>
        </w:tc>
        <w:tc>
          <w:tcPr>
            <w:tcW w:w="1221" w:type="dxa"/>
            <w:vMerge/>
            <w:tcBorders>
              <w:bottom w:val="single" w:sz="4" w:space="0" w:color="auto"/>
              <w:right w:val="single" w:sz="4" w:space="0" w:color="auto"/>
            </w:tcBorders>
            <w:vAlign w:val="center"/>
          </w:tcPr>
          <w:p w14:paraId="33418E03" w14:textId="77777777" w:rsidR="00325975" w:rsidRPr="00325975" w:rsidRDefault="00325975" w:rsidP="00325975">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eastAsia="Times New Roman" w:cs="Calibri"/>
                <w:color w:val="auto"/>
                <w:sz w:val="24"/>
                <w:szCs w:val="24"/>
                <w:lang w:val="en-CA"/>
              </w:rPr>
            </w:pPr>
          </w:p>
        </w:tc>
      </w:tr>
      <w:tr w:rsidR="00325975" w:rsidRPr="00325975" w14:paraId="384BC8E0" w14:textId="77777777" w:rsidTr="006D5266">
        <w:trPr>
          <w:trHeight w:val="273"/>
          <w:jc w:val="center"/>
        </w:trPr>
        <w:tc>
          <w:tcPr>
            <w:tcW w:w="21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E35AF" w14:textId="77777777" w:rsidR="00325975"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Theme="minorHAnsi" w:eastAsiaTheme="minorEastAsia" w:hAnsiTheme="minorHAnsi" w:cstheme="minorBidi"/>
                <w:color w:val="auto"/>
                <w:lang w:val="en-CA"/>
              </w:rPr>
            </w:pPr>
            <w:r w:rsidRPr="006B7AFB">
              <w:rPr>
                <w:rFonts w:asciiTheme="minorHAnsi" w:eastAsiaTheme="minorEastAsia" w:hAnsiTheme="minorHAnsi" w:cstheme="minorBidi"/>
                <w:color w:val="auto"/>
                <w:lang w:val="en-CA"/>
              </w:rPr>
              <w:t>Average Family Size</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BE8292" w14:textId="77777777" w:rsidR="00325975"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Theme="minorHAnsi" w:eastAsiaTheme="minorEastAsia" w:hAnsiTheme="minorHAnsi" w:cstheme="minorBidi"/>
                <w:color w:val="auto"/>
                <w:lang w:val="en-CA"/>
              </w:rPr>
            </w:pPr>
            <w:r w:rsidRPr="006B7AFB">
              <w:rPr>
                <w:rFonts w:asciiTheme="minorHAnsi" w:eastAsiaTheme="minorEastAsia" w:hAnsiTheme="minorHAnsi" w:cstheme="minorBidi"/>
                <w:color w:val="auto"/>
                <w:lang w:val="en-CA"/>
              </w:rPr>
              <w:t>4</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14:paraId="25A3E897" w14:textId="77777777" w:rsidR="00325975"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Theme="minorHAnsi" w:eastAsiaTheme="minorEastAsia" w:hAnsiTheme="minorHAnsi" w:cstheme="minorBidi"/>
                <w:color w:val="auto"/>
                <w:lang w:val="en-CA"/>
              </w:rPr>
            </w:pPr>
            <w:r w:rsidRPr="006B7AFB">
              <w:rPr>
                <w:rFonts w:asciiTheme="minorHAnsi" w:eastAsiaTheme="minorEastAsia" w:hAnsiTheme="minorHAnsi" w:cstheme="minorBidi"/>
                <w:color w:val="auto"/>
                <w:lang w:val="en-CA"/>
              </w:rPr>
              <w:t>Average Family Size</w:t>
            </w:r>
          </w:p>
        </w:tc>
        <w:tc>
          <w:tcPr>
            <w:tcW w:w="1080"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1C1EC29F" w14:textId="77777777" w:rsidR="00325975"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Theme="minorHAnsi" w:eastAsiaTheme="minorEastAsia" w:hAnsiTheme="minorHAnsi" w:cstheme="minorBidi"/>
                <w:color w:val="auto"/>
                <w:lang w:val="en-CA"/>
              </w:rPr>
            </w:pPr>
            <w:r w:rsidRPr="006B7AFB">
              <w:rPr>
                <w:rFonts w:asciiTheme="minorHAnsi" w:eastAsiaTheme="minorEastAsia" w:hAnsiTheme="minorHAnsi" w:cstheme="minorBidi"/>
                <w:color w:val="auto"/>
                <w:lang w:val="en-CA"/>
              </w:rPr>
              <w:t>3.5</w:t>
            </w:r>
          </w:p>
        </w:tc>
        <w:tc>
          <w:tcPr>
            <w:tcW w:w="2160" w:type="dxa"/>
            <w:tcBorders>
              <w:top w:val="single" w:sz="4" w:space="0" w:color="auto"/>
              <w:left w:val="single" w:sz="8" w:space="0" w:color="auto"/>
              <w:bottom w:val="single" w:sz="4" w:space="0" w:color="auto"/>
              <w:right w:val="single" w:sz="4" w:space="0" w:color="auto"/>
            </w:tcBorders>
            <w:shd w:val="clear" w:color="auto" w:fill="FFFFFF" w:themeFill="background1"/>
          </w:tcPr>
          <w:p w14:paraId="631D1877" w14:textId="77777777" w:rsidR="00325975"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Theme="minorHAnsi" w:eastAsiaTheme="minorEastAsia" w:hAnsiTheme="minorHAnsi" w:cstheme="minorBidi"/>
                <w:color w:val="auto"/>
                <w:lang w:val="en-CA"/>
              </w:rPr>
            </w:pPr>
            <w:r w:rsidRPr="006B7AFB">
              <w:rPr>
                <w:rFonts w:asciiTheme="minorHAnsi" w:eastAsiaTheme="minorEastAsia" w:hAnsiTheme="minorHAnsi" w:cstheme="minorBidi"/>
                <w:color w:val="auto"/>
                <w:lang w:val="en-CA"/>
              </w:rPr>
              <w:t>Average Family Size</w:t>
            </w:r>
          </w:p>
        </w:tc>
        <w:tc>
          <w:tcPr>
            <w:tcW w:w="1221" w:type="dxa"/>
            <w:vMerge/>
            <w:tcBorders>
              <w:bottom w:val="single" w:sz="4" w:space="0" w:color="auto"/>
              <w:right w:val="single" w:sz="4" w:space="0" w:color="auto"/>
            </w:tcBorders>
            <w:vAlign w:val="center"/>
          </w:tcPr>
          <w:p w14:paraId="6E406ABD" w14:textId="77777777" w:rsidR="00325975" w:rsidRPr="00325975" w:rsidRDefault="00325975" w:rsidP="00325975">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eastAsia="Times New Roman" w:cs="Calibri"/>
                <w:color w:val="auto"/>
                <w:sz w:val="24"/>
                <w:szCs w:val="24"/>
                <w:lang w:val="en-CA"/>
              </w:rPr>
            </w:pPr>
          </w:p>
        </w:tc>
      </w:tr>
    </w:tbl>
    <w:p w14:paraId="4E6608B9" w14:textId="3818BB16" w:rsidR="00AD6421" w:rsidRPr="0095425E" w:rsidRDefault="270294E6" w:rsidP="270294E6">
      <w:pPr>
        <w:pStyle w:val="Title"/>
        <w:rPr>
          <w:rFonts w:asciiTheme="minorHAnsi" w:eastAsiaTheme="minorEastAsia" w:hAnsiTheme="minorHAnsi" w:cstheme="minorBidi"/>
          <w:smallCaps w:val="0"/>
          <w:color w:val="000000"/>
          <w:sz w:val="18"/>
          <w:szCs w:val="18"/>
        </w:rPr>
      </w:pPr>
      <w:r w:rsidRPr="0095425E">
        <w:rPr>
          <w:rFonts w:asciiTheme="minorHAnsi" w:eastAsiaTheme="minorEastAsia" w:hAnsiTheme="minorHAnsi" w:cstheme="minorBidi"/>
          <w:b/>
          <w:bCs/>
          <w:i/>
          <w:iCs/>
          <w:smallCaps w:val="0"/>
          <w:color w:val="000000" w:themeColor="text1"/>
          <w:sz w:val="18"/>
          <w:szCs w:val="18"/>
        </w:rPr>
        <w:t xml:space="preserve"> Table 1</w:t>
      </w:r>
      <w:r w:rsidRPr="0095425E">
        <w:rPr>
          <w:rFonts w:asciiTheme="minorHAnsi" w:eastAsiaTheme="minorEastAsia" w:hAnsiTheme="minorHAnsi" w:cstheme="minorBidi"/>
          <w:i/>
          <w:iCs/>
          <w:smallCaps w:val="0"/>
          <w:color w:val="000000" w:themeColor="text1"/>
          <w:sz w:val="18"/>
          <w:szCs w:val="18"/>
        </w:rPr>
        <w:t xml:space="preserve"> </w:t>
      </w:r>
      <w:r w:rsidRPr="0095425E">
        <w:rPr>
          <w:rFonts w:asciiTheme="minorHAnsi" w:eastAsiaTheme="minorEastAsia" w:hAnsiTheme="minorHAnsi" w:cstheme="minorBidi"/>
          <w:smallCaps w:val="0"/>
          <w:color w:val="000000" w:themeColor="text1"/>
          <w:sz w:val="18"/>
          <w:szCs w:val="18"/>
        </w:rPr>
        <w:t xml:space="preserve">shows the distribution of annual income for Legal Advocate clients. Family size is based on nuclear family dependents with 9 being the largest reported family size for our clients.    </w:t>
      </w:r>
    </w:p>
    <w:p w14:paraId="3B6988C2" w14:textId="77777777" w:rsidR="00325975" w:rsidRPr="0095425E" w:rsidRDefault="270294E6" w:rsidP="270294E6">
      <w:pPr>
        <w:pStyle w:val="Title"/>
        <w:rPr>
          <w:rFonts w:asciiTheme="minorHAnsi" w:eastAsiaTheme="minorEastAsia" w:hAnsiTheme="minorHAnsi" w:cstheme="minorBidi"/>
          <w:smallCaps w:val="0"/>
          <w:color w:val="000000"/>
          <w:sz w:val="22"/>
          <w:szCs w:val="22"/>
        </w:rPr>
      </w:pPr>
      <w:r w:rsidRPr="0095425E">
        <w:rPr>
          <w:rFonts w:asciiTheme="minorHAnsi" w:eastAsiaTheme="minorEastAsia" w:hAnsiTheme="minorHAnsi" w:cstheme="minorBidi"/>
          <w:smallCaps w:val="0"/>
          <w:color w:val="000000" w:themeColor="text1"/>
          <w:sz w:val="22"/>
          <w:szCs w:val="22"/>
        </w:rPr>
        <w:t xml:space="preserve"> </w:t>
      </w:r>
    </w:p>
    <w:p w14:paraId="23F9A6AA" w14:textId="25D03203" w:rsidR="00785706" w:rsidRDefault="270294E6" w:rsidP="00B03FAD">
      <w:pPr>
        <w:pStyle w:val="Title"/>
        <w:rPr>
          <w:rFonts w:asciiTheme="minorHAnsi" w:eastAsiaTheme="minorEastAsia" w:hAnsiTheme="minorHAnsi" w:cstheme="minorBidi"/>
          <w:smallCaps w:val="0"/>
          <w:color w:val="000000" w:themeColor="text1"/>
          <w:sz w:val="22"/>
          <w:szCs w:val="22"/>
        </w:rPr>
      </w:pPr>
      <w:r w:rsidRPr="0095425E">
        <w:rPr>
          <w:rFonts w:asciiTheme="minorHAnsi" w:eastAsiaTheme="minorEastAsia" w:hAnsiTheme="minorHAnsi" w:cstheme="minorBidi"/>
          <w:smallCaps w:val="0"/>
          <w:color w:val="000000" w:themeColor="text1"/>
          <w:sz w:val="22"/>
          <w:szCs w:val="22"/>
        </w:rPr>
        <w:t>There are several other nuanced reasons for why our clients may not be</w:t>
      </w:r>
      <w:r w:rsidR="00607982">
        <w:rPr>
          <w:rFonts w:asciiTheme="minorHAnsi" w:eastAsiaTheme="minorEastAsia" w:hAnsiTheme="minorHAnsi" w:cstheme="minorBidi"/>
          <w:smallCaps w:val="0"/>
          <w:color w:val="000000" w:themeColor="text1"/>
          <w:sz w:val="22"/>
          <w:szCs w:val="22"/>
        </w:rPr>
        <w:t xml:space="preserve"> able to access</w:t>
      </w:r>
      <w:r w:rsidRPr="0095425E">
        <w:rPr>
          <w:rFonts w:asciiTheme="minorHAnsi" w:eastAsiaTheme="minorEastAsia" w:hAnsiTheme="minorHAnsi" w:cstheme="minorBidi"/>
          <w:smallCaps w:val="0"/>
          <w:color w:val="000000" w:themeColor="text1"/>
          <w:sz w:val="22"/>
          <w:szCs w:val="22"/>
        </w:rPr>
        <w:t xml:space="preserve"> legal resources through Legal Aid. Legal Aid </w:t>
      </w:r>
      <w:r w:rsidR="00607982">
        <w:rPr>
          <w:rFonts w:asciiTheme="minorHAnsi" w:eastAsiaTheme="minorEastAsia" w:hAnsiTheme="minorHAnsi" w:cstheme="minorBidi"/>
          <w:smallCaps w:val="0"/>
          <w:color w:val="000000" w:themeColor="text1"/>
          <w:sz w:val="22"/>
          <w:szCs w:val="22"/>
        </w:rPr>
        <w:t xml:space="preserve">is restricted </w:t>
      </w:r>
      <w:r w:rsidR="00785706">
        <w:rPr>
          <w:rFonts w:asciiTheme="minorHAnsi" w:eastAsiaTheme="minorEastAsia" w:hAnsiTheme="minorHAnsi" w:cstheme="minorBidi"/>
          <w:smallCaps w:val="0"/>
          <w:color w:val="000000" w:themeColor="text1"/>
          <w:sz w:val="22"/>
          <w:szCs w:val="22"/>
        </w:rPr>
        <w:t xml:space="preserve">to support </w:t>
      </w:r>
      <w:r w:rsidRPr="0095425E">
        <w:rPr>
          <w:rFonts w:asciiTheme="minorHAnsi" w:eastAsiaTheme="minorEastAsia" w:hAnsiTheme="minorHAnsi" w:cstheme="minorBidi"/>
          <w:smallCaps w:val="0"/>
          <w:color w:val="000000" w:themeColor="text1"/>
          <w:sz w:val="22"/>
          <w:szCs w:val="22"/>
        </w:rPr>
        <w:t xml:space="preserve">certain </w:t>
      </w:r>
      <w:r w:rsidR="00785706">
        <w:rPr>
          <w:rFonts w:asciiTheme="minorHAnsi" w:eastAsiaTheme="minorEastAsia" w:hAnsiTheme="minorHAnsi" w:cstheme="minorBidi"/>
          <w:smallCaps w:val="0"/>
          <w:color w:val="000000" w:themeColor="text1"/>
          <w:sz w:val="22"/>
          <w:szCs w:val="22"/>
        </w:rPr>
        <w:t xml:space="preserve">types of </w:t>
      </w:r>
      <w:r w:rsidRPr="0095425E">
        <w:rPr>
          <w:rFonts w:asciiTheme="minorHAnsi" w:eastAsiaTheme="minorEastAsia" w:hAnsiTheme="minorHAnsi" w:cstheme="minorBidi"/>
          <w:smallCaps w:val="0"/>
          <w:color w:val="000000" w:themeColor="text1"/>
          <w:sz w:val="22"/>
          <w:szCs w:val="22"/>
        </w:rPr>
        <w:t>charg</w:t>
      </w:r>
      <w:r w:rsidR="00785706">
        <w:rPr>
          <w:rFonts w:asciiTheme="minorHAnsi" w:eastAsiaTheme="minorEastAsia" w:hAnsiTheme="minorHAnsi" w:cstheme="minorBidi"/>
          <w:smallCaps w:val="0"/>
          <w:color w:val="000000" w:themeColor="text1"/>
          <w:sz w:val="22"/>
          <w:szCs w:val="22"/>
        </w:rPr>
        <w:t>es. T</w:t>
      </w:r>
      <w:r w:rsidRPr="0095425E">
        <w:rPr>
          <w:rFonts w:asciiTheme="minorHAnsi" w:eastAsiaTheme="minorEastAsia" w:hAnsiTheme="minorHAnsi" w:cstheme="minorBidi"/>
          <w:smallCaps w:val="0"/>
          <w:color w:val="000000" w:themeColor="text1"/>
          <w:sz w:val="22"/>
          <w:szCs w:val="22"/>
        </w:rPr>
        <w:t xml:space="preserve">hose seeking to address legal issues outside of those parameters would be disqualified even though they could not afford a lawyer.  </w:t>
      </w:r>
      <w:r w:rsidR="00785706">
        <w:rPr>
          <w:rFonts w:asciiTheme="minorHAnsi" w:eastAsiaTheme="minorEastAsia" w:hAnsiTheme="minorHAnsi" w:cstheme="minorBidi"/>
          <w:smallCaps w:val="0"/>
          <w:color w:val="000000" w:themeColor="text1"/>
          <w:sz w:val="22"/>
          <w:szCs w:val="22"/>
        </w:rPr>
        <w:t xml:space="preserve">For example, those with criminal charges must be facing the potential of incarceration to be eligible for Legal Aid. </w:t>
      </w:r>
    </w:p>
    <w:p w14:paraId="0B365E58" w14:textId="77777777" w:rsidR="00785706" w:rsidRDefault="00785706" w:rsidP="00B03FAD">
      <w:pPr>
        <w:pStyle w:val="Title"/>
        <w:rPr>
          <w:rFonts w:asciiTheme="minorHAnsi" w:eastAsiaTheme="minorEastAsia" w:hAnsiTheme="minorHAnsi" w:cstheme="minorBidi"/>
          <w:smallCaps w:val="0"/>
          <w:color w:val="000000" w:themeColor="text1"/>
          <w:sz w:val="22"/>
          <w:szCs w:val="22"/>
        </w:rPr>
      </w:pPr>
    </w:p>
    <w:p w14:paraId="29255E10" w14:textId="0856351A" w:rsidR="00BD6AC8" w:rsidRPr="0095425E" w:rsidRDefault="270294E6" w:rsidP="00B03FAD">
      <w:pPr>
        <w:pStyle w:val="Title"/>
        <w:rPr>
          <w:rFonts w:asciiTheme="minorHAnsi" w:eastAsiaTheme="minorEastAsia" w:hAnsiTheme="minorHAnsi" w:cstheme="minorBidi"/>
          <w:smallCaps w:val="0"/>
          <w:color w:val="000000"/>
          <w:sz w:val="22"/>
          <w:szCs w:val="22"/>
        </w:rPr>
      </w:pPr>
      <w:r w:rsidRPr="0095425E">
        <w:rPr>
          <w:rFonts w:asciiTheme="minorHAnsi" w:eastAsiaTheme="minorEastAsia" w:hAnsiTheme="minorHAnsi" w:cstheme="minorBidi"/>
          <w:smallCaps w:val="0"/>
          <w:color w:val="000000" w:themeColor="text1"/>
          <w:sz w:val="22"/>
          <w:szCs w:val="22"/>
        </w:rPr>
        <w:t xml:space="preserve">Many </w:t>
      </w:r>
      <w:r w:rsidR="00785706">
        <w:rPr>
          <w:rFonts w:asciiTheme="minorHAnsi" w:eastAsiaTheme="minorEastAsia" w:hAnsiTheme="minorHAnsi" w:cstheme="minorBidi"/>
          <w:smallCaps w:val="0"/>
          <w:color w:val="000000" w:themeColor="text1"/>
          <w:sz w:val="22"/>
          <w:szCs w:val="22"/>
        </w:rPr>
        <w:t>of the clients EFry serves</w:t>
      </w:r>
      <w:r w:rsidRPr="0095425E">
        <w:rPr>
          <w:rFonts w:asciiTheme="minorHAnsi" w:eastAsiaTheme="minorEastAsia" w:hAnsiTheme="minorHAnsi" w:cstheme="minorBidi"/>
          <w:smallCaps w:val="0"/>
          <w:color w:val="000000" w:themeColor="text1"/>
          <w:sz w:val="22"/>
          <w:szCs w:val="22"/>
        </w:rPr>
        <w:t xml:space="preserve"> may simply be struggling with filling out forms due to language or education barriers and might require more basic guidance </w:t>
      </w:r>
      <w:r w:rsidR="00785706">
        <w:rPr>
          <w:rFonts w:asciiTheme="minorHAnsi" w:eastAsiaTheme="minorEastAsia" w:hAnsiTheme="minorHAnsi" w:cstheme="minorBidi"/>
          <w:smallCaps w:val="0"/>
          <w:color w:val="000000" w:themeColor="text1"/>
          <w:sz w:val="22"/>
          <w:szCs w:val="22"/>
        </w:rPr>
        <w:t>than legal representation of advice</w:t>
      </w:r>
      <w:r w:rsidRPr="0095425E">
        <w:rPr>
          <w:rFonts w:asciiTheme="minorHAnsi" w:eastAsiaTheme="minorEastAsia" w:hAnsiTheme="minorHAnsi" w:cstheme="minorBidi"/>
          <w:smallCaps w:val="0"/>
          <w:color w:val="000000" w:themeColor="text1"/>
          <w:sz w:val="22"/>
          <w:szCs w:val="22"/>
        </w:rPr>
        <w:t xml:space="preserve">. Some individuals that come to our Legal Advocates may even have lawyers, but they have run out of money for retainers as court issues have dragged on or lawyers have suggested they manage portions of the legal issue to assist with time and </w:t>
      </w:r>
      <w:r w:rsidR="00785706">
        <w:rPr>
          <w:rFonts w:asciiTheme="minorHAnsi" w:eastAsiaTheme="minorEastAsia" w:hAnsiTheme="minorHAnsi" w:cstheme="minorBidi"/>
          <w:smallCaps w:val="0"/>
          <w:color w:val="000000" w:themeColor="text1"/>
          <w:sz w:val="22"/>
          <w:szCs w:val="22"/>
        </w:rPr>
        <w:t xml:space="preserve">reducing the strain on further retainers. </w:t>
      </w:r>
    </w:p>
    <w:p w14:paraId="19965CE3" w14:textId="77777777" w:rsidR="00BD6AC8" w:rsidRPr="0095425E" w:rsidRDefault="00BD6AC8" w:rsidP="270294E6">
      <w:pPr>
        <w:pStyle w:val="Title"/>
        <w:rPr>
          <w:rFonts w:asciiTheme="minorHAnsi" w:eastAsiaTheme="minorEastAsia" w:hAnsiTheme="minorHAnsi" w:cstheme="minorBidi"/>
          <w:smallCaps w:val="0"/>
          <w:color w:val="000000"/>
          <w:sz w:val="22"/>
          <w:szCs w:val="22"/>
        </w:rPr>
      </w:pPr>
    </w:p>
    <w:p w14:paraId="0EF37D5B" w14:textId="70B27568" w:rsidR="0095425E" w:rsidRDefault="270294E6" w:rsidP="00785706">
      <w:pPr>
        <w:pStyle w:val="Title"/>
        <w:rPr>
          <w:rFonts w:asciiTheme="minorHAnsi" w:eastAsiaTheme="minorEastAsia" w:hAnsiTheme="minorHAnsi" w:cstheme="minorBidi"/>
          <w:smallCaps w:val="0"/>
          <w:color w:val="000000" w:themeColor="text1"/>
          <w:sz w:val="22"/>
          <w:szCs w:val="22"/>
        </w:rPr>
      </w:pPr>
      <w:r w:rsidRPr="0095425E">
        <w:rPr>
          <w:rFonts w:asciiTheme="minorHAnsi" w:eastAsiaTheme="minorEastAsia" w:hAnsiTheme="minorHAnsi" w:cstheme="minorBidi"/>
          <w:smallCaps w:val="0"/>
          <w:color w:val="000000" w:themeColor="text1"/>
          <w:sz w:val="22"/>
          <w:szCs w:val="22"/>
        </w:rPr>
        <w:t>Importantly, our Legal Advocates do not work in isolation from Legal Aid or</w:t>
      </w:r>
      <w:r w:rsidR="00785706">
        <w:rPr>
          <w:rFonts w:asciiTheme="minorHAnsi" w:eastAsiaTheme="minorEastAsia" w:hAnsiTheme="minorHAnsi" w:cstheme="minorBidi"/>
          <w:smallCaps w:val="0"/>
          <w:color w:val="000000" w:themeColor="text1"/>
          <w:sz w:val="22"/>
          <w:szCs w:val="22"/>
        </w:rPr>
        <w:t xml:space="preserve"> other</w:t>
      </w:r>
      <w:r w:rsidRPr="0095425E">
        <w:rPr>
          <w:rFonts w:asciiTheme="minorHAnsi" w:eastAsiaTheme="minorEastAsia" w:hAnsiTheme="minorHAnsi" w:cstheme="minorBidi"/>
          <w:smallCaps w:val="0"/>
          <w:color w:val="000000" w:themeColor="text1"/>
          <w:sz w:val="22"/>
          <w:szCs w:val="22"/>
        </w:rPr>
        <w:t xml:space="preserve"> legal counsel. Part of their role is to assist clients in obtaining a lawyer, or in applying or appealing for Legal Aid if they believe an individual requires professional legal advice or representation. That being said, we have seen a </w:t>
      </w:r>
      <w:r w:rsidRPr="0095425E">
        <w:rPr>
          <w:rFonts w:asciiTheme="minorHAnsi" w:eastAsiaTheme="minorEastAsia" w:hAnsiTheme="minorHAnsi" w:cstheme="minorBidi"/>
          <w:smallCaps w:val="0"/>
          <w:color w:val="000000" w:themeColor="text1"/>
          <w:sz w:val="22"/>
          <w:szCs w:val="22"/>
        </w:rPr>
        <w:lastRenderedPageBreak/>
        <w:t xml:space="preserve">decrease in clients using other legal services based on lack of access and affordability. In 2017, 23% of our clients reported they were accessing legal services outside of </w:t>
      </w:r>
      <w:proofErr w:type="spellStart"/>
      <w:r w:rsidRPr="0095425E">
        <w:rPr>
          <w:rFonts w:asciiTheme="minorHAnsi" w:eastAsiaTheme="minorEastAsia" w:hAnsiTheme="minorHAnsi" w:cstheme="minorBidi"/>
          <w:smallCaps w:val="0"/>
          <w:color w:val="000000" w:themeColor="text1"/>
          <w:sz w:val="22"/>
          <w:szCs w:val="22"/>
        </w:rPr>
        <w:t>EFry’s</w:t>
      </w:r>
      <w:proofErr w:type="spellEnd"/>
      <w:r w:rsidRPr="0095425E">
        <w:rPr>
          <w:rFonts w:asciiTheme="minorHAnsi" w:eastAsiaTheme="minorEastAsia" w:hAnsiTheme="minorHAnsi" w:cstheme="minorBidi"/>
          <w:smallCaps w:val="0"/>
          <w:color w:val="000000" w:themeColor="text1"/>
          <w:sz w:val="22"/>
          <w:szCs w:val="22"/>
        </w:rPr>
        <w:t xml:space="preserve"> legal advocacy assistance. This number dropped to just 2% in 2019, as shown by the table below. </w:t>
      </w:r>
    </w:p>
    <w:p w14:paraId="3B37DC62" w14:textId="77777777" w:rsidR="00785706" w:rsidRPr="00785706" w:rsidRDefault="00785706" w:rsidP="00785706"/>
    <w:tbl>
      <w:tblPr>
        <w:tblW w:w="7265" w:type="dxa"/>
        <w:tblInd w:w="-5" w:type="dxa"/>
        <w:tblLayout w:type="fixed"/>
        <w:tblCellMar>
          <w:top w:w="15" w:type="dxa"/>
          <w:bottom w:w="15" w:type="dxa"/>
        </w:tblCellMar>
        <w:tblLook w:val="04A0" w:firstRow="1" w:lastRow="0" w:firstColumn="1" w:lastColumn="0" w:noHBand="0" w:noVBand="1"/>
      </w:tblPr>
      <w:tblGrid>
        <w:gridCol w:w="3036"/>
        <w:gridCol w:w="1329"/>
        <w:gridCol w:w="1450"/>
        <w:gridCol w:w="1450"/>
      </w:tblGrid>
      <w:tr w:rsidR="000A5B09" w:rsidRPr="000A5B09" w14:paraId="0AE88105" w14:textId="77777777" w:rsidTr="270294E6">
        <w:trPr>
          <w:trHeight w:val="231"/>
        </w:trPr>
        <w:tc>
          <w:tcPr>
            <w:tcW w:w="3036" w:type="dxa"/>
            <w:tcBorders>
              <w:top w:val="single" w:sz="8" w:space="0" w:color="auto"/>
              <w:left w:val="single" w:sz="4" w:space="0" w:color="auto"/>
              <w:bottom w:val="single" w:sz="8" w:space="0" w:color="auto"/>
              <w:right w:val="single" w:sz="4" w:space="0" w:color="auto"/>
            </w:tcBorders>
            <w:shd w:val="clear" w:color="auto" w:fill="A8D08D" w:themeFill="accent6" w:themeFillTint="99"/>
            <w:vAlign w:val="center"/>
          </w:tcPr>
          <w:p w14:paraId="60C49651" w14:textId="77777777" w:rsidR="000A5B09" w:rsidRPr="0095425E" w:rsidRDefault="000A5B09"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Theme="minorHAnsi" w:eastAsiaTheme="minorEastAsia" w:hAnsiTheme="minorHAnsi" w:cstheme="minorBidi"/>
                <w:b/>
                <w:bCs/>
                <w:color w:val="auto"/>
                <w:sz w:val="24"/>
                <w:szCs w:val="24"/>
                <w:lang w:val="en-CA"/>
              </w:rPr>
            </w:pPr>
          </w:p>
        </w:tc>
        <w:tc>
          <w:tcPr>
            <w:tcW w:w="1329" w:type="dxa"/>
            <w:tcBorders>
              <w:top w:val="single" w:sz="8" w:space="0" w:color="auto"/>
              <w:left w:val="single" w:sz="4" w:space="0" w:color="auto"/>
              <w:bottom w:val="single" w:sz="8" w:space="0" w:color="auto"/>
              <w:right w:val="single" w:sz="4" w:space="0" w:color="auto"/>
            </w:tcBorders>
            <w:shd w:val="clear" w:color="auto" w:fill="A8D08D" w:themeFill="accent6" w:themeFillTint="99"/>
            <w:noWrap/>
            <w:vAlign w:val="center"/>
          </w:tcPr>
          <w:p w14:paraId="70C78BF9" w14:textId="77777777" w:rsidR="000A5B09"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Theme="minorHAnsi" w:eastAsiaTheme="minorEastAsia" w:hAnsiTheme="minorHAnsi" w:cstheme="minorBidi"/>
                <w:b/>
                <w:bCs/>
                <w:color w:val="auto"/>
                <w:lang w:val="en-CA"/>
              </w:rPr>
            </w:pPr>
            <w:r w:rsidRPr="006B7AFB">
              <w:rPr>
                <w:rFonts w:asciiTheme="minorHAnsi" w:eastAsiaTheme="minorEastAsia" w:hAnsiTheme="minorHAnsi" w:cstheme="minorBidi"/>
                <w:b/>
                <w:bCs/>
                <w:color w:val="auto"/>
                <w:lang w:val="en-CA"/>
              </w:rPr>
              <w:t>2019</w:t>
            </w:r>
          </w:p>
        </w:tc>
        <w:tc>
          <w:tcPr>
            <w:tcW w:w="1450" w:type="dxa"/>
            <w:tcBorders>
              <w:top w:val="single" w:sz="8" w:space="0" w:color="auto"/>
              <w:left w:val="single" w:sz="4" w:space="0" w:color="auto"/>
              <w:bottom w:val="single" w:sz="8" w:space="0" w:color="auto"/>
              <w:right w:val="single" w:sz="8" w:space="0" w:color="auto"/>
            </w:tcBorders>
            <w:shd w:val="clear" w:color="auto" w:fill="8EAADB" w:themeFill="accent1" w:themeFillTint="99"/>
            <w:vAlign w:val="center"/>
          </w:tcPr>
          <w:p w14:paraId="3251B489" w14:textId="77777777" w:rsidR="000A5B09"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Theme="minorHAnsi" w:eastAsiaTheme="minorEastAsia" w:hAnsiTheme="minorHAnsi" w:cstheme="minorBidi"/>
                <w:b/>
                <w:bCs/>
                <w:color w:val="auto"/>
                <w:lang w:val="en-CA"/>
              </w:rPr>
            </w:pPr>
            <w:r w:rsidRPr="006B7AFB">
              <w:rPr>
                <w:rFonts w:asciiTheme="minorHAnsi" w:eastAsiaTheme="minorEastAsia" w:hAnsiTheme="minorHAnsi" w:cstheme="minorBidi"/>
                <w:b/>
                <w:bCs/>
                <w:color w:val="auto"/>
                <w:lang w:val="en-CA"/>
              </w:rPr>
              <w:t>2018</w:t>
            </w:r>
          </w:p>
        </w:tc>
        <w:tc>
          <w:tcPr>
            <w:tcW w:w="1450" w:type="dxa"/>
            <w:tcBorders>
              <w:top w:val="single" w:sz="8" w:space="0" w:color="auto"/>
              <w:left w:val="single" w:sz="4" w:space="0" w:color="auto"/>
              <w:bottom w:val="single" w:sz="8" w:space="0" w:color="auto"/>
              <w:right w:val="single" w:sz="8" w:space="0" w:color="auto"/>
            </w:tcBorders>
            <w:shd w:val="clear" w:color="auto" w:fill="FFD966" w:themeFill="accent4" w:themeFillTint="99"/>
            <w:vAlign w:val="center"/>
          </w:tcPr>
          <w:p w14:paraId="0387C6F6" w14:textId="77777777" w:rsidR="000A5B09"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Theme="minorHAnsi" w:eastAsiaTheme="minorEastAsia" w:hAnsiTheme="minorHAnsi" w:cstheme="minorBidi"/>
                <w:b/>
                <w:bCs/>
                <w:color w:val="auto"/>
                <w:lang w:val="en-CA"/>
              </w:rPr>
            </w:pPr>
            <w:r w:rsidRPr="006B7AFB">
              <w:rPr>
                <w:rFonts w:asciiTheme="minorHAnsi" w:eastAsiaTheme="minorEastAsia" w:hAnsiTheme="minorHAnsi" w:cstheme="minorBidi"/>
                <w:b/>
                <w:bCs/>
                <w:color w:val="auto"/>
                <w:lang w:val="en-CA"/>
              </w:rPr>
              <w:t>2017</w:t>
            </w:r>
          </w:p>
        </w:tc>
      </w:tr>
      <w:tr w:rsidR="000A5B09" w:rsidRPr="000A5B09" w14:paraId="76259742" w14:textId="77777777" w:rsidTr="270294E6">
        <w:trPr>
          <w:trHeight w:val="231"/>
        </w:trPr>
        <w:tc>
          <w:tcPr>
            <w:tcW w:w="3036" w:type="dxa"/>
            <w:tcBorders>
              <w:top w:val="single" w:sz="8" w:space="0" w:color="auto"/>
              <w:left w:val="single" w:sz="4" w:space="0" w:color="auto"/>
              <w:bottom w:val="single" w:sz="8" w:space="0" w:color="auto"/>
              <w:right w:val="single" w:sz="4" w:space="0" w:color="auto"/>
            </w:tcBorders>
            <w:shd w:val="clear" w:color="auto" w:fill="E2EFD9" w:themeFill="accent6" w:themeFillTint="33"/>
            <w:vAlign w:val="center"/>
            <w:hideMark/>
          </w:tcPr>
          <w:p w14:paraId="14AA5265" w14:textId="77777777" w:rsidR="000A5B09" w:rsidRPr="0095425E" w:rsidRDefault="000A5B09"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Theme="minorHAnsi" w:eastAsiaTheme="minorEastAsia" w:hAnsiTheme="minorHAnsi" w:cstheme="minorBidi"/>
                <w:b/>
                <w:bCs/>
                <w:color w:val="auto"/>
                <w:sz w:val="24"/>
                <w:szCs w:val="24"/>
                <w:lang w:val="en-CA"/>
              </w:rPr>
            </w:pPr>
          </w:p>
        </w:tc>
        <w:tc>
          <w:tcPr>
            <w:tcW w:w="1329" w:type="dxa"/>
            <w:tcBorders>
              <w:top w:val="single" w:sz="8" w:space="0" w:color="auto"/>
              <w:left w:val="single" w:sz="4" w:space="0" w:color="auto"/>
              <w:bottom w:val="single" w:sz="8" w:space="0" w:color="auto"/>
              <w:right w:val="single" w:sz="4" w:space="0" w:color="auto"/>
            </w:tcBorders>
            <w:shd w:val="clear" w:color="auto" w:fill="E2EFD9" w:themeFill="accent6" w:themeFillTint="33"/>
            <w:noWrap/>
            <w:vAlign w:val="center"/>
            <w:hideMark/>
          </w:tcPr>
          <w:p w14:paraId="65279B4B" w14:textId="77777777" w:rsidR="000A5B09"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Theme="minorHAnsi" w:eastAsiaTheme="minorEastAsia" w:hAnsiTheme="minorHAnsi" w:cstheme="minorBidi"/>
                <w:b/>
                <w:bCs/>
                <w:color w:val="auto"/>
                <w:lang w:val="en-CA"/>
              </w:rPr>
            </w:pPr>
            <w:r w:rsidRPr="006B7AFB">
              <w:rPr>
                <w:rFonts w:asciiTheme="minorHAnsi" w:eastAsiaTheme="minorEastAsia" w:hAnsiTheme="minorHAnsi" w:cstheme="minorBidi"/>
                <w:b/>
                <w:bCs/>
                <w:color w:val="auto"/>
                <w:lang w:val="en-CA"/>
              </w:rPr>
              <w:t>% of Clients</w:t>
            </w:r>
          </w:p>
        </w:tc>
        <w:tc>
          <w:tcPr>
            <w:tcW w:w="1450" w:type="dxa"/>
            <w:tcBorders>
              <w:top w:val="single" w:sz="8" w:space="0" w:color="auto"/>
              <w:left w:val="single" w:sz="4" w:space="0" w:color="auto"/>
              <w:bottom w:val="single" w:sz="8" w:space="0" w:color="auto"/>
              <w:right w:val="single" w:sz="8" w:space="0" w:color="auto"/>
            </w:tcBorders>
            <w:shd w:val="clear" w:color="auto" w:fill="DEEAF6" w:themeFill="accent5" w:themeFillTint="33"/>
            <w:vAlign w:val="center"/>
          </w:tcPr>
          <w:p w14:paraId="3B7D8BB3" w14:textId="77777777" w:rsidR="000A5B09"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Theme="minorHAnsi" w:eastAsiaTheme="minorEastAsia" w:hAnsiTheme="minorHAnsi" w:cstheme="minorBidi"/>
                <w:b/>
                <w:bCs/>
                <w:color w:val="auto"/>
                <w:lang w:val="en-CA"/>
              </w:rPr>
            </w:pPr>
            <w:r w:rsidRPr="006B7AFB">
              <w:rPr>
                <w:rFonts w:asciiTheme="minorHAnsi" w:eastAsiaTheme="minorEastAsia" w:hAnsiTheme="minorHAnsi" w:cstheme="minorBidi"/>
                <w:b/>
                <w:bCs/>
                <w:color w:val="auto"/>
                <w:lang w:val="en-CA"/>
              </w:rPr>
              <w:t>% of Clients</w:t>
            </w:r>
          </w:p>
        </w:tc>
        <w:tc>
          <w:tcPr>
            <w:tcW w:w="1450" w:type="dxa"/>
            <w:tcBorders>
              <w:top w:val="single" w:sz="8" w:space="0" w:color="auto"/>
              <w:left w:val="single" w:sz="4" w:space="0" w:color="auto"/>
              <w:bottom w:val="single" w:sz="8" w:space="0" w:color="auto"/>
              <w:right w:val="single" w:sz="8" w:space="0" w:color="auto"/>
            </w:tcBorders>
            <w:shd w:val="clear" w:color="auto" w:fill="FFF2CC" w:themeFill="accent4" w:themeFillTint="33"/>
            <w:vAlign w:val="center"/>
          </w:tcPr>
          <w:p w14:paraId="5A652ABE" w14:textId="77777777" w:rsidR="000A5B09"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Theme="minorHAnsi" w:eastAsiaTheme="minorEastAsia" w:hAnsiTheme="minorHAnsi" w:cstheme="minorBidi"/>
                <w:b/>
                <w:bCs/>
                <w:color w:val="auto"/>
                <w:lang w:val="en-CA"/>
              </w:rPr>
            </w:pPr>
            <w:r w:rsidRPr="006B7AFB">
              <w:rPr>
                <w:rFonts w:asciiTheme="minorHAnsi" w:eastAsiaTheme="minorEastAsia" w:hAnsiTheme="minorHAnsi" w:cstheme="minorBidi"/>
                <w:b/>
                <w:bCs/>
                <w:color w:val="auto"/>
                <w:lang w:val="en-CA"/>
              </w:rPr>
              <w:t>% of Clients</w:t>
            </w:r>
          </w:p>
        </w:tc>
      </w:tr>
      <w:tr w:rsidR="000A5B09" w:rsidRPr="000A5B09" w14:paraId="36102605" w14:textId="77777777" w:rsidTr="270294E6">
        <w:trPr>
          <w:trHeight w:val="178"/>
        </w:trPr>
        <w:tc>
          <w:tcPr>
            <w:tcW w:w="3036" w:type="dxa"/>
            <w:tcBorders>
              <w:top w:val="nil"/>
              <w:left w:val="single" w:sz="4" w:space="0" w:color="auto"/>
              <w:bottom w:val="single" w:sz="4" w:space="0" w:color="auto"/>
              <w:right w:val="single" w:sz="4" w:space="0" w:color="auto"/>
            </w:tcBorders>
            <w:shd w:val="clear" w:color="auto" w:fill="FFFFFF" w:themeFill="background1"/>
            <w:vAlign w:val="center"/>
            <w:hideMark/>
          </w:tcPr>
          <w:p w14:paraId="1B28AFD2" w14:textId="77777777" w:rsidR="000A5B09"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Theme="minorHAnsi" w:eastAsiaTheme="minorEastAsia" w:hAnsiTheme="minorHAnsi" w:cstheme="minorBidi"/>
                <w:b/>
                <w:bCs/>
                <w:color w:val="auto"/>
                <w:lang w:val="en-CA"/>
              </w:rPr>
            </w:pPr>
            <w:r w:rsidRPr="006B7AFB">
              <w:rPr>
                <w:rFonts w:asciiTheme="minorHAnsi" w:eastAsiaTheme="minorEastAsia" w:hAnsiTheme="minorHAnsi" w:cstheme="minorBidi"/>
                <w:b/>
                <w:bCs/>
                <w:color w:val="auto"/>
                <w:lang w:val="en-CA"/>
              </w:rPr>
              <w:t>Accessing other legal services</w:t>
            </w:r>
          </w:p>
        </w:tc>
        <w:tc>
          <w:tcPr>
            <w:tcW w:w="1329" w:type="dxa"/>
            <w:tcBorders>
              <w:top w:val="nil"/>
              <w:left w:val="single" w:sz="4" w:space="0" w:color="auto"/>
              <w:bottom w:val="single" w:sz="4" w:space="0" w:color="auto"/>
              <w:right w:val="single" w:sz="4" w:space="0" w:color="auto"/>
            </w:tcBorders>
            <w:shd w:val="clear" w:color="auto" w:fill="FFFFFF" w:themeFill="background1"/>
            <w:noWrap/>
            <w:vAlign w:val="center"/>
          </w:tcPr>
          <w:p w14:paraId="02EDD40C" w14:textId="77777777" w:rsidR="000A5B09"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Theme="minorHAnsi" w:eastAsiaTheme="minorEastAsia" w:hAnsiTheme="minorHAnsi" w:cstheme="minorBidi"/>
                <w:color w:val="auto"/>
                <w:lang w:val="en-CA"/>
              </w:rPr>
            </w:pPr>
            <w:r w:rsidRPr="006B7AFB">
              <w:rPr>
                <w:rFonts w:asciiTheme="minorHAnsi" w:eastAsiaTheme="minorEastAsia" w:hAnsiTheme="minorHAnsi" w:cstheme="minorBidi"/>
                <w:color w:val="auto"/>
                <w:lang w:val="en-CA"/>
              </w:rPr>
              <w:t>2%</w:t>
            </w:r>
          </w:p>
        </w:tc>
        <w:tc>
          <w:tcPr>
            <w:tcW w:w="1450" w:type="dxa"/>
            <w:tcBorders>
              <w:top w:val="nil"/>
              <w:left w:val="single" w:sz="4" w:space="0" w:color="auto"/>
              <w:bottom w:val="single" w:sz="4" w:space="0" w:color="auto"/>
              <w:right w:val="single" w:sz="8" w:space="0" w:color="auto"/>
            </w:tcBorders>
            <w:shd w:val="clear" w:color="auto" w:fill="FFFFFF" w:themeFill="background1"/>
            <w:vAlign w:val="center"/>
          </w:tcPr>
          <w:p w14:paraId="78EC9225" w14:textId="77777777" w:rsidR="000A5B09"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Theme="minorHAnsi" w:eastAsiaTheme="minorEastAsia" w:hAnsiTheme="minorHAnsi" w:cstheme="minorBidi"/>
                <w:color w:val="auto"/>
                <w:lang w:val="en-CA"/>
              </w:rPr>
            </w:pPr>
            <w:r w:rsidRPr="006B7AFB">
              <w:rPr>
                <w:rFonts w:asciiTheme="minorHAnsi" w:eastAsiaTheme="minorEastAsia" w:hAnsiTheme="minorHAnsi" w:cstheme="minorBidi"/>
                <w:color w:val="auto"/>
                <w:lang w:val="en-CA"/>
              </w:rPr>
              <w:t>13%</w:t>
            </w:r>
          </w:p>
        </w:tc>
        <w:tc>
          <w:tcPr>
            <w:tcW w:w="1450" w:type="dxa"/>
            <w:tcBorders>
              <w:top w:val="single" w:sz="8" w:space="0" w:color="auto"/>
              <w:left w:val="single" w:sz="4" w:space="0" w:color="auto"/>
              <w:bottom w:val="single" w:sz="4" w:space="0" w:color="auto"/>
              <w:right w:val="single" w:sz="8" w:space="0" w:color="auto"/>
            </w:tcBorders>
            <w:shd w:val="clear" w:color="auto" w:fill="FFFFFF" w:themeFill="background1"/>
            <w:vAlign w:val="center"/>
          </w:tcPr>
          <w:p w14:paraId="26AF81B8" w14:textId="77777777" w:rsidR="000A5B09"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Theme="minorHAnsi" w:eastAsiaTheme="minorEastAsia" w:hAnsiTheme="minorHAnsi" w:cstheme="minorBidi"/>
                <w:color w:val="auto"/>
                <w:lang w:val="en-CA"/>
              </w:rPr>
            </w:pPr>
            <w:r w:rsidRPr="006B7AFB">
              <w:rPr>
                <w:rFonts w:asciiTheme="minorHAnsi" w:eastAsiaTheme="minorEastAsia" w:hAnsiTheme="minorHAnsi" w:cstheme="minorBidi"/>
                <w:color w:val="auto"/>
                <w:lang w:val="en-CA"/>
              </w:rPr>
              <w:t>23%</w:t>
            </w:r>
          </w:p>
        </w:tc>
      </w:tr>
      <w:tr w:rsidR="000A5B09" w:rsidRPr="000A5B09" w14:paraId="465A48A0" w14:textId="77777777" w:rsidTr="270294E6">
        <w:trPr>
          <w:trHeight w:val="178"/>
        </w:trPr>
        <w:tc>
          <w:tcPr>
            <w:tcW w:w="30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8F4DCF" w14:textId="77777777" w:rsidR="000A5B09"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Theme="minorHAnsi" w:eastAsiaTheme="minorEastAsia" w:hAnsiTheme="minorHAnsi" w:cstheme="minorBidi"/>
                <w:b/>
                <w:bCs/>
                <w:color w:val="auto"/>
                <w:lang w:val="en-CA"/>
              </w:rPr>
            </w:pPr>
            <w:r w:rsidRPr="006B7AFB">
              <w:rPr>
                <w:rFonts w:asciiTheme="minorHAnsi" w:eastAsiaTheme="minorEastAsia" w:hAnsiTheme="minorHAnsi" w:cstheme="minorBidi"/>
                <w:b/>
                <w:bCs/>
                <w:color w:val="auto"/>
                <w:lang w:val="en-CA"/>
              </w:rPr>
              <w:t xml:space="preserve">Had a legal issue that EFry couldn’t assist with </w:t>
            </w:r>
          </w:p>
        </w:tc>
        <w:tc>
          <w:tcPr>
            <w:tcW w:w="1329" w:type="dxa"/>
            <w:tcBorders>
              <w:top w:val="nil"/>
              <w:left w:val="single" w:sz="4" w:space="0" w:color="auto"/>
              <w:bottom w:val="single" w:sz="4" w:space="0" w:color="auto"/>
              <w:right w:val="single" w:sz="4" w:space="0" w:color="auto"/>
            </w:tcBorders>
            <w:shd w:val="clear" w:color="auto" w:fill="FFFFFF" w:themeFill="background1"/>
            <w:noWrap/>
            <w:vAlign w:val="center"/>
          </w:tcPr>
          <w:p w14:paraId="28A8B652" w14:textId="77777777" w:rsidR="000A5B09"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Theme="minorHAnsi" w:eastAsiaTheme="minorEastAsia" w:hAnsiTheme="minorHAnsi" w:cstheme="minorBidi"/>
                <w:color w:val="auto"/>
                <w:lang w:val="en-CA"/>
              </w:rPr>
            </w:pPr>
            <w:r w:rsidRPr="006B7AFB">
              <w:rPr>
                <w:rFonts w:asciiTheme="minorHAnsi" w:eastAsiaTheme="minorEastAsia" w:hAnsiTheme="minorHAnsi" w:cstheme="minorBidi"/>
                <w:color w:val="auto"/>
                <w:lang w:val="en-CA"/>
              </w:rPr>
              <w:t>4%</w:t>
            </w:r>
          </w:p>
        </w:tc>
        <w:tc>
          <w:tcPr>
            <w:tcW w:w="1450" w:type="dxa"/>
            <w:tcBorders>
              <w:top w:val="nil"/>
              <w:left w:val="single" w:sz="4" w:space="0" w:color="auto"/>
              <w:bottom w:val="single" w:sz="4" w:space="0" w:color="auto"/>
              <w:right w:val="single" w:sz="8" w:space="0" w:color="auto"/>
            </w:tcBorders>
            <w:shd w:val="clear" w:color="auto" w:fill="FFFFFF" w:themeFill="background1"/>
            <w:vAlign w:val="center"/>
          </w:tcPr>
          <w:p w14:paraId="6B674380" w14:textId="77777777" w:rsidR="000A5B09"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Theme="minorHAnsi" w:eastAsiaTheme="minorEastAsia" w:hAnsiTheme="minorHAnsi" w:cstheme="minorBidi"/>
                <w:color w:val="auto"/>
                <w:lang w:val="en-CA"/>
              </w:rPr>
            </w:pPr>
            <w:r w:rsidRPr="006B7AFB">
              <w:rPr>
                <w:rFonts w:asciiTheme="minorHAnsi" w:eastAsiaTheme="minorEastAsia" w:hAnsiTheme="minorHAnsi" w:cstheme="minorBidi"/>
                <w:color w:val="auto"/>
                <w:lang w:val="en-CA"/>
              </w:rPr>
              <w:t>9%</w:t>
            </w:r>
          </w:p>
        </w:tc>
        <w:tc>
          <w:tcPr>
            <w:tcW w:w="1450"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73956BED" w14:textId="77777777" w:rsidR="000A5B09"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Theme="minorHAnsi" w:eastAsiaTheme="minorEastAsia" w:hAnsiTheme="minorHAnsi" w:cstheme="minorBidi"/>
                <w:color w:val="auto"/>
                <w:lang w:val="en-CA"/>
              </w:rPr>
            </w:pPr>
            <w:r w:rsidRPr="006B7AFB">
              <w:rPr>
                <w:rFonts w:asciiTheme="minorHAnsi" w:eastAsiaTheme="minorEastAsia" w:hAnsiTheme="minorHAnsi" w:cstheme="minorBidi"/>
                <w:color w:val="auto"/>
                <w:lang w:val="en-CA"/>
              </w:rPr>
              <w:t>12%</w:t>
            </w:r>
          </w:p>
        </w:tc>
      </w:tr>
    </w:tbl>
    <w:p w14:paraId="579B62AD" w14:textId="77777777" w:rsidR="00BD6AC8" w:rsidRPr="0095425E" w:rsidRDefault="270294E6" w:rsidP="270294E6">
      <w:pPr>
        <w:pStyle w:val="Title"/>
        <w:rPr>
          <w:rFonts w:asciiTheme="minorHAnsi" w:eastAsiaTheme="minorEastAsia" w:hAnsiTheme="minorHAnsi" w:cstheme="minorBidi"/>
          <w:smallCaps w:val="0"/>
          <w:color w:val="000000"/>
          <w:sz w:val="18"/>
          <w:szCs w:val="18"/>
        </w:rPr>
      </w:pPr>
      <w:r w:rsidRPr="0095425E">
        <w:rPr>
          <w:rFonts w:asciiTheme="minorHAnsi" w:eastAsiaTheme="minorEastAsia" w:hAnsiTheme="minorHAnsi" w:cstheme="minorBidi"/>
          <w:b/>
          <w:bCs/>
          <w:i/>
          <w:iCs/>
          <w:smallCaps w:val="0"/>
          <w:color w:val="000000" w:themeColor="text1"/>
          <w:sz w:val="18"/>
          <w:szCs w:val="18"/>
        </w:rPr>
        <w:t>Table 2</w:t>
      </w:r>
      <w:r w:rsidRPr="0095425E">
        <w:rPr>
          <w:rFonts w:asciiTheme="minorHAnsi" w:eastAsiaTheme="minorEastAsia" w:hAnsiTheme="minorHAnsi" w:cstheme="minorBidi"/>
          <w:smallCaps w:val="0"/>
          <w:color w:val="000000" w:themeColor="text1"/>
          <w:sz w:val="18"/>
          <w:szCs w:val="18"/>
        </w:rPr>
        <w:t xml:space="preserve"> shows the percentage of EFry Clients from 2017 – 2019 who accessed other legal services or</w:t>
      </w:r>
    </w:p>
    <w:p w14:paraId="02080584" w14:textId="4E5B1231" w:rsidR="00BD6AC8" w:rsidRPr="0095425E" w:rsidRDefault="270294E6" w:rsidP="270294E6">
      <w:pPr>
        <w:pStyle w:val="Title"/>
        <w:rPr>
          <w:rFonts w:asciiTheme="minorHAnsi" w:eastAsiaTheme="minorEastAsia" w:hAnsiTheme="minorHAnsi" w:cstheme="minorBidi"/>
          <w:smallCaps w:val="0"/>
          <w:color w:val="000000"/>
          <w:sz w:val="18"/>
          <w:szCs w:val="18"/>
        </w:rPr>
      </w:pPr>
      <w:r w:rsidRPr="0095425E">
        <w:rPr>
          <w:rFonts w:asciiTheme="minorHAnsi" w:eastAsiaTheme="minorEastAsia" w:hAnsiTheme="minorHAnsi" w:cstheme="minorBidi"/>
          <w:smallCaps w:val="0"/>
          <w:color w:val="000000" w:themeColor="text1"/>
          <w:sz w:val="18"/>
          <w:szCs w:val="18"/>
        </w:rPr>
        <w:t xml:space="preserve">had a legal issue EFry was unable to assist with.  </w:t>
      </w:r>
    </w:p>
    <w:p w14:paraId="6AF5BF22" w14:textId="77777777" w:rsidR="00785706" w:rsidRDefault="00785706" w:rsidP="00785706">
      <w:pPr>
        <w:pStyle w:val="NoSpacing"/>
        <w:spacing w:line="264" w:lineRule="auto"/>
        <w:rPr>
          <w:rFonts w:asciiTheme="minorHAnsi" w:eastAsiaTheme="minorEastAsia" w:hAnsiTheme="minorHAnsi" w:cstheme="minorBidi"/>
        </w:rPr>
      </w:pPr>
    </w:p>
    <w:p w14:paraId="0BA6FC21" w14:textId="58122E82" w:rsidR="00175434" w:rsidRDefault="270294E6" w:rsidP="00785706">
      <w:pPr>
        <w:pStyle w:val="NoSpacing"/>
        <w:spacing w:line="264" w:lineRule="auto"/>
        <w:rPr>
          <w:rFonts w:asciiTheme="minorHAnsi" w:eastAsiaTheme="minorEastAsia" w:hAnsiTheme="minorHAnsi" w:cstheme="minorBidi"/>
        </w:rPr>
      </w:pPr>
      <w:r w:rsidRPr="0095425E">
        <w:rPr>
          <w:rFonts w:asciiTheme="minorHAnsi" w:eastAsiaTheme="minorEastAsia" w:hAnsiTheme="minorHAnsi" w:cstheme="minorBidi"/>
        </w:rPr>
        <w:t xml:space="preserve">With the ongoing recession and continued cuts to Legal Aid, it makes sense that we see a decrease in people using traditional legal services, alongside </w:t>
      </w:r>
      <w:r w:rsidR="00785706">
        <w:rPr>
          <w:rFonts w:asciiTheme="minorHAnsi" w:eastAsiaTheme="minorEastAsia" w:hAnsiTheme="minorHAnsi" w:cstheme="minorBidi"/>
        </w:rPr>
        <w:t xml:space="preserve">of </w:t>
      </w:r>
      <w:r w:rsidRPr="0095425E">
        <w:rPr>
          <w:rFonts w:asciiTheme="minorHAnsi" w:eastAsiaTheme="minorEastAsia" w:hAnsiTheme="minorHAnsi" w:cstheme="minorBidi"/>
        </w:rPr>
        <w:t xml:space="preserve">a steady increase accessing our Legal Advocacy Program. The percentage of clients our Legal Advocates assisted has increased by 91% from 2017 to 2019 - essentially doubling their caseloads in just two years’ time. Notably, these numbers do not include the caseloads of our Immigrant Legal Advocacy Program, which is outlined in a later section of this report. </w:t>
      </w:r>
    </w:p>
    <w:p w14:paraId="202335D0" w14:textId="77777777" w:rsidR="00175434" w:rsidRPr="0095425E" w:rsidRDefault="00175434" w:rsidP="270294E6">
      <w:pPr>
        <w:pStyle w:val="NoSpacing"/>
        <w:spacing w:line="264" w:lineRule="auto"/>
        <w:rPr>
          <w:rFonts w:asciiTheme="minorHAnsi" w:eastAsiaTheme="minorEastAsia" w:hAnsiTheme="minorHAnsi" w:cstheme="minorBidi"/>
        </w:rPr>
      </w:pPr>
    </w:p>
    <w:p w14:paraId="43B83BF7" w14:textId="19A358E5" w:rsidR="00B83626" w:rsidRPr="00280506" w:rsidRDefault="270294E6" w:rsidP="009718FA">
      <w:pPr>
        <w:pStyle w:val="NoSpacing"/>
        <w:spacing w:line="264" w:lineRule="auto"/>
        <w:rPr>
          <w:rFonts w:asciiTheme="minorHAnsi" w:eastAsiaTheme="minorEastAsia" w:hAnsiTheme="minorHAnsi" w:cstheme="minorBidi"/>
        </w:rPr>
      </w:pPr>
      <w:r w:rsidRPr="0095425E">
        <w:rPr>
          <w:rFonts w:asciiTheme="minorHAnsi" w:eastAsiaTheme="minorEastAsia" w:hAnsiTheme="minorHAnsi" w:cstheme="minorBidi"/>
        </w:rPr>
        <w:t>In response to the high demand</w:t>
      </w:r>
      <w:r w:rsidR="009718FA">
        <w:rPr>
          <w:rFonts w:asciiTheme="minorHAnsi" w:eastAsiaTheme="minorEastAsia" w:hAnsiTheme="minorHAnsi" w:cstheme="minorBidi"/>
        </w:rPr>
        <w:t xml:space="preserve"> of this service</w:t>
      </w:r>
      <w:r w:rsidRPr="0095425E">
        <w:rPr>
          <w:rFonts w:asciiTheme="minorHAnsi" w:eastAsiaTheme="minorEastAsia" w:hAnsiTheme="minorHAnsi" w:cstheme="minorBidi"/>
        </w:rPr>
        <w:t xml:space="preserve">, we recently added a new Legal Advocate to assist individuals in Strathmore and </w:t>
      </w:r>
      <w:proofErr w:type="spellStart"/>
      <w:r w:rsidRPr="0095425E">
        <w:rPr>
          <w:rFonts w:asciiTheme="minorHAnsi" w:eastAsiaTheme="minorEastAsia" w:hAnsiTheme="minorHAnsi" w:cstheme="minorBidi"/>
        </w:rPr>
        <w:t>Siksika</w:t>
      </w:r>
      <w:proofErr w:type="spellEnd"/>
      <w:r w:rsidR="009718FA">
        <w:rPr>
          <w:rFonts w:asciiTheme="minorHAnsi" w:eastAsiaTheme="minorEastAsia" w:hAnsiTheme="minorHAnsi" w:cstheme="minorBidi"/>
        </w:rPr>
        <w:t xml:space="preserve"> First Nation, and expanded our Legal Advocate services into Eden Valley alongside of our support on Morley (Stoney </w:t>
      </w:r>
      <w:proofErr w:type="spellStart"/>
      <w:r w:rsidR="009718FA">
        <w:rPr>
          <w:rFonts w:asciiTheme="minorHAnsi" w:eastAsiaTheme="minorEastAsia" w:hAnsiTheme="minorHAnsi" w:cstheme="minorBidi"/>
        </w:rPr>
        <w:t>Nakoda</w:t>
      </w:r>
      <w:proofErr w:type="spellEnd"/>
      <w:r w:rsidR="009718FA">
        <w:rPr>
          <w:rFonts w:asciiTheme="minorHAnsi" w:eastAsiaTheme="minorEastAsia" w:hAnsiTheme="minorHAnsi" w:cstheme="minorBidi"/>
        </w:rPr>
        <w:t xml:space="preserve"> First Nations); </w:t>
      </w:r>
      <w:r w:rsidRPr="0095425E">
        <w:rPr>
          <w:rFonts w:asciiTheme="minorHAnsi" w:eastAsiaTheme="minorEastAsia" w:hAnsiTheme="minorHAnsi" w:cstheme="minorBidi"/>
        </w:rPr>
        <w:t xml:space="preserve">as well as an Indigenous Legal Advocate to help clients navigate the new Calgary Indigenous Court.  With these added roles we will see an even greater increase in our number of clients served in 2020 compared to earlier years. </w:t>
      </w:r>
    </w:p>
    <w:p w14:paraId="0DE156B1" w14:textId="5545A45D" w:rsidR="00AD6421" w:rsidRPr="0095425E" w:rsidRDefault="270294E6" w:rsidP="009718FA">
      <w:pPr>
        <w:rPr>
          <w:rFonts w:asciiTheme="minorHAnsi" w:eastAsiaTheme="minorEastAsia" w:hAnsiTheme="minorHAnsi" w:cstheme="minorBidi"/>
          <w:lang w:val="en-CA"/>
        </w:rPr>
      </w:pPr>
      <w:r w:rsidRPr="0095425E">
        <w:rPr>
          <w:rFonts w:asciiTheme="minorHAnsi" w:eastAsiaTheme="minorEastAsia" w:hAnsiTheme="minorHAnsi" w:cstheme="minorBidi"/>
          <w:lang w:val="en-CA"/>
        </w:rPr>
        <w:t xml:space="preserve">Based on client evaluations, our </w:t>
      </w:r>
      <w:r w:rsidR="009718FA">
        <w:rPr>
          <w:rFonts w:asciiTheme="minorHAnsi" w:eastAsiaTheme="minorEastAsia" w:hAnsiTheme="minorHAnsi" w:cstheme="minorBidi"/>
          <w:lang w:val="en-CA"/>
        </w:rPr>
        <w:t>L</w:t>
      </w:r>
      <w:r w:rsidRPr="0095425E">
        <w:rPr>
          <w:rFonts w:asciiTheme="minorHAnsi" w:eastAsiaTheme="minorEastAsia" w:hAnsiTheme="minorHAnsi" w:cstheme="minorBidi"/>
          <w:lang w:val="en-CA"/>
        </w:rPr>
        <w:t xml:space="preserve">egal </w:t>
      </w:r>
      <w:r w:rsidR="009718FA">
        <w:rPr>
          <w:rFonts w:asciiTheme="minorHAnsi" w:eastAsiaTheme="minorEastAsia" w:hAnsiTheme="minorHAnsi" w:cstheme="minorBidi"/>
          <w:lang w:val="en-CA"/>
        </w:rPr>
        <w:t>Ad</w:t>
      </w:r>
      <w:r w:rsidRPr="0095425E">
        <w:rPr>
          <w:rFonts w:asciiTheme="minorHAnsi" w:eastAsiaTheme="minorEastAsia" w:hAnsiTheme="minorHAnsi" w:cstheme="minorBidi"/>
          <w:lang w:val="en-CA"/>
        </w:rPr>
        <w:t xml:space="preserve">vocacy </w:t>
      </w:r>
      <w:r w:rsidR="009718FA">
        <w:rPr>
          <w:rFonts w:asciiTheme="minorHAnsi" w:eastAsiaTheme="minorEastAsia" w:hAnsiTheme="minorHAnsi" w:cstheme="minorBidi"/>
          <w:lang w:val="en-CA"/>
        </w:rPr>
        <w:t>P</w:t>
      </w:r>
      <w:r w:rsidRPr="0095425E">
        <w:rPr>
          <w:rFonts w:asciiTheme="minorHAnsi" w:eastAsiaTheme="minorEastAsia" w:hAnsiTheme="minorHAnsi" w:cstheme="minorBidi"/>
          <w:lang w:val="en-CA"/>
        </w:rPr>
        <w:t>rogram</w:t>
      </w:r>
      <w:r w:rsidR="009718FA">
        <w:rPr>
          <w:rFonts w:asciiTheme="minorHAnsi" w:eastAsiaTheme="minorEastAsia" w:hAnsiTheme="minorHAnsi" w:cstheme="minorBidi"/>
          <w:lang w:val="en-CA"/>
        </w:rPr>
        <w:t>s</w:t>
      </w:r>
      <w:r w:rsidRPr="0095425E">
        <w:rPr>
          <w:rFonts w:asciiTheme="minorHAnsi" w:eastAsiaTheme="minorEastAsia" w:hAnsiTheme="minorHAnsi" w:cstheme="minorBidi"/>
          <w:lang w:val="en-CA"/>
        </w:rPr>
        <w:t xml:space="preserve"> </w:t>
      </w:r>
      <w:r w:rsidR="009718FA">
        <w:rPr>
          <w:rFonts w:asciiTheme="minorHAnsi" w:eastAsiaTheme="minorEastAsia" w:hAnsiTheme="minorHAnsi" w:cstheme="minorBidi"/>
          <w:lang w:val="en-CA"/>
        </w:rPr>
        <w:t>are</w:t>
      </w:r>
      <w:r w:rsidRPr="0095425E">
        <w:rPr>
          <w:rFonts w:asciiTheme="minorHAnsi" w:eastAsiaTheme="minorEastAsia" w:hAnsiTheme="minorHAnsi" w:cstheme="minorBidi"/>
          <w:lang w:val="en-CA"/>
        </w:rPr>
        <w:t xml:space="preserve"> clearly effective legal resource</w:t>
      </w:r>
      <w:r w:rsidR="009718FA">
        <w:rPr>
          <w:rFonts w:asciiTheme="minorHAnsi" w:eastAsiaTheme="minorEastAsia" w:hAnsiTheme="minorHAnsi" w:cstheme="minorBidi"/>
          <w:lang w:val="en-CA"/>
        </w:rPr>
        <w:t xml:space="preserve"> to our client base</w:t>
      </w:r>
      <w:r w:rsidRPr="0095425E">
        <w:rPr>
          <w:rFonts w:asciiTheme="minorHAnsi" w:eastAsiaTheme="minorEastAsia" w:hAnsiTheme="minorHAnsi" w:cstheme="minorBidi"/>
          <w:lang w:val="en-CA"/>
        </w:rPr>
        <w:t xml:space="preserve">. In 2019, 99% of clients reported that EFry helped resolve their legal matters and 98% would recommend EFry to others. This is an increase from 2018, in which 89% of clients reported that EFry helped resolve their legal issue and 95% stated that they would recommend the Legal Advocacy Program. </w:t>
      </w:r>
    </w:p>
    <w:p w14:paraId="36C3C50B" w14:textId="18F2916A" w:rsidR="00C31740" w:rsidRDefault="270294E6" w:rsidP="270294E6">
      <w:pPr>
        <w:spacing w:before="0" w:after="0" w:line="240" w:lineRule="auto"/>
        <w:rPr>
          <w:rFonts w:asciiTheme="minorHAnsi" w:eastAsiaTheme="minorEastAsia" w:hAnsiTheme="minorHAnsi" w:cstheme="minorBidi"/>
          <w:b/>
          <w:bCs/>
        </w:rPr>
      </w:pPr>
      <w:r w:rsidRPr="270294E6">
        <w:rPr>
          <w:rFonts w:asciiTheme="minorHAnsi" w:eastAsiaTheme="minorEastAsia" w:hAnsiTheme="minorHAnsi" w:cstheme="minorBidi"/>
          <w:b/>
          <w:bCs/>
        </w:rPr>
        <w:t>Q: What percentage of Legal Advocate clients are involved in criminal cases? What is the nature of those cases?</w:t>
      </w:r>
    </w:p>
    <w:p w14:paraId="4064C61E" w14:textId="11534ECC" w:rsidR="270294E6" w:rsidRPr="0095425E" w:rsidRDefault="270294E6" w:rsidP="270294E6">
      <w:pPr>
        <w:spacing w:before="0" w:after="0" w:line="240" w:lineRule="auto"/>
        <w:rPr>
          <w:rFonts w:asciiTheme="minorHAnsi" w:eastAsiaTheme="minorEastAsia" w:hAnsiTheme="minorHAnsi" w:cstheme="minorBidi"/>
          <w:b/>
          <w:bCs/>
        </w:rPr>
      </w:pPr>
    </w:p>
    <w:p w14:paraId="45DA431B" w14:textId="55382352" w:rsidR="006D33A1" w:rsidRDefault="270294E6" w:rsidP="270294E6">
      <w:pPr>
        <w:spacing w:before="0" w:after="0" w:line="240" w:lineRule="auto"/>
        <w:rPr>
          <w:rFonts w:asciiTheme="minorHAnsi" w:eastAsiaTheme="minorEastAsia" w:hAnsiTheme="minorHAnsi" w:cstheme="minorBidi"/>
        </w:rPr>
      </w:pPr>
      <w:r w:rsidRPr="0095425E">
        <w:rPr>
          <w:rFonts w:asciiTheme="minorHAnsi" w:eastAsiaTheme="minorEastAsia" w:hAnsiTheme="minorHAnsi" w:cstheme="minorBidi"/>
        </w:rPr>
        <w:t>The table below shows the distribution of legal issues that our Legal Advocates addressed in the last three years. The percentage of clients requiring assistance in criminal issues averages to 27% across all three years. It is important to note that we also have court support programs which aid in youth and adult criminal court</w:t>
      </w:r>
      <w:r w:rsidR="009718FA">
        <w:rPr>
          <w:rFonts w:asciiTheme="minorHAnsi" w:eastAsiaTheme="minorEastAsia" w:hAnsiTheme="minorHAnsi" w:cstheme="minorBidi"/>
        </w:rPr>
        <w:t>s</w:t>
      </w:r>
      <w:r w:rsidRPr="0095425E">
        <w:rPr>
          <w:rFonts w:asciiTheme="minorHAnsi" w:eastAsiaTheme="minorEastAsia" w:hAnsiTheme="minorHAnsi" w:cstheme="minorBidi"/>
        </w:rPr>
        <w:t xml:space="preserve"> in Calgary</w:t>
      </w:r>
      <w:r w:rsidR="003B6377">
        <w:rPr>
          <w:rFonts w:asciiTheme="minorHAnsi" w:eastAsiaTheme="minorEastAsia" w:hAnsiTheme="minorHAnsi" w:cstheme="minorBidi"/>
        </w:rPr>
        <w:t>, Lethbridge</w:t>
      </w:r>
      <w:r w:rsidRPr="0095425E">
        <w:rPr>
          <w:rFonts w:asciiTheme="minorHAnsi" w:eastAsiaTheme="minorEastAsia" w:hAnsiTheme="minorHAnsi" w:cstheme="minorBidi"/>
        </w:rPr>
        <w:t xml:space="preserve"> and Southern Regional areas</w:t>
      </w:r>
      <w:r w:rsidR="009718FA">
        <w:rPr>
          <w:rFonts w:asciiTheme="minorHAnsi" w:eastAsiaTheme="minorEastAsia" w:hAnsiTheme="minorHAnsi" w:cstheme="minorBidi"/>
        </w:rPr>
        <w:t>, therefore this percentage</w:t>
      </w:r>
      <w:r w:rsidR="003B6377">
        <w:rPr>
          <w:rFonts w:asciiTheme="minorHAnsi" w:eastAsiaTheme="minorEastAsia" w:hAnsiTheme="minorHAnsi" w:cstheme="minorBidi"/>
        </w:rPr>
        <w:t xml:space="preserve"> is reflective of those who access</w:t>
      </w:r>
      <w:r w:rsidR="009718FA">
        <w:rPr>
          <w:rFonts w:asciiTheme="minorHAnsi" w:eastAsiaTheme="minorEastAsia" w:hAnsiTheme="minorHAnsi" w:cstheme="minorBidi"/>
        </w:rPr>
        <w:t xml:space="preserve"> individualized Legal Advocacy supports</w:t>
      </w:r>
      <w:r w:rsidR="003B6377">
        <w:rPr>
          <w:rFonts w:asciiTheme="minorHAnsi" w:eastAsiaTheme="minorEastAsia" w:hAnsiTheme="minorHAnsi" w:cstheme="minorBidi"/>
        </w:rPr>
        <w:t xml:space="preserve"> outside of the courts</w:t>
      </w:r>
      <w:r w:rsidR="009718FA">
        <w:rPr>
          <w:rFonts w:asciiTheme="minorHAnsi" w:eastAsiaTheme="minorEastAsia" w:hAnsiTheme="minorHAnsi" w:cstheme="minorBidi"/>
        </w:rPr>
        <w:t>. EFry Court P</w:t>
      </w:r>
      <w:r w:rsidRPr="0095425E">
        <w:rPr>
          <w:rFonts w:asciiTheme="minorHAnsi" w:eastAsiaTheme="minorEastAsia" w:hAnsiTheme="minorHAnsi" w:cstheme="minorBidi"/>
        </w:rPr>
        <w:t>rograms focus on criminal</w:t>
      </w:r>
      <w:r w:rsidR="009718FA">
        <w:rPr>
          <w:rFonts w:asciiTheme="minorHAnsi" w:eastAsiaTheme="minorEastAsia" w:hAnsiTheme="minorHAnsi" w:cstheme="minorBidi"/>
        </w:rPr>
        <w:t>, domestic violence</w:t>
      </w:r>
      <w:r w:rsidRPr="0095425E">
        <w:rPr>
          <w:rFonts w:asciiTheme="minorHAnsi" w:eastAsiaTheme="minorEastAsia" w:hAnsiTheme="minorHAnsi" w:cstheme="minorBidi"/>
        </w:rPr>
        <w:t xml:space="preserve"> and traffic bylaw courts. Therefore, some of the work EFry carries out regarding criminal matters in the courts is diverted through highly trained volunteers and Volunteer Coordinators who provide legal information and resources on the court floors. In the</w:t>
      </w:r>
      <w:r w:rsidR="009718FA">
        <w:rPr>
          <w:rFonts w:asciiTheme="minorHAnsi" w:eastAsiaTheme="minorEastAsia" w:hAnsiTheme="minorHAnsi" w:cstheme="minorBidi"/>
        </w:rPr>
        <w:t xml:space="preserve"> case </w:t>
      </w:r>
      <w:r w:rsidR="009718FA">
        <w:rPr>
          <w:rFonts w:asciiTheme="minorHAnsi" w:eastAsiaTheme="minorEastAsia" w:hAnsiTheme="minorHAnsi" w:cstheme="minorBidi"/>
        </w:rPr>
        <w:lastRenderedPageBreak/>
        <w:t>of our court programs</w:t>
      </w:r>
      <w:r w:rsidRPr="0095425E">
        <w:rPr>
          <w:rFonts w:asciiTheme="minorHAnsi" w:eastAsiaTheme="minorEastAsia" w:hAnsiTheme="minorHAnsi" w:cstheme="minorBidi"/>
        </w:rPr>
        <w:t>, individualized support is not required. Our Legal Advocacy Programs tend to focus more on those who are falling through the cracks of the legal system</w:t>
      </w:r>
      <w:r w:rsidR="009718FA">
        <w:rPr>
          <w:rFonts w:asciiTheme="minorHAnsi" w:eastAsiaTheme="minorEastAsia" w:hAnsiTheme="minorHAnsi" w:cstheme="minorBidi"/>
        </w:rPr>
        <w:t xml:space="preserve">, although some of these individuals may have originated from our court programs for further assistance. </w:t>
      </w:r>
    </w:p>
    <w:p w14:paraId="2A162C81" w14:textId="5C0D7B25" w:rsidR="270294E6" w:rsidRPr="0095425E" w:rsidRDefault="270294E6" w:rsidP="270294E6">
      <w:pPr>
        <w:spacing w:before="0" w:after="0" w:line="240" w:lineRule="auto"/>
        <w:rPr>
          <w:rFonts w:asciiTheme="minorHAnsi" w:eastAsiaTheme="minorEastAsia" w:hAnsiTheme="minorHAnsi" w:cstheme="minorBidi"/>
        </w:rPr>
      </w:pPr>
    </w:p>
    <w:tbl>
      <w:tblPr>
        <w:tblW w:w="8704" w:type="dxa"/>
        <w:tblInd w:w="-10" w:type="dxa"/>
        <w:tblLayout w:type="fixed"/>
        <w:tblCellMar>
          <w:top w:w="15" w:type="dxa"/>
          <w:bottom w:w="15" w:type="dxa"/>
        </w:tblCellMar>
        <w:tblLook w:val="04A0" w:firstRow="1" w:lastRow="0" w:firstColumn="1" w:lastColumn="0" w:noHBand="0" w:noVBand="1"/>
      </w:tblPr>
      <w:tblGrid>
        <w:gridCol w:w="2066"/>
        <w:gridCol w:w="916"/>
        <w:gridCol w:w="1945"/>
        <w:gridCol w:w="916"/>
        <w:gridCol w:w="1945"/>
        <w:gridCol w:w="916"/>
      </w:tblGrid>
      <w:tr w:rsidR="000A5B09" w:rsidRPr="000A5B09" w14:paraId="6AE2AA7E" w14:textId="77777777" w:rsidTr="270294E6">
        <w:trPr>
          <w:trHeight w:val="444"/>
        </w:trPr>
        <w:tc>
          <w:tcPr>
            <w:tcW w:w="2982" w:type="dxa"/>
            <w:gridSpan w:val="2"/>
            <w:tcBorders>
              <w:top w:val="single" w:sz="4" w:space="0" w:color="auto"/>
              <w:left w:val="single" w:sz="4" w:space="0" w:color="auto"/>
              <w:bottom w:val="single" w:sz="8" w:space="0" w:color="auto"/>
              <w:right w:val="single" w:sz="4" w:space="0" w:color="auto"/>
            </w:tcBorders>
            <w:shd w:val="clear" w:color="auto" w:fill="A8D08D" w:themeFill="accent6" w:themeFillTint="99"/>
            <w:vAlign w:val="center"/>
          </w:tcPr>
          <w:p w14:paraId="69369ED1" w14:textId="55D250FB" w:rsidR="000A5B09"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Theme="minorHAnsi" w:eastAsiaTheme="minorEastAsia" w:hAnsiTheme="minorHAnsi" w:cstheme="minorBidi"/>
                <w:b/>
                <w:bCs/>
                <w:color w:val="auto"/>
                <w:lang w:val="en-CA"/>
              </w:rPr>
            </w:pPr>
            <w:r w:rsidRPr="006B7AFB">
              <w:rPr>
                <w:rFonts w:asciiTheme="minorHAnsi" w:eastAsiaTheme="minorEastAsia" w:hAnsiTheme="minorHAnsi" w:cstheme="minorBidi"/>
                <w:b/>
                <w:bCs/>
                <w:color w:val="auto"/>
                <w:lang w:val="en-CA"/>
              </w:rPr>
              <w:t>Legal Advocacy 2019</w:t>
            </w:r>
          </w:p>
        </w:tc>
        <w:tc>
          <w:tcPr>
            <w:tcW w:w="2861" w:type="dxa"/>
            <w:gridSpan w:val="2"/>
            <w:tcBorders>
              <w:top w:val="single" w:sz="8" w:space="0" w:color="auto"/>
              <w:left w:val="single" w:sz="4" w:space="0" w:color="auto"/>
              <w:bottom w:val="single" w:sz="8" w:space="0" w:color="auto"/>
              <w:right w:val="single" w:sz="8" w:space="0" w:color="auto"/>
            </w:tcBorders>
            <w:shd w:val="clear" w:color="auto" w:fill="BDD6EE" w:themeFill="accent5" w:themeFillTint="66"/>
            <w:vAlign w:val="center"/>
          </w:tcPr>
          <w:p w14:paraId="6F77B3A1" w14:textId="2E9B9C13" w:rsidR="000A5B09"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Theme="minorHAnsi" w:eastAsiaTheme="minorEastAsia" w:hAnsiTheme="minorHAnsi" w:cstheme="minorBidi"/>
                <w:b/>
                <w:bCs/>
                <w:color w:val="auto"/>
                <w:lang w:val="en-CA"/>
              </w:rPr>
            </w:pPr>
            <w:r w:rsidRPr="006B7AFB">
              <w:rPr>
                <w:rFonts w:asciiTheme="minorHAnsi" w:eastAsiaTheme="minorEastAsia" w:hAnsiTheme="minorHAnsi" w:cstheme="minorBidi"/>
                <w:b/>
                <w:bCs/>
                <w:color w:val="auto"/>
                <w:lang w:val="en-CA"/>
              </w:rPr>
              <w:t xml:space="preserve"> Legal Advocacy 2018</w:t>
            </w:r>
          </w:p>
        </w:tc>
        <w:tc>
          <w:tcPr>
            <w:tcW w:w="2861" w:type="dxa"/>
            <w:gridSpan w:val="2"/>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5E33236B" w14:textId="2483BB4B" w:rsidR="000A5B09" w:rsidRPr="006B7AFB" w:rsidRDefault="270294E6" w:rsidP="270294E6">
            <w:pPr>
              <w:pBdr>
                <w:top w:val="none" w:sz="0" w:space="0" w:color="auto"/>
                <w:left w:val="none" w:sz="0" w:space="0" w:color="auto"/>
                <w:bottom w:val="none" w:sz="0" w:space="0" w:color="auto"/>
                <w:right w:val="none" w:sz="0" w:space="0" w:color="auto"/>
                <w:between w:val="none" w:sz="0" w:space="0" w:color="auto"/>
              </w:pBdr>
              <w:tabs>
                <w:tab w:val="left" w:pos="735"/>
              </w:tabs>
              <w:spacing w:before="0" w:after="0" w:line="240" w:lineRule="auto"/>
              <w:jc w:val="center"/>
              <w:rPr>
                <w:rFonts w:asciiTheme="minorHAnsi" w:eastAsiaTheme="minorEastAsia" w:hAnsiTheme="minorHAnsi" w:cstheme="minorBidi"/>
                <w:b/>
                <w:bCs/>
                <w:color w:val="auto"/>
                <w:lang w:val="en-CA"/>
              </w:rPr>
            </w:pPr>
            <w:r w:rsidRPr="006B7AFB">
              <w:rPr>
                <w:rFonts w:asciiTheme="minorHAnsi" w:eastAsiaTheme="minorEastAsia" w:hAnsiTheme="minorHAnsi" w:cstheme="minorBidi"/>
                <w:b/>
                <w:bCs/>
                <w:color w:val="auto"/>
                <w:lang w:val="en-CA"/>
              </w:rPr>
              <w:t>Legal Advocacy 2017</w:t>
            </w:r>
          </w:p>
        </w:tc>
      </w:tr>
      <w:tr w:rsidR="000A5B09" w:rsidRPr="000A5B09" w14:paraId="4B79C7EC" w14:textId="77777777" w:rsidTr="270294E6">
        <w:trPr>
          <w:trHeight w:val="444"/>
        </w:trPr>
        <w:tc>
          <w:tcPr>
            <w:tcW w:w="2066" w:type="dxa"/>
            <w:tcBorders>
              <w:top w:val="single" w:sz="8" w:space="0" w:color="auto"/>
              <w:left w:val="single" w:sz="4" w:space="0" w:color="auto"/>
              <w:bottom w:val="single" w:sz="8" w:space="0" w:color="auto"/>
              <w:right w:val="single" w:sz="4" w:space="0" w:color="auto"/>
            </w:tcBorders>
            <w:shd w:val="clear" w:color="auto" w:fill="E2EFD9" w:themeFill="accent6" w:themeFillTint="33"/>
            <w:vAlign w:val="center"/>
            <w:hideMark/>
          </w:tcPr>
          <w:p w14:paraId="14B38FD3" w14:textId="77777777" w:rsidR="000A5B09"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Theme="minorHAnsi" w:eastAsiaTheme="minorEastAsia" w:hAnsiTheme="minorHAnsi" w:cstheme="minorBidi"/>
                <w:b/>
                <w:bCs/>
                <w:color w:val="auto"/>
                <w:lang w:val="en-CA"/>
              </w:rPr>
            </w:pPr>
            <w:r w:rsidRPr="006B7AFB">
              <w:rPr>
                <w:rFonts w:asciiTheme="minorHAnsi" w:eastAsiaTheme="minorEastAsia" w:hAnsiTheme="minorHAnsi" w:cstheme="minorBidi"/>
                <w:b/>
                <w:bCs/>
                <w:color w:val="auto"/>
                <w:lang w:val="en-CA"/>
              </w:rPr>
              <w:t>Presenting Legal Issue</w:t>
            </w:r>
          </w:p>
        </w:tc>
        <w:tc>
          <w:tcPr>
            <w:tcW w:w="916" w:type="dxa"/>
            <w:tcBorders>
              <w:top w:val="single" w:sz="8" w:space="0" w:color="auto"/>
              <w:left w:val="single" w:sz="4" w:space="0" w:color="auto"/>
              <w:bottom w:val="single" w:sz="8" w:space="0" w:color="auto"/>
              <w:right w:val="single" w:sz="4" w:space="0" w:color="auto"/>
            </w:tcBorders>
            <w:shd w:val="clear" w:color="auto" w:fill="E2EFD9" w:themeFill="accent6" w:themeFillTint="33"/>
            <w:noWrap/>
            <w:vAlign w:val="center"/>
            <w:hideMark/>
          </w:tcPr>
          <w:p w14:paraId="47A1426E" w14:textId="77777777" w:rsidR="000A5B09"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Theme="minorHAnsi" w:eastAsiaTheme="minorEastAsia" w:hAnsiTheme="minorHAnsi" w:cstheme="minorBidi"/>
                <w:b/>
                <w:bCs/>
                <w:color w:val="auto"/>
                <w:lang w:val="en-CA"/>
              </w:rPr>
            </w:pPr>
            <w:r w:rsidRPr="006B7AFB">
              <w:rPr>
                <w:rFonts w:asciiTheme="minorHAnsi" w:eastAsiaTheme="minorEastAsia" w:hAnsiTheme="minorHAnsi" w:cstheme="minorBidi"/>
                <w:b/>
                <w:bCs/>
                <w:color w:val="auto"/>
                <w:lang w:val="en-CA"/>
              </w:rPr>
              <w:t>%</w:t>
            </w:r>
          </w:p>
        </w:tc>
        <w:tc>
          <w:tcPr>
            <w:tcW w:w="1945" w:type="dxa"/>
            <w:tcBorders>
              <w:top w:val="single" w:sz="8" w:space="0" w:color="auto"/>
              <w:left w:val="single" w:sz="4" w:space="0" w:color="auto"/>
              <w:bottom w:val="single" w:sz="8" w:space="0" w:color="auto"/>
              <w:right w:val="single" w:sz="4" w:space="0" w:color="auto"/>
            </w:tcBorders>
            <w:shd w:val="clear" w:color="auto" w:fill="DEEAF6" w:themeFill="accent5" w:themeFillTint="33"/>
            <w:vAlign w:val="center"/>
          </w:tcPr>
          <w:p w14:paraId="107E5952" w14:textId="77777777" w:rsidR="000A5B09"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Theme="minorHAnsi" w:eastAsiaTheme="minorEastAsia" w:hAnsiTheme="minorHAnsi" w:cstheme="minorBidi"/>
                <w:b/>
                <w:bCs/>
                <w:color w:val="auto"/>
                <w:lang w:val="en-CA"/>
              </w:rPr>
            </w:pPr>
            <w:r w:rsidRPr="006B7AFB">
              <w:rPr>
                <w:rFonts w:asciiTheme="minorHAnsi" w:eastAsiaTheme="minorEastAsia" w:hAnsiTheme="minorHAnsi" w:cstheme="minorBidi"/>
                <w:b/>
                <w:bCs/>
                <w:color w:val="auto"/>
                <w:lang w:val="en-CA"/>
              </w:rPr>
              <w:t>Presenting Legal Issue</w:t>
            </w:r>
          </w:p>
        </w:tc>
        <w:tc>
          <w:tcPr>
            <w:tcW w:w="916" w:type="dxa"/>
            <w:tcBorders>
              <w:top w:val="single" w:sz="8" w:space="0" w:color="auto"/>
              <w:left w:val="single" w:sz="4" w:space="0" w:color="auto"/>
              <w:bottom w:val="single" w:sz="8" w:space="0" w:color="auto"/>
              <w:right w:val="single" w:sz="8" w:space="0" w:color="auto"/>
            </w:tcBorders>
            <w:shd w:val="clear" w:color="auto" w:fill="DEEAF6" w:themeFill="accent5" w:themeFillTint="33"/>
            <w:vAlign w:val="center"/>
          </w:tcPr>
          <w:p w14:paraId="5A354CB8" w14:textId="77777777" w:rsidR="000A5B09"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Theme="minorHAnsi" w:eastAsiaTheme="minorEastAsia" w:hAnsiTheme="minorHAnsi" w:cstheme="minorBidi"/>
                <w:b/>
                <w:bCs/>
                <w:color w:val="auto"/>
                <w:lang w:val="en-CA"/>
              </w:rPr>
            </w:pPr>
            <w:r w:rsidRPr="006B7AFB">
              <w:rPr>
                <w:rFonts w:asciiTheme="minorHAnsi" w:eastAsiaTheme="minorEastAsia" w:hAnsiTheme="minorHAnsi" w:cstheme="minorBidi"/>
                <w:b/>
                <w:bCs/>
                <w:color w:val="auto"/>
                <w:lang w:val="en-CA"/>
              </w:rPr>
              <w:t>%</w:t>
            </w:r>
          </w:p>
        </w:tc>
        <w:tc>
          <w:tcPr>
            <w:tcW w:w="1945" w:type="dxa"/>
            <w:tcBorders>
              <w:top w:val="single" w:sz="8" w:space="0" w:color="auto"/>
              <w:left w:val="single" w:sz="8" w:space="0" w:color="auto"/>
              <w:bottom w:val="single" w:sz="8" w:space="0" w:color="auto"/>
              <w:right w:val="single" w:sz="4" w:space="0" w:color="auto"/>
            </w:tcBorders>
            <w:shd w:val="clear" w:color="auto" w:fill="FFF2CC" w:themeFill="accent4" w:themeFillTint="33"/>
            <w:vAlign w:val="center"/>
          </w:tcPr>
          <w:p w14:paraId="49CD15F2" w14:textId="77777777" w:rsidR="000A5B09"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Theme="minorHAnsi" w:eastAsiaTheme="minorEastAsia" w:hAnsiTheme="minorHAnsi" w:cstheme="minorBidi"/>
                <w:b/>
                <w:bCs/>
                <w:color w:val="auto"/>
                <w:lang w:val="en-CA"/>
              </w:rPr>
            </w:pPr>
            <w:r w:rsidRPr="006B7AFB">
              <w:rPr>
                <w:rFonts w:asciiTheme="minorHAnsi" w:eastAsiaTheme="minorEastAsia" w:hAnsiTheme="minorHAnsi" w:cstheme="minorBidi"/>
                <w:b/>
                <w:bCs/>
                <w:color w:val="auto"/>
                <w:lang w:val="en-CA"/>
              </w:rPr>
              <w:t>Presenting Legal Issue</w:t>
            </w:r>
          </w:p>
        </w:tc>
        <w:tc>
          <w:tcPr>
            <w:tcW w:w="916" w:type="dxa"/>
            <w:tcBorders>
              <w:top w:val="single" w:sz="8" w:space="0" w:color="auto"/>
              <w:left w:val="single" w:sz="4" w:space="0" w:color="auto"/>
              <w:bottom w:val="single" w:sz="8" w:space="0" w:color="auto"/>
              <w:right w:val="single" w:sz="8" w:space="0" w:color="auto"/>
            </w:tcBorders>
            <w:shd w:val="clear" w:color="auto" w:fill="FFF2CC" w:themeFill="accent4" w:themeFillTint="33"/>
            <w:vAlign w:val="center"/>
          </w:tcPr>
          <w:p w14:paraId="5BCFBC5B" w14:textId="77777777" w:rsidR="000A5B09"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Theme="minorHAnsi" w:eastAsiaTheme="minorEastAsia" w:hAnsiTheme="minorHAnsi" w:cstheme="minorBidi"/>
                <w:b/>
                <w:bCs/>
                <w:color w:val="auto"/>
                <w:lang w:val="en-CA"/>
              </w:rPr>
            </w:pPr>
            <w:r w:rsidRPr="006B7AFB">
              <w:rPr>
                <w:rFonts w:asciiTheme="minorHAnsi" w:eastAsiaTheme="minorEastAsia" w:hAnsiTheme="minorHAnsi" w:cstheme="minorBidi"/>
                <w:b/>
                <w:bCs/>
                <w:color w:val="auto"/>
                <w:lang w:val="en-CA"/>
              </w:rPr>
              <w:t>%</w:t>
            </w:r>
          </w:p>
        </w:tc>
      </w:tr>
      <w:tr w:rsidR="002655D1" w:rsidRPr="000A5B09" w14:paraId="1920DA46" w14:textId="77777777" w:rsidTr="270294E6">
        <w:trPr>
          <w:trHeight w:val="342"/>
        </w:trPr>
        <w:tc>
          <w:tcPr>
            <w:tcW w:w="2066" w:type="dxa"/>
            <w:tcBorders>
              <w:top w:val="nil"/>
              <w:left w:val="single" w:sz="4" w:space="0" w:color="auto"/>
              <w:bottom w:val="single" w:sz="4" w:space="0" w:color="auto"/>
              <w:right w:val="single" w:sz="4" w:space="0" w:color="auto"/>
            </w:tcBorders>
            <w:shd w:val="clear" w:color="auto" w:fill="FFFFFF" w:themeFill="background1"/>
            <w:vAlign w:val="center"/>
            <w:hideMark/>
          </w:tcPr>
          <w:p w14:paraId="19F792E9" w14:textId="77777777" w:rsidR="000A5B09"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Theme="minorHAnsi" w:eastAsiaTheme="minorEastAsia" w:hAnsiTheme="minorHAnsi" w:cstheme="minorBidi"/>
                <w:color w:val="auto"/>
                <w:lang w:val="en-CA"/>
              </w:rPr>
            </w:pPr>
            <w:r w:rsidRPr="006B7AFB">
              <w:rPr>
                <w:rFonts w:asciiTheme="minorHAnsi" w:eastAsiaTheme="minorEastAsia" w:hAnsiTheme="minorHAnsi" w:cstheme="minorBidi"/>
                <w:color w:val="auto"/>
                <w:lang w:val="en-CA"/>
              </w:rPr>
              <w:t>Divorce</w:t>
            </w:r>
          </w:p>
        </w:tc>
        <w:tc>
          <w:tcPr>
            <w:tcW w:w="916" w:type="dxa"/>
            <w:tcBorders>
              <w:top w:val="nil"/>
              <w:left w:val="single" w:sz="4" w:space="0" w:color="auto"/>
              <w:bottom w:val="single" w:sz="4" w:space="0" w:color="auto"/>
              <w:right w:val="single" w:sz="4" w:space="0" w:color="auto"/>
            </w:tcBorders>
            <w:shd w:val="clear" w:color="auto" w:fill="FFFFFF" w:themeFill="background1"/>
            <w:noWrap/>
            <w:vAlign w:val="center"/>
          </w:tcPr>
          <w:p w14:paraId="49CBB6E2" w14:textId="77777777" w:rsidR="000A5B09"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Theme="minorHAnsi" w:eastAsiaTheme="minorEastAsia" w:hAnsiTheme="minorHAnsi" w:cstheme="minorBidi"/>
                <w:color w:val="auto"/>
                <w:lang w:val="en-CA"/>
              </w:rPr>
            </w:pPr>
            <w:r w:rsidRPr="006B7AFB">
              <w:rPr>
                <w:rFonts w:asciiTheme="minorHAnsi" w:eastAsiaTheme="minorEastAsia" w:hAnsiTheme="minorHAnsi" w:cstheme="minorBidi"/>
                <w:color w:val="auto"/>
                <w:lang w:val="en-CA"/>
              </w:rPr>
              <w:t>53%</w:t>
            </w:r>
          </w:p>
        </w:tc>
        <w:tc>
          <w:tcPr>
            <w:tcW w:w="1945" w:type="dxa"/>
            <w:tcBorders>
              <w:top w:val="nil"/>
              <w:left w:val="single" w:sz="4" w:space="0" w:color="auto"/>
              <w:bottom w:val="single" w:sz="4" w:space="0" w:color="auto"/>
              <w:right w:val="single" w:sz="4" w:space="0" w:color="auto"/>
            </w:tcBorders>
            <w:shd w:val="clear" w:color="auto" w:fill="FFFFFF" w:themeFill="background1"/>
            <w:vAlign w:val="center"/>
          </w:tcPr>
          <w:p w14:paraId="2733C575" w14:textId="77777777" w:rsidR="000A5B09"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Theme="minorHAnsi" w:eastAsiaTheme="minorEastAsia" w:hAnsiTheme="minorHAnsi" w:cstheme="minorBidi"/>
                <w:color w:val="auto"/>
                <w:lang w:val="en-CA"/>
              </w:rPr>
            </w:pPr>
            <w:r w:rsidRPr="006B7AFB">
              <w:rPr>
                <w:rFonts w:asciiTheme="minorHAnsi" w:eastAsiaTheme="minorEastAsia" w:hAnsiTheme="minorHAnsi" w:cstheme="minorBidi"/>
                <w:color w:val="auto"/>
                <w:lang w:val="en-CA"/>
              </w:rPr>
              <w:t>Divorce</w:t>
            </w:r>
          </w:p>
        </w:tc>
        <w:tc>
          <w:tcPr>
            <w:tcW w:w="916" w:type="dxa"/>
            <w:tcBorders>
              <w:top w:val="nil"/>
              <w:left w:val="single" w:sz="4" w:space="0" w:color="auto"/>
              <w:bottom w:val="single" w:sz="4" w:space="0" w:color="auto"/>
              <w:right w:val="single" w:sz="8" w:space="0" w:color="auto"/>
            </w:tcBorders>
            <w:shd w:val="clear" w:color="auto" w:fill="FFFFFF" w:themeFill="background1"/>
            <w:vAlign w:val="center"/>
          </w:tcPr>
          <w:p w14:paraId="082AECAE" w14:textId="77777777" w:rsidR="000A5B09"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Theme="minorHAnsi" w:eastAsiaTheme="minorEastAsia" w:hAnsiTheme="minorHAnsi" w:cstheme="minorBidi"/>
                <w:color w:val="auto"/>
                <w:lang w:val="en-CA"/>
              </w:rPr>
            </w:pPr>
            <w:r w:rsidRPr="006B7AFB">
              <w:rPr>
                <w:rFonts w:asciiTheme="minorHAnsi" w:eastAsiaTheme="minorEastAsia" w:hAnsiTheme="minorHAnsi" w:cstheme="minorBidi"/>
                <w:color w:val="auto"/>
                <w:lang w:val="en-CA"/>
              </w:rPr>
              <w:t>41%</w:t>
            </w:r>
          </w:p>
        </w:tc>
        <w:tc>
          <w:tcPr>
            <w:tcW w:w="1945" w:type="dxa"/>
            <w:tcBorders>
              <w:top w:val="nil"/>
              <w:left w:val="single" w:sz="8" w:space="0" w:color="auto"/>
              <w:bottom w:val="single" w:sz="4" w:space="0" w:color="auto"/>
              <w:right w:val="single" w:sz="4" w:space="0" w:color="auto"/>
            </w:tcBorders>
            <w:shd w:val="clear" w:color="auto" w:fill="FFFFFF" w:themeFill="background1"/>
            <w:vAlign w:val="center"/>
          </w:tcPr>
          <w:p w14:paraId="71C67426" w14:textId="77777777" w:rsidR="000A5B09"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Theme="minorHAnsi" w:eastAsiaTheme="minorEastAsia" w:hAnsiTheme="minorHAnsi" w:cstheme="minorBidi"/>
                <w:color w:val="auto"/>
                <w:lang w:val="en-CA"/>
              </w:rPr>
            </w:pPr>
            <w:r w:rsidRPr="006B7AFB">
              <w:rPr>
                <w:rFonts w:asciiTheme="minorHAnsi" w:eastAsiaTheme="minorEastAsia" w:hAnsiTheme="minorHAnsi" w:cstheme="minorBidi"/>
                <w:color w:val="auto"/>
                <w:lang w:val="en-CA"/>
              </w:rPr>
              <w:t>Divorce</w:t>
            </w:r>
          </w:p>
        </w:tc>
        <w:tc>
          <w:tcPr>
            <w:tcW w:w="916" w:type="dxa"/>
            <w:tcBorders>
              <w:top w:val="nil"/>
              <w:left w:val="single" w:sz="4" w:space="0" w:color="auto"/>
              <w:bottom w:val="single" w:sz="4" w:space="0" w:color="auto"/>
              <w:right w:val="single" w:sz="8" w:space="0" w:color="auto"/>
            </w:tcBorders>
            <w:shd w:val="clear" w:color="auto" w:fill="FFFFFF" w:themeFill="background1"/>
            <w:vAlign w:val="center"/>
          </w:tcPr>
          <w:p w14:paraId="6562C4B2" w14:textId="77777777" w:rsidR="000A5B09"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Theme="minorHAnsi" w:eastAsiaTheme="minorEastAsia" w:hAnsiTheme="minorHAnsi" w:cstheme="minorBidi"/>
                <w:color w:val="auto"/>
                <w:lang w:val="en-CA"/>
              </w:rPr>
            </w:pPr>
            <w:r w:rsidRPr="006B7AFB">
              <w:rPr>
                <w:rFonts w:asciiTheme="minorHAnsi" w:eastAsiaTheme="minorEastAsia" w:hAnsiTheme="minorHAnsi" w:cstheme="minorBidi"/>
                <w:color w:val="auto"/>
                <w:lang w:val="en-CA"/>
              </w:rPr>
              <w:t>33%</w:t>
            </w:r>
          </w:p>
        </w:tc>
      </w:tr>
      <w:tr w:rsidR="002655D1" w:rsidRPr="000A5B09" w14:paraId="3EA97020" w14:textId="77777777" w:rsidTr="270294E6">
        <w:trPr>
          <w:trHeight w:val="342"/>
        </w:trPr>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6281B4" w14:textId="77777777" w:rsidR="000A5B09"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Theme="minorHAnsi" w:eastAsiaTheme="minorEastAsia" w:hAnsiTheme="minorHAnsi" w:cstheme="minorBidi"/>
                <w:color w:val="auto"/>
                <w:lang w:val="en-CA"/>
              </w:rPr>
            </w:pPr>
            <w:r w:rsidRPr="006B7AFB">
              <w:rPr>
                <w:rFonts w:asciiTheme="minorHAnsi" w:eastAsiaTheme="minorEastAsia" w:hAnsiTheme="minorHAnsi" w:cstheme="minorBidi"/>
                <w:color w:val="auto"/>
                <w:lang w:val="en-CA"/>
              </w:rPr>
              <w:t>Family</w:t>
            </w:r>
          </w:p>
        </w:tc>
        <w:tc>
          <w:tcPr>
            <w:tcW w:w="916" w:type="dxa"/>
            <w:tcBorders>
              <w:top w:val="nil"/>
              <w:left w:val="single" w:sz="4" w:space="0" w:color="auto"/>
              <w:bottom w:val="single" w:sz="4" w:space="0" w:color="auto"/>
              <w:right w:val="single" w:sz="4" w:space="0" w:color="auto"/>
            </w:tcBorders>
            <w:shd w:val="clear" w:color="auto" w:fill="FFFFFF" w:themeFill="background1"/>
            <w:noWrap/>
            <w:vAlign w:val="center"/>
          </w:tcPr>
          <w:p w14:paraId="0A169ACE" w14:textId="77777777" w:rsidR="000A5B09"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Theme="minorHAnsi" w:eastAsiaTheme="minorEastAsia" w:hAnsiTheme="minorHAnsi" w:cstheme="minorBidi"/>
                <w:color w:val="auto"/>
                <w:lang w:val="en-CA"/>
              </w:rPr>
            </w:pPr>
            <w:r w:rsidRPr="006B7AFB">
              <w:rPr>
                <w:rFonts w:asciiTheme="minorHAnsi" w:eastAsiaTheme="minorEastAsia" w:hAnsiTheme="minorHAnsi" w:cstheme="minorBidi"/>
                <w:color w:val="auto"/>
                <w:lang w:val="en-CA"/>
              </w:rPr>
              <w:t>9%</w:t>
            </w:r>
          </w:p>
        </w:tc>
        <w:tc>
          <w:tcPr>
            <w:tcW w:w="1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3D7E18" w14:textId="77777777" w:rsidR="000A5B09"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Theme="minorHAnsi" w:eastAsiaTheme="minorEastAsia" w:hAnsiTheme="minorHAnsi" w:cstheme="minorBidi"/>
                <w:color w:val="auto"/>
                <w:lang w:val="en-CA"/>
              </w:rPr>
            </w:pPr>
            <w:r w:rsidRPr="006B7AFB">
              <w:rPr>
                <w:rFonts w:asciiTheme="minorHAnsi" w:eastAsiaTheme="minorEastAsia" w:hAnsiTheme="minorHAnsi" w:cstheme="minorBidi"/>
                <w:color w:val="auto"/>
                <w:lang w:val="en-CA"/>
              </w:rPr>
              <w:t>Family</w:t>
            </w:r>
          </w:p>
        </w:tc>
        <w:tc>
          <w:tcPr>
            <w:tcW w:w="916" w:type="dxa"/>
            <w:tcBorders>
              <w:top w:val="nil"/>
              <w:left w:val="single" w:sz="4" w:space="0" w:color="auto"/>
              <w:bottom w:val="single" w:sz="4" w:space="0" w:color="auto"/>
              <w:right w:val="single" w:sz="8" w:space="0" w:color="auto"/>
            </w:tcBorders>
            <w:shd w:val="clear" w:color="auto" w:fill="FFFFFF" w:themeFill="background1"/>
            <w:vAlign w:val="center"/>
          </w:tcPr>
          <w:p w14:paraId="721B2D77" w14:textId="77777777" w:rsidR="000A5B09"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Theme="minorHAnsi" w:eastAsiaTheme="minorEastAsia" w:hAnsiTheme="minorHAnsi" w:cstheme="minorBidi"/>
                <w:color w:val="auto"/>
                <w:lang w:val="en-CA"/>
              </w:rPr>
            </w:pPr>
            <w:r w:rsidRPr="006B7AFB">
              <w:rPr>
                <w:rFonts w:asciiTheme="minorHAnsi" w:eastAsiaTheme="minorEastAsia" w:hAnsiTheme="minorHAnsi" w:cstheme="minorBidi"/>
                <w:color w:val="auto"/>
                <w:lang w:val="en-CA"/>
              </w:rPr>
              <w:t>19%</w:t>
            </w:r>
          </w:p>
        </w:tc>
        <w:tc>
          <w:tcPr>
            <w:tcW w:w="1945"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17AC2AC4" w14:textId="77777777" w:rsidR="000A5B09"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Theme="minorHAnsi" w:eastAsiaTheme="minorEastAsia" w:hAnsiTheme="minorHAnsi" w:cstheme="minorBidi"/>
                <w:color w:val="auto"/>
                <w:lang w:val="en-CA"/>
              </w:rPr>
            </w:pPr>
            <w:r w:rsidRPr="006B7AFB">
              <w:rPr>
                <w:rFonts w:asciiTheme="minorHAnsi" w:eastAsiaTheme="minorEastAsia" w:hAnsiTheme="minorHAnsi" w:cstheme="minorBidi"/>
                <w:color w:val="auto"/>
                <w:lang w:val="en-CA"/>
              </w:rPr>
              <w:t>Family</w:t>
            </w:r>
          </w:p>
        </w:tc>
        <w:tc>
          <w:tcPr>
            <w:tcW w:w="916" w:type="dxa"/>
            <w:tcBorders>
              <w:top w:val="nil"/>
              <w:left w:val="single" w:sz="4" w:space="0" w:color="auto"/>
              <w:bottom w:val="single" w:sz="4" w:space="0" w:color="auto"/>
              <w:right w:val="single" w:sz="8" w:space="0" w:color="auto"/>
            </w:tcBorders>
            <w:shd w:val="clear" w:color="auto" w:fill="FFFFFF" w:themeFill="background1"/>
            <w:vAlign w:val="center"/>
          </w:tcPr>
          <w:p w14:paraId="42F1507C" w14:textId="77777777" w:rsidR="000A5B09"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Theme="minorHAnsi" w:eastAsiaTheme="minorEastAsia" w:hAnsiTheme="minorHAnsi" w:cstheme="minorBidi"/>
                <w:color w:val="auto"/>
                <w:lang w:val="en-CA"/>
              </w:rPr>
            </w:pPr>
            <w:r w:rsidRPr="006B7AFB">
              <w:rPr>
                <w:rFonts w:asciiTheme="minorHAnsi" w:eastAsiaTheme="minorEastAsia" w:hAnsiTheme="minorHAnsi" w:cstheme="minorBidi"/>
                <w:color w:val="auto"/>
                <w:lang w:val="en-CA"/>
              </w:rPr>
              <w:t>31%</w:t>
            </w:r>
          </w:p>
        </w:tc>
      </w:tr>
      <w:tr w:rsidR="002655D1" w:rsidRPr="000A5B09" w14:paraId="5572710C" w14:textId="77777777" w:rsidTr="270294E6">
        <w:trPr>
          <w:trHeight w:val="342"/>
        </w:trPr>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3F559E" w14:textId="77777777" w:rsidR="000A5B09"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Theme="minorHAnsi" w:eastAsiaTheme="minorEastAsia" w:hAnsiTheme="minorHAnsi" w:cstheme="minorBidi"/>
                <w:color w:val="auto"/>
                <w:lang w:val="en-CA"/>
              </w:rPr>
            </w:pPr>
            <w:r w:rsidRPr="006B7AFB">
              <w:rPr>
                <w:rFonts w:asciiTheme="minorHAnsi" w:eastAsiaTheme="minorEastAsia" w:hAnsiTheme="minorHAnsi" w:cstheme="minorBidi"/>
                <w:color w:val="auto"/>
                <w:lang w:val="en-CA"/>
              </w:rPr>
              <w:t>Civil</w:t>
            </w:r>
          </w:p>
        </w:tc>
        <w:tc>
          <w:tcPr>
            <w:tcW w:w="916" w:type="dxa"/>
            <w:tcBorders>
              <w:top w:val="nil"/>
              <w:left w:val="single" w:sz="4" w:space="0" w:color="auto"/>
              <w:bottom w:val="single" w:sz="4" w:space="0" w:color="auto"/>
              <w:right w:val="single" w:sz="4" w:space="0" w:color="auto"/>
            </w:tcBorders>
            <w:shd w:val="clear" w:color="auto" w:fill="FFFFFF" w:themeFill="background1"/>
            <w:noWrap/>
            <w:vAlign w:val="center"/>
          </w:tcPr>
          <w:p w14:paraId="69C447A4" w14:textId="77777777" w:rsidR="000A5B09"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Theme="minorHAnsi" w:eastAsiaTheme="minorEastAsia" w:hAnsiTheme="minorHAnsi" w:cstheme="minorBidi"/>
                <w:color w:val="auto"/>
                <w:lang w:val="en-CA"/>
              </w:rPr>
            </w:pPr>
            <w:r w:rsidRPr="006B7AFB">
              <w:rPr>
                <w:rFonts w:asciiTheme="minorHAnsi" w:eastAsiaTheme="minorEastAsia" w:hAnsiTheme="minorHAnsi" w:cstheme="minorBidi"/>
                <w:color w:val="auto"/>
                <w:lang w:val="en-CA"/>
              </w:rPr>
              <w:t>0%</w:t>
            </w:r>
          </w:p>
        </w:tc>
        <w:tc>
          <w:tcPr>
            <w:tcW w:w="1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D5617" w14:textId="77777777" w:rsidR="000A5B09"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Theme="minorHAnsi" w:eastAsiaTheme="minorEastAsia" w:hAnsiTheme="minorHAnsi" w:cstheme="minorBidi"/>
                <w:color w:val="auto"/>
                <w:lang w:val="en-CA"/>
              </w:rPr>
            </w:pPr>
            <w:r w:rsidRPr="006B7AFB">
              <w:rPr>
                <w:rFonts w:asciiTheme="minorHAnsi" w:eastAsiaTheme="minorEastAsia" w:hAnsiTheme="minorHAnsi" w:cstheme="minorBidi"/>
                <w:color w:val="auto"/>
                <w:lang w:val="en-CA"/>
              </w:rPr>
              <w:t>Civil</w:t>
            </w:r>
          </w:p>
        </w:tc>
        <w:tc>
          <w:tcPr>
            <w:tcW w:w="916" w:type="dxa"/>
            <w:tcBorders>
              <w:top w:val="nil"/>
              <w:left w:val="single" w:sz="4" w:space="0" w:color="auto"/>
              <w:bottom w:val="single" w:sz="4" w:space="0" w:color="auto"/>
              <w:right w:val="single" w:sz="8" w:space="0" w:color="auto"/>
            </w:tcBorders>
            <w:shd w:val="clear" w:color="auto" w:fill="FFFFFF" w:themeFill="background1"/>
            <w:vAlign w:val="center"/>
          </w:tcPr>
          <w:p w14:paraId="76DC7F54" w14:textId="77777777" w:rsidR="000A5B09"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Theme="minorHAnsi" w:eastAsiaTheme="minorEastAsia" w:hAnsiTheme="minorHAnsi" w:cstheme="minorBidi"/>
                <w:color w:val="auto"/>
                <w:lang w:val="en-CA"/>
              </w:rPr>
            </w:pPr>
            <w:r w:rsidRPr="006B7AFB">
              <w:rPr>
                <w:rFonts w:asciiTheme="minorHAnsi" w:eastAsiaTheme="minorEastAsia" w:hAnsiTheme="minorHAnsi" w:cstheme="minorBidi"/>
                <w:color w:val="auto"/>
                <w:lang w:val="en-CA"/>
              </w:rPr>
              <w:t>6%</w:t>
            </w:r>
          </w:p>
        </w:tc>
        <w:tc>
          <w:tcPr>
            <w:tcW w:w="1945"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040DA498" w14:textId="77777777" w:rsidR="000A5B09"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Theme="minorHAnsi" w:eastAsiaTheme="minorEastAsia" w:hAnsiTheme="minorHAnsi" w:cstheme="minorBidi"/>
                <w:color w:val="auto"/>
                <w:lang w:val="en-CA"/>
              </w:rPr>
            </w:pPr>
            <w:r w:rsidRPr="006B7AFB">
              <w:rPr>
                <w:rFonts w:asciiTheme="minorHAnsi" w:eastAsiaTheme="minorEastAsia" w:hAnsiTheme="minorHAnsi" w:cstheme="minorBidi"/>
                <w:color w:val="auto"/>
                <w:lang w:val="en-CA"/>
              </w:rPr>
              <w:t>Civil</w:t>
            </w:r>
          </w:p>
        </w:tc>
        <w:tc>
          <w:tcPr>
            <w:tcW w:w="916" w:type="dxa"/>
            <w:tcBorders>
              <w:top w:val="nil"/>
              <w:left w:val="single" w:sz="4" w:space="0" w:color="auto"/>
              <w:bottom w:val="single" w:sz="4" w:space="0" w:color="auto"/>
              <w:right w:val="single" w:sz="8" w:space="0" w:color="auto"/>
            </w:tcBorders>
            <w:shd w:val="clear" w:color="auto" w:fill="FFFFFF" w:themeFill="background1"/>
            <w:vAlign w:val="center"/>
          </w:tcPr>
          <w:p w14:paraId="1A6FFE10" w14:textId="77777777" w:rsidR="000A5B09"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Theme="minorHAnsi" w:eastAsiaTheme="minorEastAsia" w:hAnsiTheme="minorHAnsi" w:cstheme="minorBidi"/>
                <w:color w:val="auto"/>
                <w:lang w:val="en-CA"/>
              </w:rPr>
            </w:pPr>
            <w:r w:rsidRPr="006B7AFB">
              <w:rPr>
                <w:rFonts w:asciiTheme="minorHAnsi" w:eastAsiaTheme="minorEastAsia" w:hAnsiTheme="minorHAnsi" w:cstheme="minorBidi"/>
                <w:color w:val="auto"/>
                <w:lang w:val="en-CA"/>
              </w:rPr>
              <w:t>2%</w:t>
            </w:r>
          </w:p>
        </w:tc>
      </w:tr>
      <w:tr w:rsidR="000A5B09" w:rsidRPr="000A5B09" w14:paraId="15CFA559" w14:textId="77777777" w:rsidTr="270294E6">
        <w:trPr>
          <w:trHeight w:val="342"/>
        </w:trPr>
        <w:tc>
          <w:tcPr>
            <w:tcW w:w="206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267ACE8" w14:textId="77777777" w:rsidR="000A5B09"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Theme="minorHAnsi" w:eastAsiaTheme="minorEastAsia" w:hAnsiTheme="minorHAnsi" w:cstheme="minorBidi"/>
                <w:color w:val="auto"/>
                <w:lang w:val="en-CA"/>
              </w:rPr>
            </w:pPr>
            <w:r w:rsidRPr="006B7AFB">
              <w:rPr>
                <w:rFonts w:asciiTheme="minorHAnsi" w:eastAsiaTheme="minorEastAsia" w:hAnsiTheme="minorHAnsi" w:cstheme="minorBidi"/>
                <w:color w:val="auto"/>
                <w:lang w:val="en-CA"/>
              </w:rPr>
              <w:t>Criminal</w:t>
            </w:r>
          </w:p>
        </w:tc>
        <w:tc>
          <w:tcPr>
            <w:tcW w:w="916" w:type="dxa"/>
            <w:tcBorders>
              <w:top w:val="nil"/>
              <w:left w:val="single" w:sz="4" w:space="0" w:color="auto"/>
              <w:bottom w:val="single" w:sz="4" w:space="0" w:color="auto"/>
              <w:right w:val="single" w:sz="4" w:space="0" w:color="auto"/>
            </w:tcBorders>
            <w:shd w:val="clear" w:color="auto" w:fill="FFE599" w:themeFill="accent4" w:themeFillTint="66"/>
            <w:noWrap/>
            <w:vAlign w:val="center"/>
          </w:tcPr>
          <w:p w14:paraId="7E61080F" w14:textId="77777777" w:rsidR="000A5B09"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Theme="minorHAnsi" w:eastAsiaTheme="minorEastAsia" w:hAnsiTheme="minorHAnsi" w:cstheme="minorBidi"/>
                <w:color w:val="auto"/>
                <w:lang w:val="en-CA"/>
              </w:rPr>
            </w:pPr>
            <w:r w:rsidRPr="006B7AFB">
              <w:rPr>
                <w:rFonts w:asciiTheme="minorHAnsi" w:eastAsiaTheme="minorEastAsia" w:hAnsiTheme="minorHAnsi" w:cstheme="minorBidi"/>
                <w:color w:val="auto"/>
                <w:lang w:val="en-CA"/>
              </w:rPr>
              <w:t>36%</w:t>
            </w:r>
          </w:p>
        </w:tc>
        <w:tc>
          <w:tcPr>
            <w:tcW w:w="1945"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6B7F2819" w14:textId="77777777" w:rsidR="000A5B09"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Theme="minorHAnsi" w:eastAsiaTheme="minorEastAsia" w:hAnsiTheme="minorHAnsi" w:cstheme="minorBidi"/>
                <w:color w:val="auto"/>
                <w:lang w:val="en-CA"/>
              </w:rPr>
            </w:pPr>
            <w:r w:rsidRPr="006B7AFB">
              <w:rPr>
                <w:rFonts w:asciiTheme="minorHAnsi" w:eastAsiaTheme="minorEastAsia" w:hAnsiTheme="minorHAnsi" w:cstheme="minorBidi"/>
                <w:color w:val="auto"/>
                <w:lang w:val="en-CA"/>
              </w:rPr>
              <w:t>Criminal</w:t>
            </w:r>
          </w:p>
        </w:tc>
        <w:tc>
          <w:tcPr>
            <w:tcW w:w="916" w:type="dxa"/>
            <w:tcBorders>
              <w:top w:val="nil"/>
              <w:left w:val="single" w:sz="4" w:space="0" w:color="auto"/>
              <w:bottom w:val="single" w:sz="4" w:space="0" w:color="auto"/>
              <w:right w:val="single" w:sz="8" w:space="0" w:color="auto"/>
            </w:tcBorders>
            <w:shd w:val="clear" w:color="auto" w:fill="FFE599" w:themeFill="accent4" w:themeFillTint="66"/>
            <w:vAlign w:val="center"/>
          </w:tcPr>
          <w:p w14:paraId="083242A4" w14:textId="77777777" w:rsidR="000A5B09"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Theme="minorHAnsi" w:eastAsiaTheme="minorEastAsia" w:hAnsiTheme="minorHAnsi" w:cstheme="minorBidi"/>
                <w:color w:val="auto"/>
                <w:lang w:val="en-CA"/>
              </w:rPr>
            </w:pPr>
            <w:r w:rsidRPr="006B7AFB">
              <w:rPr>
                <w:rFonts w:asciiTheme="minorHAnsi" w:eastAsiaTheme="minorEastAsia" w:hAnsiTheme="minorHAnsi" w:cstheme="minorBidi"/>
                <w:color w:val="auto"/>
                <w:lang w:val="en-CA"/>
              </w:rPr>
              <w:t>24%</w:t>
            </w:r>
          </w:p>
        </w:tc>
        <w:tc>
          <w:tcPr>
            <w:tcW w:w="1945" w:type="dxa"/>
            <w:tcBorders>
              <w:top w:val="single" w:sz="4" w:space="0" w:color="auto"/>
              <w:left w:val="single" w:sz="8" w:space="0" w:color="auto"/>
              <w:bottom w:val="single" w:sz="4" w:space="0" w:color="auto"/>
              <w:right w:val="single" w:sz="4" w:space="0" w:color="auto"/>
            </w:tcBorders>
            <w:shd w:val="clear" w:color="auto" w:fill="FFE599" w:themeFill="accent4" w:themeFillTint="66"/>
            <w:vAlign w:val="center"/>
          </w:tcPr>
          <w:p w14:paraId="0B33554A" w14:textId="77777777" w:rsidR="000A5B09"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Theme="minorHAnsi" w:eastAsiaTheme="minorEastAsia" w:hAnsiTheme="minorHAnsi" w:cstheme="minorBidi"/>
                <w:color w:val="auto"/>
                <w:lang w:val="en-CA"/>
              </w:rPr>
            </w:pPr>
            <w:r w:rsidRPr="006B7AFB">
              <w:rPr>
                <w:rFonts w:asciiTheme="minorHAnsi" w:eastAsiaTheme="minorEastAsia" w:hAnsiTheme="minorHAnsi" w:cstheme="minorBidi"/>
                <w:color w:val="auto"/>
                <w:lang w:val="en-CA"/>
              </w:rPr>
              <w:t>Criminal</w:t>
            </w:r>
          </w:p>
        </w:tc>
        <w:tc>
          <w:tcPr>
            <w:tcW w:w="916" w:type="dxa"/>
            <w:tcBorders>
              <w:top w:val="nil"/>
              <w:left w:val="single" w:sz="4" w:space="0" w:color="auto"/>
              <w:bottom w:val="single" w:sz="4" w:space="0" w:color="auto"/>
              <w:right w:val="single" w:sz="8" w:space="0" w:color="auto"/>
            </w:tcBorders>
            <w:shd w:val="clear" w:color="auto" w:fill="FFE599" w:themeFill="accent4" w:themeFillTint="66"/>
            <w:vAlign w:val="center"/>
          </w:tcPr>
          <w:p w14:paraId="4B5BA4D7" w14:textId="77777777" w:rsidR="000A5B09"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Theme="minorHAnsi" w:eastAsiaTheme="minorEastAsia" w:hAnsiTheme="minorHAnsi" w:cstheme="minorBidi"/>
                <w:color w:val="auto"/>
                <w:lang w:val="en-CA"/>
              </w:rPr>
            </w:pPr>
            <w:r w:rsidRPr="006B7AFB">
              <w:rPr>
                <w:rFonts w:asciiTheme="minorHAnsi" w:eastAsiaTheme="minorEastAsia" w:hAnsiTheme="minorHAnsi" w:cstheme="minorBidi"/>
                <w:color w:val="auto"/>
                <w:lang w:val="en-CA"/>
              </w:rPr>
              <w:t>22%</w:t>
            </w:r>
          </w:p>
        </w:tc>
      </w:tr>
      <w:tr w:rsidR="002655D1" w:rsidRPr="000A5B09" w14:paraId="1C6A4D06" w14:textId="77777777" w:rsidTr="270294E6">
        <w:trPr>
          <w:trHeight w:val="342"/>
        </w:trPr>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07079F" w14:textId="77777777" w:rsidR="000A5B09"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Theme="minorHAnsi" w:eastAsiaTheme="minorEastAsia" w:hAnsiTheme="minorHAnsi" w:cstheme="minorBidi"/>
                <w:color w:val="auto"/>
                <w:lang w:val="en-CA"/>
              </w:rPr>
            </w:pPr>
            <w:r w:rsidRPr="006B7AFB">
              <w:rPr>
                <w:rFonts w:asciiTheme="minorHAnsi" w:eastAsiaTheme="minorEastAsia" w:hAnsiTheme="minorHAnsi" w:cstheme="minorBidi"/>
                <w:color w:val="auto"/>
                <w:lang w:val="en-CA"/>
              </w:rPr>
              <w:t>Traffic/Bylaw</w:t>
            </w:r>
          </w:p>
        </w:tc>
        <w:tc>
          <w:tcPr>
            <w:tcW w:w="916" w:type="dxa"/>
            <w:tcBorders>
              <w:top w:val="nil"/>
              <w:left w:val="single" w:sz="4" w:space="0" w:color="auto"/>
              <w:bottom w:val="single" w:sz="4" w:space="0" w:color="auto"/>
              <w:right w:val="single" w:sz="4" w:space="0" w:color="auto"/>
            </w:tcBorders>
            <w:shd w:val="clear" w:color="auto" w:fill="FFFFFF" w:themeFill="background1"/>
            <w:noWrap/>
            <w:vAlign w:val="center"/>
          </w:tcPr>
          <w:p w14:paraId="5ABC32C1" w14:textId="77777777" w:rsidR="000A5B09"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Theme="minorHAnsi" w:eastAsiaTheme="minorEastAsia" w:hAnsiTheme="minorHAnsi" w:cstheme="minorBidi"/>
                <w:color w:val="auto"/>
                <w:lang w:val="en-CA"/>
              </w:rPr>
            </w:pPr>
            <w:r w:rsidRPr="006B7AFB">
              <w:rPr>
                <w:rFonts w:asciiTheme="minorHAnsi" w:eastAsiaTheme="minorEastAsia" w:hAnsiTheme="minorHAnsi" w:cstheme="minorBidi"/>
                <w:color w:val="auto"/>
                <w:lang w:val="en-CA"/>
              </w:rPr>
              <w:t>1%</w:t>
            </w:r>
          </w:p>
        </w:tc>
        <w:tc>
          <w:tcPr>
            <w:tcW w:w="1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F407B5" w14:textId="77777777" w:rsidR="000A5B09"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Theme="minorHAnsi" w:eastAsiaTheme="minorEastAsia" w:hAnsiTheme="minorHAnsi" w:cstheme="minorBidi"/>
                <w:color w:val="auto"/>
                <w:lang w:val="en-CA"/>
              </w:rPr>
            </w:pPr>
            <w:r w:rsidRPr="006B7AFB">
              <w:rPr>
                <w:rFonts w:asciiTheme="minorHAnsi" w:eastAsiaTheme="minorEastAsia" w:hAnsiTheme="minorHAnsi" w:cstheme="minorBidi"/>
                <w:color w:val="auto"/>
                <w:lang w:val="en-CA"/>
              </w:rPr>
              <w:t>Traffic/Bylaw</w:t>
            </w:r>
          </w:p>
        </w:tc>
        <w:tc>
          <w:tcPr>
            <w:tcW w:w="916" w:type="dxa"/>
            <w:tcBorders>
              <w:top w:val="nil"/>
              <w:left w:val="single" w:sz="4" w:space="0" w:color="auto"/>
              <w:bottom w:val="single" w:sz="4" w:space="0" w:color="auto"/>
              <w:right w:val="single" w:sz="8" w:space="0" w:color="auto"/>
            </w:tcBorders>
            <w:shd w:val="clear" w:color="auto" w:fill="FFFFFF" w:themeFill="background1"/>
            <w:vAlign w:val="center"/>
          </w:tcPr>
          <w:p w14:paraId="2CD86C51" w14:textId="77777777" w:rsidR="000A5B09"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Theme="minorHAnsi" w:eastAsiaTheme="minorEastAsia" w:hAnsiTheme="minorHAnsi" w:cstheme="minorBidi"/>
                <w:color w:val="auto"/>
                <w:lang w:val="en-CA"/>
              </w:rPr>
            </w:pPr>
            <w:r w:rsidRPr="006B7AFB">
              <w:rPr>
                <w:rFonts w:asciiTheme="minorHAnsi" w:eastAsiaTheme="minorEastAsia" w:hAnsiTheme="minorHAnsi" w:cstheme="minorBidi"/>
                <w:color w:val="auto"/>
                <w:lang w:val="en-CA"/>
              </w:rPr>
              <w:t>7%</w:t>
            </w:r>
          </w:p>
        </w:tc>
        <w:tc>
          <w:tcPr>
            <w:tcW w:w="1945"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05C036CC" w14:textId="77777777" w:rsidR="000A5B09"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Theme="minorHAnsi" w:eastAsiaTheme="minorEastAsia" w:hAnsiTheme="minorHAnsi" w:cstheme="minorBidi"/>
                <w:color w:val="auto"/>
                <w:lang w:val="en-CA"/>
              </w:rPr>
            </w:pPr>
            <w:r w:rsidRPr="006B7AFB">
              <w:rPr>
                <w:rFonts w:asciiTheme="minorHAnsi" w:eastAsiaTheme="minorEastAsia" w:hAnsiTheme="minorHAnsi" w:cstheme="minorBidi"/>
                <w:color w:val="auto"/>
                <w:lang w:val="en-CA"/>
              </w:rPr>
              <w:t>Traffic/Bylaw</w:t>
            </w:r>
          </w:p>
        </w:tc>
        <w:tc>
          <w:tcPr>
            <w:tcW w:w="916" w:type="dxa"/>
            <w:tcBorders>
              <w:top w:val="nil"/>
              <w:left w:val="single" w:sz="4" w:space="0" w:color="auto"/>
              <w:bottom w:val="single" w:sz="4" w:space="0" w:color="auto"/>
              <w:right w:val="single" w:sz="8" w:space="0" w:color="auto"/>
            </w:tcBorders>
            <w:shd w:val="clear" w:color="auto" w:fill="FFFFFF" w:themeFill="background1"/>
            <w:vAlign w:val="center"/>
          </w:tcPr>
          <w:p w14:paraId="3A02E725" w14:textId="77777777" w:rsidR="000A5B09"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Theme="minorHAnsi" w:eastAsiaTheme="minorEastAsia" w:hAnsiTheme="minorHAnsi" w:cstheme="minorBidi"/>
                <w:color w:val="auto"/>
                <w:lang w:val="en-CA"/>
              </w:rPr>
            </w:pPr>
            <w:r w:rsidRPr="006B7AFB">
              <w:rPr>
                <w:rFonts w:asciiTheme="minorHAnsi" w:eastAsiaTheme="minorEastAsia" w:hAnsiTheme="minorHAnsi" w:cstheme="minorBidi"/>
                <w:color w:val="auto"/>
                <w:lang w:val="en-CA"/>
              </w:rPr>
              <w:t>2%</w:t>
            </w:r>
          </w:p>
        </w:tc>
      </w:tr>
      <w:tr w:rsidR="002655D1" w:rsidRPr="000A5B09" w14:paraId="590122F8" w14:textId="77777777" w:rsidTr="270294E6">
        <w:trPr>
          <w:trHeight w:val="342"/>
        </w:trPr>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19A16B" w14:textId="77777777" w:rsidR="000A5B09"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Theme="minorHAnsi" w:eastAsiaTheme="minorEastAsia" w:hAnsiTheme="minorHAnsi" w:cstheme="minorBidi"/>
                <w:color w:val="auto"/>
                <w:lang w:val="en-CA"/>
              </w:rPr>
            </w:pPr>
            <w:r w:rsidRPr="006B7AFB">
              <w:rPr>
                <w:rFonts w:asciiTheme="minorHAnsi" w:eastAsiaTheme="minorEastAsia" w:hAnsiTheme="minorHAnsi" w:cstheme="minorBidi"/>
                <w:color w:val="auto"/>
                <w:lang w:val="en-CA"/>
              </w:rPr>
              <w:t>Other</w:t>
            </w:r>
          </w:p>
        </w:tc>
        <w:tc>
          <w:tcPr>
            <w:tcW w:w="916" w:type="dxa"/>
            <w:tcBorders>
              <w:top w:val="nil"/>
              <w:left w:val="single" w:sz="4" w:space="0" w:color="auto"/>
              <w:bottom w:val="single" w:sz="4" w:space="0" w:color="auto"/>
              <w:right w:val="single" w:sz="4" w:space="0" w:color="auto"/>
            </w:tcBorders>
            <w:shd w:val="clear" w:color="auto" w:fill="FFFFFF" w:themeFill="background1"/>
            <w:noWrap/>
            <w:vAlign w:val="center"/>
          </w:tcPr>
          <w:p w14:paraId="33524F3A" w14:textId="77777777" w:rsidR="000A5B09"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Theme="minorHAnsi" w:eastAsiaTheme="minorEastAsia" w:hAnsiTheme="minorHAnsi" w:cstheme="minorBidi"/>
                <w:color w:val="auto"/>
                <w:lang w:val="en-CA"/>
              </w:rPr>
            </w:pPr>
            <w:r w:rsidRPr="006B7AFB">
              <w:rPr>
                <w:rFonts w:asciiTheme="minorHAnsi" w:eastAsiaTheme="minorEastAsia" w:hAnsiTheme="minorHAnsi" w:cstheme="minorBidi"/>
                <w:color w:val="auto"/>
                <w:lang w:val="en-CA"/>
              </w:rPr>
              <w:t>2%</w:t>
            </w:r>
          </w:p>
        </w:tc>
        <w:tc>
          <w:tcPr>
            <w:tcW w:w="1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B6373D" w14:textId="77777777" w:rsidR="000A5B09"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Theme="minorHAnsi" w:eastAsiaTheme="minorEastAsia" w:hAnsiTheme="minorHAnsi" w:cstheme="minorBidi"/>
                <w:color w:val="auto"/>
                <w:lang w:val="en-CA"/>
              </w:rPr>
            </w:pPr>
            <w:r w:rsidRPr="006B7AFB">
              <w:rPr>
                <w:rFonts w:asciiTheme="minorHAnsi" w:eastAsiaTheme="minorEastAsia" w:hAnsiTheme="minorHAnsi" w:cstheme="minorBidi"/>
                <w:color w:val="auto"/>
                <w:lang w:val="en-CA"/>
              </w:rPr>
              <w:t>Other</w:t>
            </w:r>
          </w:p>
        </w:tc>
        <w:tc>
          <w:tcPr>
            <w:tcW w:w="916" w:type="dxa"/>
            <w:tcBorders>
              <w:top w:val="nil"/>
              <w:left w:val="single" w:sz="4" w:space="0" w:color="auto"/>
              <w:bottom w:val="single" w:sz="4" w:space="0" w:color="auto"/>
              <w:right w:val="single" w:sz="8" w:space="0" w:color="auto"/>
            </w:tcBorders>
            <w:shd w:val="clear" w:color="auto" w:fill="FFFFFF" w:themeFill="background1"/>
            <w:vAlign w:val="center"/>
          </w:tcPr>
          <w:p w14:paraId="247210D4" w14:textId="77777777" w:rsidR="000A5B09"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Theme="minorHAnsi" w:eastAsiaTheme="minorEastAsia" w:hAnsiTheme="minorHAnsi" w:cstheme="minorBidi"/>
                <w:color w:val="auto"/>
                <w:lang w:val="en-CA"/>
              </w:rPr>
            </w:pPr>
            <w:r w:rsidRPr="006B7AFB">
              <w:rPr>
                <w:rFonts w:asciiTheme="minorHAnsi" w:eastAsiaTheme="minorEastAsia" w:hAnsiTheme="minorHAnsi" w:cstheme="minorBidi"/>
                <w:color w:val="auto"/>
                <w:lang w:val="en-CA"/>
              </w:rPr>
              <w:t>2%</w:t>
            </w:r>
          </w:p>
        </w:tc>
        <w:tc>
          <w:tcPr>
            <w:tcW w:w="1945"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46FC5D9F" w14:textId="77777777" w:rsidR="000A5B09"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Theme="minorHAnsi" w:eastAsiaTheme="minorEastAsia" w:hAnsiTheme="minorHAnsi" w:cstheme="minorBidi"/>
                <w:color w:val="auto"/>
                <w:lang w:val="en-CA"/>
              </w:rPr>
            </w:pPr>
            <w:r w:rsidRPr="006B7AFB">
              <w:rPr>
                <w:rFonts w:asciiTheme="minorHAnsi" w:eastAsiaTheme="minorEastAsia" w:hAnsiTheme="minorHAnsi" w:cstheme="minorBidi"/>
                <w:color w:val="auto"/>
                <w:lang w:val="en-CA"/>
              </w:rPr>
              <w:t>Other</w:t>
            </w:r>
          </w:p>
        </w:tc>
        <w:tc>
          <w:tcPr>
            <w:tcW w:w="916" w:type="dxa"/>
            <w:tcBorders>
              <w:top w:val="nil"/>
              <w:left w:val="single" w:sz="4" w:space="0" w:color="auto"/>
              <w:bottom w:val="single" w:sz="4" w:space="0" w:color="auto"/>
              <w:right w:val="single" w:sz="8" w:space="0" w:color="auto"/>
            </w:tcBorders>
            <w:shd w:val="clear" w:color="auto" w:fill="FFFFFF" w:themeFill="background1"/>
            <w:vAlign w:val="center"/>
          </w:tcPr>
          <w:p w14:paraId="5AA076F9" w14:textId="77777777" w:rsidR="000A5B09"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Theme="minorHAnsi" w:eastAsiaTheme="minorEastAsia" w:hAnsiTheme="minorHAnsi" w:cstheme="minorBidi"/>
                <w:color w:val="auto"/>
                <w:lang w:val="en-CA"/>
              </w:rPr>
            </w:pPr>
            <w:r w:rsidRPr="006B7AFB">
              <w:rPr>
                <w:rFonts w:asciiTheme="minorHAnsi" w:eastAsiaTheme="minorEastAsia" w:hAnsiTheme="minorHAnsi" w:cstheme="minorBidi"/>
                <w:color w:val="auto"/>
                <w:lang w:val="en-CA"/>
              </w:rPr>
              <w:t>9%</w:t>
            </w:r>
          </w:p>
        </w:tc>
      </w:tr>
      <w:tr w:rsidR="002655D1" w:rsidRPr="000A5B09" w14:paraId="1477118A" w14:textId="77777777" w:rsidTr="270294E6">
        <w:trPr>
          <w:trHeight w:val="358"/>
        </w:trPr>
        <w:tc>
          <w:tcPr>
            <w:tcW w:w="2066" w:type="dxa"/>
            <w:tcBorders>
              <w:top w:val="single" w:sz="8" w:space="0" w:color="auto"/>
              <w:left w:val="single" w:sz="4" w:space="0" w:color="auto"/>
              <w:bottom w:val="single" w:sz="4" w:space="0" w:color="auto"/>
              <w:right w:val="single" w:sz="4" w:space="0" w:color="auto"/>
            </w:tcBorders>
            <w:shd w:val="clear" w:color="auto" w:fill="FFFFFF" w:themeFill="background1"/>
            <w:noWrap/>
            <w:vAlign w:val="center"/>
            <w:hideMark/>
          </w:tcPr>
          <w:p w14:paraId="1BA76F3E" w14:textId="77777777" w:rsidR="000A5B09"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jc w:val="right"/>
              <w:rPr>
                <w:rFonts w:asciiTheme="minorHAnsi" w:eastAsiaTheme="minorEastAsia" w:hAnsiTheme="minorHAnsi" w:cstheme="minorBidi"/>
                <w:b/>
                <w:bCs/>
                <w:color w:val="auto"/>
                <w:lang w:val="en-CA"/>
              </w:rPr>
            </w:pPr>
            <w:r w:rsidRPr="006B7AFB">
              <w:rPr>
                <w:rFonts w:asciiTheme="minorHAnsi" w:eastAsiaTheme="minorEastAsia" w:hAnsiTheme="minorHAnsi" w:cstheme="minorBidi"/>
                <w:b/>
                <w:bCs/>
                <w:color w:val="auto"/>
                <w:lang w:val="en-CA"/>
              </w:rPr>
              <w:t>Total</w:t>
            </w:r>
          </w:p>
        </w:tc>
        <w:tc>
          <w:tcPr>
            <w:tcW w:w="916" w:type="dxa"/>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01636DA0" w14:textId="77777777" w:rsidR="000A5B09"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Theme="minorHAnsi" w:eastAsiaTheme="minorEastAsia" w:hAnsiTheme="minorHAnsi" w:cstheme="minorBidi"/>
                <w:b/>
                <w:bCs/>
                <w:color w:val="auto"/>
                <w:lang w:val="en-CA"/>
              </w:rPr>
            </w:pPr>
            <w:r w:rsidRPr="006B7AFB">
              <w:rPr>
                <w:rFonts w:asciiTheme="minorHAnsi" w:eastAsiaTheme="minorEastAsia" w:hAnsiTheme="minorHAnsi" w:cstheme="minorBidi"/>
                <w:b/>
                <w:bCs/>
                <w:color w:val="auto"/>
                <w:lang w:val="en-CA"/>
              </w:rPr>
              <w:t>100%</w:t>
            </w:r>
          </w:p>
        </w:tc>
        <w:tc>
          <w:tcPr>
            <w:tcW w:w="1945"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5E714D45" w14:textId="77777777" w:rsidR="000A5B09"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jc w:val="right"/>
              <w:rPr>
                <w:rFonts w:asciiTheme="minorHAnsi" w:eastAsiaTheme="minorEastAsia" w:hAnsiTheme="minorHAnsi" w:cstheme="minorBidi"/>
                <w:b/>
                <w:bCs/>
                <w:color w:val="auto"/>
                <w:lang w:val="en-CA"/>
              </w:rPr>
            </w:pPr>
            <w:r w:rsidRPr="006B7AFB">
              <w:rPr>
                <w:rFonts w:asciiTheme="minorHAnsi" w:eastAsiaTheme="minorEastAsia" w:hAnsiTheme="minorHAnsi" w:cstheme="minorBidi"/>
                <w:b/>
                <w:bCs/>
                <w:color w:val="auto"/>
                <w:lang w:val="en-CA"/>
              </w:rPr>
              <w:t>Total</w:t>
            </w:r>
          </w:p>
        </w:tc>
        <w:tc>
          <w:tcPr>
            <w:tcW w:w="916" w:type="dxa"/>
            <w:tcBorders>
              <w:top w:val="single" w:sz="8" w:space="0" w:color="auto"/>
              <w:left w:val="single" w:sz="4" w:space="0" w:color="auto"/>
              <w:bottom w:val="single" w:sz="8" w:space="0" w:color="auto"/>
              <w:right w:val="single" w:sz="8" w:space="0" w:color="auto"/>
            </w:tcBorders>
            <w:shd w:val="clear" w:color="auto" w:fill="FFFFFF" w:themeFill="background1"/>
            <w:vAlign w:val="center"/>
          </w:tcPr>
          <w:p w14:paraId="3BAE281C" w14:textId="77777777" w:rsidR="000A5B09"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Theme="minorHAnsi" w:eastAsiaTheme="minorEastAsia" w:hAnsiTheme="minorHAnsi" w:cstheme="minorBidi"/>
                <w:b/>
                <w:bCs/>
                <w:color w:val="auto"/>
                <w:lang w:val="en-CA"/>
              </w:rPr>
            </w:pPr>
            <w:r w:rsidRPr="006B7AFB">
              <w:rPr>
                <w:rFonts w:asciiTheme="minorHAnsi" w:eastAsiaTheme="minorEastAsia" w:hAnsiTheme="minorHAnsi" w:cstheme="minorBidi"/>
                <w:b/>
                <w:bCs/>
                <w:color w:val="auto"/>
                <w:lang w:val="en-CA"/>
              </w:rPr>
              <w:t>100%</w:t>
            </w:r>
          </w:p>
        </w:tc>
        <w:tc>
          <w:tcPr>
            <w:tcW w:w="1945"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14:paraId="23458986" w14:textId="77777777" w:rsidR="000A5B09"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jc w:val="right"/>
              <w:rPr>
                <w:rFonts w:asciiTheme="minorHAnsi" w:eastAsiaTheme="minorEastAsia" w:hAnsiTheme="minorHAnsi" w:cstheme="minorBidi"/>
                <w:b/>
                <w:bCs/>
                <w:color w:val="auto"/>
                <w:lang w:val="en-CA"/>
              </w:rPr>
            </w:pPr>
            <w:r w:rsidRPr="006B7AFB">
              <w:rPr>
                <w:rFonts w:asciiTheme="minorHAnsi" w:eastAsiaTheme="minorEastAsia" w:hAnsiTheme="minorHAnsi" w:cstheme="minorBidi"/>
                <w:b/>
                <w:bCs/>
                <w:color w:val="auto"/>
                <w:lang w:val="en-CA"/>
              </w:rPr>
              <w:t>Total</w:t>
            </w:r>
          </w:p>
        </w:tc>
        <w:tc>
          <w:tcPr>
            <w:tcW w:w="916" w:type="dxa"/>
            <w:tcBorders>
              <w:top w:val="single" w:sz="8" w:space="0" w:color="auto"/>
              <w:left w:val="single" w:sz="4" w:space="0" w:color="auto"/>
              <w:bottom w:val="single" w:sz="8" w:space="0" w:color="auto"/>
              <w:right w:val="single" w:sz="8" w:space="0" w:color="auto"/>
            </w:tcBorders>
            <w:shd w:val="clear" w:color="auto" w:fill="FFFFFF" w:themeFill="background1"/>
            <w:vAlign w:val="center"/>
          </w:tcPr>
          <w:p w14:paraId="3DB99ADE" w14:textId="77777777" w:rsidR="000A5B09" w:rsidRPr="006B7AFB" w:rsidRDefault="270294E6" w:rsidP="270294E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Theme="minorHAnsi" w:eastAsiaTheme="minorEastAsia" w:hAnsiTheme="minorHAnsi" w:cstheme="minorBidi"/>
                <w:b/>
                <w:bCs/>
                <w:color w:val="auto"/>
                <w:lang w:val="en-CA"/>
              </w:rPr>
            </w:pPr>
            <w:r w:rsidRPr="006B7AFB">
              <w:rPr>
                <w:rFonts w:asciiTheme="minorHAnsi" w:eastAsiaTheme="minorEastAsia" w:hAnsiTheme="minorHAnsi" w:cstheme="minorBidi"/>
                <w:b/>
                <w:bCs/>
                <w:color w:val="auto"/>
                <w:lang w:val="en-CA"/>
              </w:rPr>
              <w:t>100%</w:t>
            </w:r>
          </w:p>
        </w:tc>
      </w:tr>
    </w:tbl>
    <w:p w14:paraId="35EB9265" w14:textId="686DC821" w:rsidR="007A70EF" w:rsidRPr="0095425E" w:rsidRDefault="270294E6" w:rsidP="270294E6">
      <w:pPr>
        <w:pStyle w:val="Title"/>
        <w:rPr>
          <w:rFonts w:asciiTheme="minorHAnsi" w:eastAsiaTheme="minorEastAsia" w:hAnsiTheme="minorHAnsi" w:cstheme="minorBidi"/>
          <w:smallCaps w:val="0"/>
          <w:color w:val="000000" w:themeColor="text1"/>
          <w:sz w:val="22"/>
          <w:szCs w:val="22"/>
        </w:rPr>
      </w:pPr>
      <w:r w:rsidRPr="0095425E">
        <w:rPr>
          <w:rFonts w:asciiTheme="minorHAnsi" w:eastAsiaTheme="minorEastAsia" w:hAnsiTheme="minorHAnsi" w:cstheme="minorBidi"/>
          <w:b/>
          <w:bCs/>
          <w:i/>
          <w:iCs/>
          <w:smallCaps w:val="0"/>
          <w:color w:val="000000" w:themeColor="text1"/>
          <w:sz w:val="18"/>
          <w:szCs w:val="18"/>
        </w:rPr>
        <w:t>Table 3</w:t>
      </w:r>
      <w:r w:rsidRPr="0095425E">
        <w:rPr>
          <w:rFonts w:asciiTheme="minorHAnsi" w:eastAsiaTheme="minorEastAsia" w:hAnsiTheme="minorHAnsi" w:cstheme="minorBidi"/>
          <w:smallCaps w:val="0"/>
          <w:color w:val="000000" w:themeColor="text1"/>
          <w:sz w:val="18"/>
          <w:szCs w:val="18"/>
        </w:rPr>
        <w:t xml:space="preserve">. Legal issues addressed by Legal Advocacy Program from 2017 – 2019. </w:t>
      </w:r>
    </w:p>
    <w:p w14:paraId="25F10A05" w14:textId="3BB0F494" w:rsidR="007A70EF" w:rsidRPr="0007492B" w:rsidRDefault="270294E6" w:rsidP="003B6377">
      <w:pPr>
        <w:rPr>
          <w:rFonts w:asciiTheme="minorHAnsi" w:eastAsiaTheme="minorEastAsia" w:hAnsiTheme="minorHAnsi" w:cstheme="minorBidi"/>
        </w:rPr>
      </w:pPr>
      <w:r w:rsidRPr="0095425E">
        <w:rPr>
          <w:rFonts w:asciiTheme="minorHAnsi" w:eastAsiaTheme="minorEastAsia" w:hAnsiTheme="minorHAnsi" w:cstheme="minorBidi"/>
        </w:rPr>
        <w:t xml:space="preserve">The above numbers include both the Calgary and regional Legal Advocates. The vast majority of the criminal cases are dealt with by the Regional Legal Advocates since the legal resources in these areas are sparse.  Each regional and First Nation community has unique issues relative to the concerns and challenges of the particular community or </w:t>
      </w:r>
      <w:proofErr w:type="spellStart"/>
      <w:r w:rsidRPr="0095425E">
        <w:rPr>
          <w:rFonts w:asciiTheme="minorHAnsi" w:eastAsiaTheme="minorEastAsia" w:hAnsiTheme="minorHAnsi" w:cstheme="minorBidi"/>
        </w:rPr>
        <w:t>neighbouring</w:t>
      </w:r>
      <w:proofErr w:type="spellEnd"/>
      <w:r w:rsidRPr="0095425E">
        <w:rPr>
          <w:rFonts w:asciiTheme="minorHAnsi" w:eastAsiaTheme="minorEastAsia" w:hAnsiTheme="minorHAnsi" w:cstheme="minorBidi"/>
        </w:rPr>
        <w:t xml:space="preserve"> communities using the services. </w:t>
      </w:r>
    </w:p>
    <w:p w14:paraId="3637DF49" w14:textId="2E9273DD" w:rsidR="003B6377" w:rsidRDefault="270294E6" w:rsidP="003B6377">
      <w:pPr>
        <w:rPr>
          <w:rFonts w:asciiTheme="minorHAnsi" w:eastAsiaTheme="minorEastAsia" w:hAnsiTheme="minorHAnsi" w:cstheme="minorBidi"/>
        </w:rPr>
      </w:pPr>
      <w:r w:rsidRPr="0095425E">
        <w:rPr>
          <w:rFonts w:asciiTheme="minorHAnsi" w:eastAsiaTheme="minorEastAsia" w:hAnsiTheme="minorHAnsi" w:cstheme="minorBidi"/>
        </w:rPr>
        <w:t xml:space="preserve">The West Legal Advocate assists clients in Morley and Eden Valley of the Stoney </w:t>
      </w:r>
      <w:proofErr w:type="spellStart"/>
      <w:r w:rsidRPr="0095425E">
        <w:rPr>
          <w:rFonts w:asciiTheme="minorHAnsi" w:eastAsiaTheme="minorEastAsia" w:hAnsiTheme="minorHAnsi" w:cstheme="minorBidi"/>
        </w:rPr>
        <w:t>Nakoda</w:t>
      </w:r>
      <w:proofErr w:type="spellEnd"/>
      <w:r w:rsidRPr="0095425E">
        <w:rPr>
          <w:rFonts w:asciiTheme="minorHAnsi" w:eastAsiaTheme="minorEastAsia" w:hAnsiTheme="minorHAnsi" w:cstheme="minorBidi"/>
        </w:rPr>
        <w:t xml:space="preserve"> First Nations, Canmore, and Cochrane. Criminal cases in Canmore and Cochrane are primarily assault or impaired driving. In </w:t>
      </w:r>
      <w:r w:rsidR="00A0797D" w:rsidRPr="00A0797D">
        <w:rPr>
          <w:rFonts w:asciiTheme="minorHAnsi" w:eastAsiaTheme="minorEastAsia" w:hAnsiTheme="minorHAnsi" w:cstheme="minorBidi"/>
        </w:rPr>
        <w:t>Morley</w:t>
      </w:r>
      <w:r w:rsidRPr="0095425E">
        <w:rPr>
          <w:rFonts w:asciiTheme="minorHAnsi" w:eastAsiaTheme="minorEastAsia" w:hAnsiTheme="minorHAnsi" w:cstheme="minorBidi"/>
        </w:rPr>
        <w:t xml:space="preserve"> and Eden Valley the majority of criminal charges are usually theft under $5000, theft over $5000, and break and enters. </w:t>
      </w:r>
      <w:r w:rsidR="003B6377">
        <w:rPr>
          <w:rFonts w:asciiTheme="minorHAnsi" w:eastAsiaTheme="minorEastAsia" w:hAnsiTheme="minorHAnsi" w:cstheme="minorBidi"/>
        </w:rPr>
        <w:t xml:space="preserve">Canmore tends to have a number of cases where the offender was a tourist at the time of their charges, this includes international as well as national and provincial travelers. </w:t>
      </w:r>
    </w:p>
    <w:p w14:paraId="35EF0254" w14:textId="0AA4D3C7" w:rsidR="007A70EF" w:rsidRDefault="270294E6" w:rsidP="003B6377">
      <w:pPr>
        <w:rPr>
          <w:rFonts w:asciiTheme="minorHAnsi" w:eastAsiaTheme="minorEastAsia" w:hAnsiTheme="minorHAnsi" w:cstheme="minorBidi"/>
        </w:rPr>
      </w:pPr>
      <w:r w:rsidRPr="0095425E">
        <w:rPr>
          <w:rFonts w:asciiTheme="minorHAnsi" w:eastAsiaTheme="minorEastAsia" w:hAnsiTheme="minorHAnsi" w:cstheme="minorBidi"/>
        </w:rPr>
        <w:t xml:space="preserve">Our South Legal Advocate assists clients in Okotoks and </w:t>
      </w:r>
      <w:proofErr w:type="spellStart"/>
      <w:r w:rsidRPr="0095425E">
        <w:rPr>
          <w:rFonts w:asciiTheme="minorHAnsi" w:eastAsiaTheme="minorEastAsia" w:hAnsiTheme="minorHAnsi" w:cstheme="minorBidi"/>
        </w:rPr>
        <w:t>Airdrie</w:t>
      </w:r>
      <w:proofErr w:type="spellEnd"/>
      <w:r w:rsidRPr="0095425E">
        <w:rPr>
          <w:rFonts w:asciiTheme="minorHAnsi" w:eastAsiaTheme="minorEastAsia" w:hAnsiTheme="minorHAnsi" w:cstheme="minorBidi"/>
        </w:rPr>
        <w:t xml:space="preserve">, where the bulk of criminal charges are for impaired driving, mischief &amp; damage and assault (usually domestic in nature). These differences guide the specific types of supports which each community requires. </w:t>
      </w:r>
      <w:proofErr w:type="spellStart"/>
      <w:r w:rsidR="003B6377">
        <w:rPr>
          <w:rFonts w:asciiTheme="minorHAnsi" w:eastAsiaTheme="minorEastAsia" w:hAnsiTheme="minorHAnsi" w:cstheme="minorBidi"/>
        </w:rPr>
        <w:t>Didsbury</w:t>
      </w:r>
      <w:proofErr w:type="spellEnd"/>
      <w:r w:rsidR="003B6377">
        <w:rPr>
          <w:rFonts w:asciiTheme="minorHAnsi" w:eastAsiaTheme="minorEastAsia" w:hAnsiTheme="minorHAnsi" w:cstheme="minorBidi"/>
        </w:rPr>
        <w:t xml:space="preserve"> tends to see more domestic charges than some of the other courts as well and alcohol related misdemeanors.  </w:t>
      </w:r>
    </w:p>
    <w:p w14:paraId="705D3D07" w14:textId="19CA9EA5" w:rsidR="003B6377" w:rsidRDefault="003B6377" w:rsidP="003B6377">
      <w:pPr>
        <w:rPr>
          <w:rFonts w:asciiTheme="minorHAnsi" w:eastAsiaTheme="minorEastAsia" w:hAnsiTheme="minorHAnsi" w:cstheme="minorBidi"/>
        </w:rPr>
      </w:pPr>
      <w:r>
        <w:rPr>
          <w:rFonts w:asciiTheme="minorHAnsi" w:eastAsiaTheme="minorEastAsia" w:hAnsiTheme="minorHAnsi" w:cstheme="minorBidi"/>
        </w:rPr>
        <w:t xml:space="preserve">Calgary Legal Advocacy Program sees a number of individuals with no fixed address (NFA) who are referred through the shelters to address outstanding warrants and administration of justice charges. </w:t>
      </w:r>
      <w:r w:rsidR="009575DB">
        <w:rPr>
          <w:rFonts w:asciiTheme="minorHAnsi" w:eastAsiaTheme="minorEastAsia" w:hAnsiTheme="minorHAnsi" w:cstheme="minorBidi"/>
        </w:rPr>
        <w:t>Typically,</w:t>
      </w:r>
      <w:r>
        <w:rPr>
          <w:rFonts w:asciiTheme="minorHAnsi" w:eastAsiaTheme="minorEastAsia" w:hAnsiTheme="minorHAnsi" w:cstheme="minorBidi"/>
        </w:rPr>
        <w:t xml:space="preserve"> charges are for </w:t>
      </w:r>
      <w:r w:rsidR="009575DB">
        <w:rPr>
          <w:rFonts w:asciiTheme="minorHAnsi" w:eastAsiaTheme="minorEastAsia" w:hAnsiTheme="minorHAnsi" w:cstheme="minorBidi"/>
        </w:rPr>
        <w:t xml:space="preserve">thefts under and shoplifting. Additionally, this program supports individuals who are working on record suspensions to address their criminal record from old charges. </w:t>
      </w:r>
    </w:p>
    <w:p w14:paraId="2016D6EB" w14:textId="0D34D18C" w:rsidR="000A5B09" w:rsidRPr="009575DB" w:rsidRDefault="003B6377" w:rsidP="009575DB">
      <w:pPr>
        <w:rPr>
          <w:rFonts w:asciiTheme="minorHAnsi" w:eastAsiaTheme="minorEastAsia" w:hAnsiTheme="minorHAnsi" w:cstheme="minorBidi"/>
        </w:rPr>
      </w:pPr>
      <w:r>
        <w:rPr>
          <w:rFonts w:asciiTheme="minorHAnsi" w:eastAsiaTheme="minorEastAsia" w:hAnsiTheme="minorHAnsi" w:cstheme="minorBidi"/>
        </w:rPr>
        <w:t xml:space="preserve">Lethbridge, </w:t>
      </w:r>
      <w:proofErr w:type="spellStart"/>
      <w:r>
        <w:rPr>
          <w:rFonts w:asciiTheme="minorHAnsi" w:eastAsiaTheme="minorEastAsia" w:hAnsiTheme="minorHAnsi" w:cstheme="minorBidi"/>
        </w:rPr>
        <w:t>Siksika</w:t>
      </w:r>
      <w:proofErr w:type="spellEnd"/>
      <w:r>
        <w:rPr>
          <w:rFonts w:asciiTheme="minorHAnsi" w:eastAsiaTheme="minorEastAsia" w:hAnsiTheme="minorHAnsi" w:cstheme="minorBidi"/>
        </w:rPr>
        <w:t xml:space="preserve"> and Strathmore are new courts in 2020, therefore our data is limited currently in these areas. </w:t>
      </w:r>
    </w:p>
    <w:p w14:paraId="50ECB69D" w14:textId="30DF2D8D" w:rsidR="0091424C" w:rsidRPr="0095425E" w:rsidRDefault="270294E6" w:rsidP="270294E6">
      <w:pPr>
        <w:pStyle w:val="Title"/>
        <w:rPr>
          <w:rFonts w:asciiTheme="minorHAnsi" w:eastAsiaTheme="minorEastAsia" w:hAnsiTheme="minorHAnsi" w:cstheme="minorBidi"/>
          <w:color w:val="70AD47" w:themeColor="accent6"/>
          <w:sz w:val="44"/>
          <w:szCs w:val="44"/>
        </w:rPr>
      </w:pPr>
      <w:r w:rsidRPr="0095425E">
        <w:rPr>
          <w:rFonts w:asciiTheme="minorHAnsi" w:eastAsiaTheme="minorEastAsia" w:hAnsiTheme="minorHAnsi" w:cstheme="minorBidi"/>
          <w:color w:val="70AD47" w:themeColor="accent6"/>
          <w:sz w:val="44"/>
          <w:szCs w:val="44"/>
        </w:rPr>
        <w:lastRenderedPageBreak/>
        <w:t xml:space="preserve">Immigrant Legal Advocacy Program (ILAP) </w:t>
      </w:r>
    </w:p>
    <w:p w14:paraId="646AA5BC" w14:textId="4D683E4E" w:rsidR="00516067" w:rsidRPr="0095425E" w:rsidRDefault="270294E6" w:rsidP="270294E6">
      <w:pPr>
        <w:pStyle w:val="Title"/>
        <w:rPr>
          <w:rFonts w:asciiTheme="minorHAnsi" w:eastAsiaTheme="minorEastAsia" w:hAnsiTheme="minorHAnsi" w:cstheme="minorBidi"/>
          <w:b/>
          <w:bCs/>
          <w:smallCaps w:val="0"/>
          <w:color w:val="000000"/>
          <w:sz w:val="22"/>
          <w:szCs w:val="22"/>
        </w:rPr>
      </w:pPr>
      <w:r w:rsidRPr="270294E6">
        <w:rPr>
          <w:rFonts w:asciiTheme="minorHAnsi" w:eastAsiaTheme="minorEastAsia" w:hAnsiTheme="minorHAnsi" w:cstheme="minorBidi"/>
          <w:b/>
          <w:bCs/>
          <w:smallCaps w:val="0"/>
          <w:color w:val="000000" w:themeColor="text1"/>
          <w:sz w:val="22"/>
          <w:szCs w:val="22"/>
        </w:rPr>
        <w:t>Q: What percentage of beneficiaries are eligible for Legal Aid or capable of hiring a lawyer?</w:t>
      </w:r>
    </w:p>
    <w:p w14:paraId="18A673A6" w14:textId="4283614F" w:rsidR="00511BAC" w:rsidRPr="0095425E" w:rsidRDefault="270294E6" w:rsidP="009575DB">
      <w:pPr>
        <w:rPr>
          <w:rFonts w:asciiTheme="minorHAnsi" w:eastAsiaTheme="minorEastAsia" w:hAnsiTheme="minorHAnsi" w:cstheme="minorBidi"/>
        </w:rPr>
      </w:pPr>
      <w:r w:rsidRPr="0095425E">
        <w:rPr>
          <w:rFonts w:asciiTheme="minorHAnsi" w:eastAsiaTheme="minorEastAsia" w:hAnsiTheme="minorHAnsi" w:cstheme="minorBidi"/>
        </w:rPr>
        <w:t xml:space="preserve">Many newcomers to Canada face language, cultural and financial barriers that create challenges for them to navigate the immigration system in an informed, strategic manner. Difficulty reading and understanding legal documents and the workings of the legal system, filling out forms correctly and knowing which forms to use are all obstacles several newcomers find themselves up against. </w:t>
      </w:r>
      <w:r w:rsidR="009575DB">
        <w:rPr>
          <w:rFonts w:asciiTheme="minorHAnsi" w:eastAsiaTheme="minorEastAsia" w:hAnsiTheme="minorHAnsi" w:cstheme="minorBidi"/>
        </w:rPr>
        <w:t xml:space="preserve">This population experiences barriers in </w:t>
      </w:r>
      <w:r w:rsidRPr="0095425E">
        <w:rPr>
          <w:rFonts w:asciiTheme="minorHAnsi" w:eastAsiaTheme="minorEastAsia" w:hAnsiTheme="minorHAnsi" w:cstheme="minorBidi"/>
        </w:rPr>
        <w:t xml:space="preserve">communicating with Immigration, Refugees and Citizenship Canada (IRCC) </w:t>
      </w:r>
      <w:r w:rsidR="009575DB">
        <w:rPr>
          <w:rFonts w:asciiTheme="minorHAnsi" w:eastAsiaTheme="minorEastAsia" w:hAnsiTheme="minorHAnsi" w:cstheme="minorBidi"/>
        </w:rPr>
        <w:t xml:space="preserve">especially for those </w:t>
      </w:r>
      <w:r w:rsidRPr="0095425E">
        <w:rPr>
          <w:rFonts w:asciiTheme="minorHAnsi" w:eastAsiaTheme="minorEastAsia" w:hAnsiTheme="minorHAnsi" w:cstheme="minorBidi"/>
        </w:rPr>
        <w:t>non- English and French speakers who are unable to successfully maneuver the</w:t>
      </w:r>
      <w:r w:rsidR="009575DB">
        <w:rPr>
          <w:rFonts w:asciiTheme="minorHAnsi" w:eastAsiaTheme="minorEastAsia" w:hAnsiTheme="minorHAnsi" w:cstheme="minorBidi"/>
        </w:rPr>
        <w:t xml:space="preserve"> complexity of the government</w:t>
      </w:r>
      <w:r w:rsidRPr="0095425E">
        <w:rPr>
          <w:rFonts w:asciiTheme="minorHAnsi" w:eastAsiaTheme="minorEastAsia" w:hAnsiTheme="minorHAnsi" w:cstheme="minorBidi"/>
        </w:rPr>
        <w:t xml:space="preserve"> telephone system. In addition to this, governmental immigration services do not accept or provide information to third parties unless they are</w:t>
      </w:r>
      <w:r w:rsidR="009575DB">
        <w:rPr>
          <w:rFonts w:asciiTheme="minorHAnsi" w:eastAsiaTheme="minorEastAsia" w:hAnsiTheme="minorHAnsi" w:cstheme="minorBidi"/>
        </w:rPr>
        <w:t xml:space="preserve"> recorded as</w:t>
      </w:r>
      <w:r w:rsidRPr="0095425E">
        <w:rPr>
          <w:rFonts w:asciiTheme="minorHAnsi" w:eastAsiaTheme="minorEastAsia" w:hAnsiTheme="minorHAnsi" w:cstheme="minorBidi"/>
        </w:rPr>
        <w:t xml:space="preserve"> legal counsel or registered Immigration Consultants</w:t>
      </w:r>
      <w:r w:rsidR="009575DB">
        <w:rPr>
          <w:rFonts w:asciiTheme="minorHAnsi" w:eastAsiaTheme="minorEastAsia" w:hAnsiTheme="minorHAnsi" w:cstheme="minorBidi"/>
        </w:rPr>
        <w:t xml:space="preserve">, which requires a cumbersome process. </w:t>
      </w:r>
    </w:p>
    <w:p w14:paraId="76863B97" w14:textId="19B2FE77" w:rsidR="00511BAC" w:rsidRDefault="270294E6" w:rsidP="009575DB">
      <w:pPr>
        <w:rPr>
          <w:rFonts w:asciiTheme="minorHAnsi" w:eastAsiaTheme="minorEastAsia" w:hAnsiTheme="minorHAnsi" w:cstheme="minorBidi"/>
        </w:rPr>
      </w:pPr>
      <w:r w:rsidRPr="0095425E">
        <w:rPr>
          <w:rFonts w:asciiTheme="minorHAnsi" w:eastAsiaTheme="minorEastAsia" w:hAnsiTheme="minorHAnsi" w:cstheme="minorBidi"/>
        </w:rPr>
        <w:t xml:space="preserve">Furthermore, Immigrant serving agencies in Calgary are often limited to providing legal services only to Permanent Residents (PR) in the settlement phase, which excludes those who have not yet achieved PR status. The Immigrant Legal Advocacy Program (ILAP) does not place this restriction on those the program serves. Due to this, a large proportion of ILAP clients are seeking legal assistance in achieving </w:t>
      </w:r>
      <w:r w:rsidR="00EB2D7F">
        <w:rPr>
          <w:rFonts w:asciiTheme="minorHAnsi" w:eastAsiaTheme="minorEastAsia" w:hAnsiTheme="minorHAnsi" w:cstheme="minorBidi"/>
        </w:rPr>
        <w:t>PR</w:t>
      </w:r>
      <w:r w:rsidRPr="0095425E">
        <w:rPr>
          <w:rFonts w:asciiTheme="minorHAnsi" w:eastAsiaTheme="minorEastAsia" w:hAnsiTheme="minorHAnsi" w:cstheme="minorBidi"/>
        </w:rPr>
        <w:t xml:space="preserve"> status for themselves or for their family members. ILAP also commonly assists clients with family reunification, the ability to work in Canada legally and attaining Canadian </w:t>
      </w:r>
      <w:r w:rsidR="009575DB">
        <w:rPr>
          <w:rFonts w:asciiTheme="minorHAnsi" w:eastAsiaTheme="minorEastAsia" w:hAnsiTheme="minorHAnsi" w:cstheme="minorBidi"/>
        </w:rPr>
        <w:t xml:space="preserve">status or </w:t>
      </w:r>
      <w:r w:rsidRPr="0095425E">
        <w:rPr>
          <w:rFonts w:asciiTheme="minorHAnsi" w:eastAsiaTheme="minorEastAsia" w:hAnsiTheme="minorHAnsi" w:cstheme="minorBidi"/>
        </w:rPr>
        <w:t xml:space="preserve">Citizenship. </w:t>
      </w:r>
    </w:p>
    <w:p w14:paraId="57400C6C" w14:textId="73EA1C6F" w:rsidR="009575DB" w:rsidRDefault="270294E6" w:rsidP="009575DB">
      <w:pPr>
        <w:rPr>
          <w:rFonts w:asciiTheme="minorHAnsi" w:eastAsiaTheme="minorEastAsia" w:hAnsiTheme="minorHAnsi" w:cstheme="minorBidi"/>
        </w:rPr>
      </w:pPr>
      <w:r w:rsidRPr="0095425E">
        <w:rPr>
          <w:rFonts w:asciiTheme="minorHAnsi" w:eastAsiaTheme="minorEastAsia" w:hAnsiTheme="minorHAnsi" w:cstheme="minorBidi"/>
        </w:rPr>
        <w:t>Family unification makes up a significant portion of the work ILAP undertakes with clients. Many of the women who access our services may have had sponsorships with Canadian partners with Canadian children</w:t>
      </w:r>
      <w:r w:rsidR="009575DB">
        <w:rPr>
          <w:rFonts w:asciiTheme="minorHAnsi" w:eastAsiaTheme="minorEastAsia" w:hAnsiTheme="minorHAnsi" w:cstheme="minorBidi"/>
        </w:rPr>
        <w:t>. T</w:t>
      </w:r>
      <w:r w:rsidRPr="0095425E">
        <w:rPr>
          <w:rFonts w:asciiTheme="minorHAnsi" w:eastAsiaTheme="minorEastAsia" w:hAnsiTheme="minorHAnsi" w:cstheme="minorBidi"/>
        </w:rPr>
        <w:t xml:space="preserve">heir status in Canada </w:t>
      </w:r>
      <w:r w:rsidR="009575DB">
        <w:rPr>
          <w:rFonts w:asciiTheme="minorHAnsi" w:eastAsiaTheme="minorEastAsia" w:hAnsiTheme="minorHAnsi" w:cstheme="minorBidi"/>
        </w:rPr>
        <w:t>may become in</w:t>
      </w:r>
      <w:r w:rsidRPr="0095425E">
        <w:rPr>
          <w:rFonts w:asciiTheme="minorHAnsi" w:eastAsiaTheme="minorEastAsia" w:hAnsiTheme="minorHAnsi" w:cstheme="minorBidi"/>
        </w:rPr>
        <w:t xml:space="preserve"> jeopardy </w:t>
      </w:r>
      <w:r w:rsidR="009575DB">
        <w:rPr>
          <w:rFonts w:asciiTheme="minorHAnsi" w:eastAsiaTheme="minorEastAsia" w:hAnsiTheme="minorHAnsi" w:cstheme="minorBidi"/>
        </w:rPr>
        <w:t>when the</w:t>
      </w:r>
      <w:r w:rsidRPr="0095425E">
        <w:rPr>
          <w:rFonts w:asciiTheme="minorHAnsi" w:eastAsiaTheme="minorEastAsia" w:hAnsiTheme="minorHAnsi" w:cstheme="minorBidi"/>
        </w:rPr>
        <w:t xml:space="preserve"> relationship break</w:t>
      </w:r>
      <w:r w:rsidR="009575DB">
        <w:rPr>
          <w:rFonts w:asciiTheme="minorHAnsi" w:eastAsiaTheme="minorEastAsia" w:hAnsiTheme="minorHAnsi" w:cstheme="minorBidi"/>
        </w:rPr>
        <w:t xml:space="preserve">s </w:t>
      </w:r>
      <w:r w:rsidRPr="0095425E">
        <w:rPr>
          <w:rFonts w:asciiTheme="minorHAnsi" w:eastAsiaTheme="minorEastAsia" w:hAnsiTheme="minorHAnsi" w:cstheme="minorBidi"/>
        </w:rPr>
        <w:t xml:space="preserve">down and </w:t>
      </w:r>
      <w:r w:rsidR="009575DB">
        <w:rPr>
          <w:rFonts w:asciiTheme="minorHAnsi" w:eastAsiaTheme="minorEastAsia" w:hAnsiTheme="minorHAnsi" w:cstheme="minorBidi"/>
        </w:rPr>
        <w:t xml:space="preserve">often the spouse or partner will commence </w:t>
      </w:r>
      <w:r w:rsidR="00A0797D">
        <w:rPr>
          <w:rFonts w:asciiTheme="minorHAnsi" w:eastAsiaTheme="minorEastAsia" w:hAnsiTheme="minorHAnsi" w:cstheme="minorBidi"/>
        </w:rPr>
        <w:t>cancelation of the sponsorship</w:t>
      </w:r>
      <w:r w:rsidR="009575DB">
        <w:rPr>
          <w:rFonts w:asciiTheme="minorHAnsi" w:eastAsiaTheme="minorEastAsia" w:hAnsiTheme="minorHAnsi" w:cstheme="minorBidi"/>
        </w:rPr>
        <w:t xml:space="preserve"> leaving them without an application in process or with expired status in Canada</w:t>
      </w:r>
      <w:r w:rsidR="00A0797D">
        <w:rPr>
          <w:rFonts w:asciiTheme="minorHAnsi" w:eastAsiaTheme="minorEastAsia" w:hAnsiTheme="minorHAnsi" w:cstheme="minorBidi"/>
        </w:rPr>
        <w:t xml:space="preserve">. </w:t>
      </w:r>
    </w:p>
    <w:p w14:paraId="0B902271" w14:textId="17DA4950" w:rsidR="390F39C5" w:rsidRPr="007925B5" w:rsidRDefault="009575DB" w:rsidP="009575DB">
      <w:pPr>
        <w:rPr>
          <w:rFonts w:asciiTheme="minorHAnsi" w:eastAsiaTheme="minorEastAsia" w:hAnsiTheme="minorHAnsi" w:cstheme="minorBidi"/>
        </w:rPr>
      </w:pPr>
      <w:r>
        <w:rPr>
          <w:rFonts w:asciiTheme="minorHAnsi" w:eastAsiaTheme="minorEastAsia" w:hAnsiTheme="minorHAnsi" w:cstheme="minorBidi"/>
        </w:rPr>
        <w:t>A</w:t>
      </w:r>
      <w:r w:rsidR="00A0797D">
        <w:rPr>
          <w:rFonts w:asciiTheme="minorHAnsi" w:eastAsiaTheme="minorEastAsia" w:hAnsiTheme="minorHAnsi" w:cstheme="minorBidi"/>
        </w:rPr>
        <w:t xml:space="preserve">nother area which the ILAP addresses is family </w:t>
      </w:r>
      <w:r>
        <w:rPr>
          <w:rFonts w:asciiTheme="minorHAnsi" w:eastAsiaTheme="minorEastAsia" w:hAnsiTheme="minorHAnsi" w:cstheme="minorBidi"/>
        </w:rPr>
        <w:t>re</w:t>
      </w:r>
      <w:r w:rsidR="00A0797D">
        <w:rPr>
          <w:rFonts w:asciiTheme="minorHAnsi" w:eastAsiaTheme="minorEastAsia" w:hAnsiTheme="minorHAnsi" w:cstheme="minorBidi"/>
        </w:rPr>
        <w:t xml:space="preserve">unification to assist women with the ability to bring their families into Canada. </w:t>
      </w:r>
      <w:r w:rsidR="270294E6" w:rsidRPr="0095425E">
        <w:rPr>
          <w:rFonts w:asciiTheme="minorHAnsi" w:eastAsiaTheme="minorEastAsia" w:hAnsiTheme="minorHAnsi" w:cstheme="minorBidi"/>
        </w:rPr>
        <w:t xml:space="preserve"> </w:t>
      </w:r>
      <w:r w:rsidR="00A0797D">
        <w:rPr>
          <w:rFonts w:asciiTheme="minorHAnsi" w:eastAsiaTheme="minorEastAsia" w:hAnsiTheme="minorHAnsi" w:cstheme="minorBidi"/>
        </w:rPr>
        <w:t xml:space="preserve">Many </w:t>
      </w:r>
      <w:r w:rsidR="270294E6" w:rsidRPr="0095425E">
        <w:rPr>
          <w:rFonts w:asciiTheme="minorHAnsi" w:eastAsiaTheme="minorEastAsia" w:hAnsiTheme="minorHAnsi" w:cstheme="minorBidi"/>
        </w:rPr>
        <w:t>temporary workers</w:t>
      </w:r>
      <w:r w:rsidR="00A0797D">
        <w:rPr>
          <w:rFonts w:asciiTheme="minorHAnsi" w:eastAsiaTheme="minorEastAsia" w:hAnsiTheme="minorHAnsi" w:cstheme="minorBidi"/>
        </w:rPr>
        <w:t xml:space="preserve">, also access services to </w:t>
      </w:r>
      <w:r w:rsidR="270294E6" w:rsidRPr="0095425E">
        <w:rPr>
          <w:rFonts w:asciiTheme="minorHAnsi" w:eastAsiaTheme="minorEastAsia" w:hAnsiTheme="minorHAnsi" w:cstheme="minorBidi"/>
        </w:rPr>
        <w:t xml:space="preserve">achieve permanent residency or citizenship </w:t>
      </w:r>
      <w:r w:rsidR="00A0797D">
        <w:rPr>
          <w:rFonts w:asciiTheme="minorHAnsi" w:eastAsiaTheme="minorEastAsia" w:hAnsiTheme="minorHAnsi" w:cstheme="minorBidi"/>
        </w:rPr>
        <w:t xml:space="preserve">and wish to </w:t>
      </w:r>
      <w:r w:rsidR="270294E6" w:rsidRPr="0095425E">
        <w:rPr>
          <w:rFonts w:asciiTheme="minorHAnsi" w:eastAsiaTheme="minorEastAsia" w:hAnsiTheme="minorHAnsi" w:cstheme="minorBidi"/>
        </w:rPr>
        <w:t xml:space="preserve">attempt to bring their families to Canada once they have achieved </w:t>
      </w:r>
      <w:r w:rsidR="00A0797D">
        <w:rPr>
          <w:rFonts w:asciiTheme="minorHAnsi" w:eastAsiaTheme="minorEastAsia" w:hAnsiTheme="minorHAnsi" w:cstheme="minorBidi"/>
        </w:rPr>
        <w:t xml:space="preserve">their own </w:t>
      </w:r>
      <w:r w:rsidR="270294E6" w:rsidRPr="0095425E">
        <w:rPr>
          <w:rFonts w:asciiTheme="minorHAnsi" w:eastAsiaTheme="minorEastAsia" w:hAnsiTheme="minorHAnsi" w:cstheme="minorBidi"/>
        </w:rPr>
        <w:t>stability and status</w:t>
      </w:r>
      <w:r w:rsidR="00A0797D">
        <w:rPr>
          <w:rFonts w:asciiTheme="minorHAnsi" w:eastAsiaTheme="minorEastAsia" w:hAnsiTheme="minorHAnsi" w:cstheme="minorBidi"/>
        </w:rPr>
        <w:t xml:space="preserve"> in Canada</w:t>
      </w:r>
      <w:r w:rsidR="007925B5">
        <w:rPr>
          <w:rFonts w:asciiTheme="minorHAnsi" w:eastAsiaTheme="minorEastAsia" w:hAnsiTheme="minorHAnsi" w:cstheme="minorBidi"/>
        </w:rPr>
        <w:t>.</w:t>
      </w:r>
    </w:p>
    <w:tbl>
      <w:tblPr>
        <w:tblpPr w:leftFromText="180" w:rightFromText="180" w:vertAnchor="page" w:horzAnchor="margin" w:tblpY="6971"/>
        <w:tblW w:w="5541" w:type="dxa"/>
        <w:tblLayout w:type="fixed"/>
        <w:tblCellMar>
          <w:top w:w="15" w:type="dxa"/>
          <w:bottom w:w="15" w:type="dxa"/>
        </w:tblCellMar>
        <w:tblLook w:val="04A0" w:firstRow="1" w:lastRow="0" w:firstColumn="1" w:lastColumn="0" w:noHBand="0" w:noVBand="1"/>
      </w:tblPr>
      <w:tblGrid>
        <w:gridCol w:w="3801"/>
        <w:gridCol w:w="1740"/>
      </w:tblGrid>
      <w:tr w:rsidR="00A0797D" w:rsidRPr="000E02DC" w14:paraId="2A6FF3A2" w14:textId="77777777" w:rsidTr="00EB2D7F">
        <w:trPr>
          <w:trHeight w:val="150"/>
        </w:trPr>
        <w:tc>
          <w:tcPr>
            <w:tcW w:w="5541" w:type="dxa"/>
            <w:gridSpan w:val="2"/>
            <w:tcBorders>
              <w:top w:val="single" w:sz="4" w:space="0" w:color="auto"/>
              <w:left w:val="single" w:sz="4" w:space="0" w:color="auto"/>
              <w:bottom w:val="single" w:sz="8" w:space="0" w:color="auto"/>
              <w:right w:val="single" w:sz="4" w:space="0" w:color="auto"/>
            </w:tcBorders>
            <w:shd w:val="clear" w:color="auto" w:fill="A8D08D" w:themeFill="accent6" w:themeFillTint="99"/>
            <w:vAlign w:val="center"/>
          </w:tcPr>
          <w:p w14:paraId="0B6485DC" w14:textId="77777777" w:rsidR="00A0797D" w:rsidRPr="0095425E" w:rsidRDefault="00A0797D" w:rsidP="00A0797D">
            <w:pPr>
              <w:jc w:val="center"/>
              <w:rPr>
                <w:rFonts w:asciiTheme="minorHAnsi" w:eastAsiaTheme="minorEastAsia" w:hAnsiTheme="minorHAnsi" w:cstheme="minorBidi"/>
                <w:b/>
                <w:bCs/>
              </w:rPr>
            </w:pPr>
            <w:r w:rsidRPr="0095425E">
              <w:rPr>
                <w:rFonts w:asciiTheme="minorHAnsi" w:eastAsiaTheme="minorEastAsia" w:hAnsiTheme="minorHAnsi" w:cstheme="minorBidi"/>
                <w:b/>
                <w:bCs/>
              </w:rPr>
              <w:lastRenderedPageBreak/>
              <w:t>ILAP Client Average Annual Income 2019</w:t>
            </w:r>
          </w:p>
        </w:tc>
      </w:tr>
      <w:tr w:rsidR="00A0797D" w:rsidRPr="000E02DC" w14:paraId="75BE31DE" w14:textId="77777777" w:rsidTr="00EB2D7F">
        <w:trPr>
          <w:trHeight w:val="150"/>
        </w:trPr>
        <w:tc>
          <w:tcPr>
            <w:tcW w:w="3801" w:type="dxa"/>
            <w:tcBorders>
              <w:top w:val="single" w:sz="8" w:space="0" w:color="auto"/>
              <w:left w:val="single" w:sz="4" w:space="0" w:color="auto"/>
              <w:bottom w:val="single" w:sz="8" w:space="0" w:color="auto"/>
              <w:right w:val="single" w:sz="4" w:space="0" w:color="auto"/>
            </w:tcBorders>
            <w:shd w:val="clear" w:color="auto" w:fill="E2EFD9" w:themeFill="accent6" w:themeFillTint="33"/>
            <w:vAlign w:val="center"/>
            <w:hideMark/>
          </w:tcPr>
          <w:p w14:paraId="23E255DC" w14:textId="77777777" w:rsidR="00A0797D" w:rsidRPr="0095425E" w:rsidRDefault="00A0797D" w:rsidP="00A0797D">
            <w:pPr>
              <w:jc w:val="center"/>
              <w:rPr>
                <w:rFonts w:asciiTheme="minorHAnsi" w:eastAsiaTheme="minorEastAsia" w:hAnsiTheme="minorHAnsi" w:cstheme="minorBidi"/>
                <w:b/>
                <w:bCs/>
              </w:rPr>
            </w:pPr>
            <w:r w:rsidRPr="0095425E">
              <w:rPr>
                <w:rFonts w:asciiTheme="minorHAnsi" w:eastAsiaTheme="minorEastAsia" w:hAnsiTheme="minorHAnsi" w:cstheme="minorBidi"/>
                <w:b/>
                <w:bCs/>
              </w:rPr>
              <w:t>Average Annual Income</w:t>
            </w:r>
          </w:p>
        </w:tc>
        <w:tc>
          <w:tcPr>
            <w:tcW w:w="1740" w:type="dxa"/>
            <w:tcBorders>
              <w:top w:val="single" w:sz="8" w:space="0" w:color="auto"/>
              <w:left w:val="single" w:sz="4" w:space="0" w:color="auto"/>
              <w:bottom w:val="single" w:sz="8" w:space="0" w:color="auto"/>
              <w:right w:val="single" w:sz="4" w:space="0" w:color="auto"/>
            </w:tcBorders>
            <w:shd w:val="clear" w:color="auto" w:fill="E2EFD9" w:themeFill="accent6" w:themeFillTint="33"/>
            <w:noWrap/>
            <w:vAlign w:val="center"/>
            <w:hideMark/>
          </w:tcPr>
          <w:p w14:paraId="3D04A1C1" w14:textId="77777777" w:rsidR="00A0797D" w:rsidRPr="0095425E" w:rsidRDefault="00A0797D" w:rsidP="00A0797D">
            <w:pPr>
              <w:jc w:val="center"/>
              <w:rPr>
                <w:rFonts w:asciiTheme="minorHAnsi" w:eastAsiaTheme="minorEastAsia" w:hAnsiTheme="minorHAnsi" w:cstheme="minorBidi"/>
                <w:b/>
                <w:bCs/>
              </w:rPr>
            </w:pPr>
            <w:r w:rsidRPr="0095425E">
              <w:rPr>
                <w:rFonts w:asciiTheme="minorHAnsi" w:eastAsiaTheme="minorEastAsia" w:hAnsiTheme="minorHAnsi" w:cstheme="minorBidi"/>
                <w:b/>
                <w:bCs/>
              </w:rPr>
              <w:t>% of Clients</w:t>
            </w:r>
          </w:p>
        </w:tc>
      </w:tr>
      <w:tr w:rsidR="00A0797D" w:rsidRPr="000E02DC" w14:paraId="765D7BE0" w14:textId="77777777" w:rsidTr="00EB2D7F">
        <w:trPr>
          <w:trHeight w:val="115"/>
        </w:trPr>
        <w:tc>
          <w:tcPr>
            <w:tcW w:w="3801" w:type="dxa"/>
            <w:tcBorders>
              <w:top w:val="nil"/>
              <w:left w:val="single" w:sz="4" w:space="0" w:color="auto"/>
              <w:bottom w:val="single" w:sz="4" w:space="0" w:color="auto"/>
              <w:right w:val="single" w:sz="4" w:space="0" w:color="auto"/>
            </w:tcBorders>
            <w:shd w:val="clear" w:color="auto" w:fill="FFFFFF" w:themeFill="background1"/>
            <w:vAlign w:val="center"/>
            <w:hideMark/>
          </w:tcPr>
          <w:p w14:paraId="1C8BF9CD" w14:textId="77777777" w:rsidR="00A0797D" w:rsidRPr="0095425E" w:rsidRDefault="00A0797D" w:rsidP="00A0797D">
            <w:pPr>
              <w:rPr>
                <w:rFonts w:asciiTheme="minorHAnsi" w:eastAsiaTheme="minorEastAsia" w:hAnsiTheme="minorHAnsi" w:cstheme="minorBidi"/>
              </w:rPr>
            </w:pPr>
            <w:r w:rsidRPr="0095425E">
              <w:rPr>
                <w:rFonts w:asciiTheme="minorHAnsi" w:eastAsiaTheme="minorEastAsia" w:hAnsiTheme="minorHAnsi" w:cstheme="minorBidi"/>
              </w:rPr>
              <w:t>Less than 15,000</w:t>
            </w:r>
          </w:p>
        </w:tc>
        <w:tc>
          <w:tcPr>
            <w:tcW w:w="1740" w:type="dxa"/>
            <w:tcBorders>
              <w:top w:val="nil"/>
              <w:left w:val="single" w:sz="4" w:space="0" w:color="auto"/>
              <w:bottom w:val="single" w:sz="4" w:space="0" w:color="auto"/>
              <w:right w:val="single" w:sz="4" w:space="0" w:color="auto"/>
            </w:tcBorders>
            <w:shd w:val="clear" w:color="auto" w:fill="FFFFFF" w:themeFill="background1"/>
            <w:noWrap/>
            <w:vAlign w:val="center"/>
          </w:tcPr>
          <w:p w14:paraId="40FAF388" w14:textId="77777777" w:rsidR="00A0797D" w:rsidRPr="0095425E" w:rsidRDefault="00A0797D" w:rsidP="00A0797D">
            <w:pPr>
              <w:jc w:val="center"/>
              <w:rPr>
                <w:rFonts w:asciiTheme="minorHAnsi" w:eastAsiaTheme="minorEastAsia" w:hAnsiTheme="minorHAnsi" w:cstheme="minorBidi"/>
              </w:rPr>
            </w:pPr>
            <w:r w:rsidRPr="0095425E">
              <w:rPr>
                <w:rFonts w:asciiTheme="minorHAnsi" w:eastAsiaTheme="minorEastAsia" w:hAnsiTheme="minorHAnsi" w:cstheme="minorBidi"/>
              </w:rPr>
              <w:t>68%</w:t>
            </w:r>
          </w:p>
        </w:tc>
      </w:tr>
      <w:tr w:rsidR="00A0797D" w:rsidRPr="000E02DC" w14:paraId="695B3D8A" w14:textId="77777777" w:rsidTr="00EB2D7F">
        <w:trPr>
          <w:trHeight w:val="115"/>
        </w:trPr>
        <w:tc>
          <w:tcPr>
            <w:tcW w:w="3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66278C" w14:textId="77777777" w:rsidR="00A0797D" w:rsidRPr="0095425E" w:rsidRDefault="00A0797D" w:rsidP="00A0797D">
            <w:pPr>
              <w:rPr>
                <w:rFonts w:asciiTheme="minorHAnsi" w:eastAsiaTheme="minorEastAsia" w:hAnsiTheme="minorHAnsi" w:cstheme="minorBidi"/>
              </w:rPr>
            </w:pPr>
            <w:r w:rsidRPr="0095425E">
              <w:rPr>
                <w:rFonts w:asciiTheme="minorHAnsi" w:eastAsiaTheme="minorEastAsia" w:hAnsiTheme="minorHAnsi" w:cstheme="minorBidi"/>
              </w:rPr>
              <w:t>15,000 – 24,999</w:t>
            </w:r>
          </w:p>
        </w:tc>
        <w:tc>
          <w:tcPr>
            <w:tcW w:w="1740" w:type="dxa"/>
            <w:tcBorders>
              <w:top w:val="nil"/>
              <w:left w:val="single" w:sz="4" w:space="0" w:color="auto"/>
              <w:bottom w:val="single" w:sz="4" w:space="0" w:color="auto"/>
              <w:right w:val="single" w:sz="4" w:space="0" w:color="auto"/>
            </w:tcBorders>
            <w:shd w:val="clear" w:color="auto" w:fill="FFFFFF" w:themeFill="background1"/>
            <w:noWrap/>
            <w:vAlign w:val="center"/>
          </w:tcPr>
          <w:p w14:paraId="19082AB6" w14:textId="77777777" w:rsidR="00A0797D" w:rsidRPr="0095425E" w:rsidRDefault="00A0797D" w:rsidP="00A0797D">
            <w:pPr>
              <w:jc w:val="center"/>
              <w:rPr>
                <w:rFonts w:asciiTheme="minorHAnsi" w:eastAsiaTheme="minorEastAsia" w:hAnsiTheme="minorHAnsi" w:cstheme="minorBidi"/>
              </w:rPr>
            </w:pPr>
            <w:r w:rsidRPr="0095425E">
              <w:rPr>
                <w:rFonts w:asciiTheme="minorHAnsi" w:eastAsiaTheme="minorEastAsia" w:hAnsiTheme="minorHAnsi" w:cstheme="minorBidi"/>
              </w:rPr>
              <w:t>14%</w:t>
            </w:r>
          </w:p>
        </w:tc>
      </w:tr>
      <w:tr w:rsidR="00A0797D" w:rsidRPr="000E02DC" w14:paraId="3F8C4AEB" w14:textId="77777777" w:rsidTr="00EB2D7F">
        <w:trPr>
          <w:trHeight w:val="115"/>
        </w:trPr>
        <w:tc>
          <w:tcPr>
            <w:tcW w:w="3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54C487" w14:textId="77777777" w:rsidR="00A0797D" w:rsidRPr="0095425E" w:rsidRDefault="00A0797D" w:rsidP="00A0797D">
            <w:pPr>
              <w:rPr>
                <w:rFonts w:asciiTheme="minorHAnsi" w:eastAsiaTheme="minorEastAsia" w:hAnsiTheme="minorHAnsi" w:cstheme="minorBidi"/>
              </w:rPr>
            </w:pPr>
            <w:r w:rsidRPr="0095425E">
              <w:rPr>
                <w:rFonts w:asciiTheme="minorHAnsi" w:eastAsiaTheme="minorEastAsia" w:hAnsiTheme="minorHAnsi" w:cstheme="minorBidi"/>
              </w:rPr>
              <w:t>25,000 – 34,999</w:t>
            </w:r>
          </w:p>
        </w:tc>
        <w:tc>
          <w:tcPr>
            <w:tcW w:w="1740" w:type="dxa"/>
            <w:tcBorders>
              <w:top w:val="nil"/>
              <w:left w:val="single" w:sz="4" w:space="0" w:color="auto"/>
              <w:bottom w:val="single" w:sz="4" w:space="0" w:color="auto"/>
              <w:right w:val="single" w:sz="4" w:space="0" w:color="auto"/>
            </w:tcBorders>
            <w:shd w:val="clear" w:color="auto" w:fill="FFFFFF" w:themeFill="background1"/>
            <w:noWrap/>
            <w:vAlign w:val="center"/>
          </w:tcPr>
          <w:p w14:paraId="0B045061" w14:textId="77777777" w:rsidR="00A0797D" w:rsidRPr="0095425E" w:rsidRDefault="00A0797D" w:rsidP="00A0797D">
            <w:pPr>
              <w:jc w:val="center"/>
              <w:rPr>
                <w:rFonts w:asciiTheme="minorHAnsi" w:eastAsiaTheme="minorEastAsia" w:hAnsiTheme="minorHAnsi" w:cstheme="minorBidi"/>
              </w:rPr>
            </w:pPr>
            <w:r w:rsidRPr="0095425E">
              <w:rPr>
                <w:rFonts w:asciiTheme="minorHAnsi" w:eastAsiaTheme="minorEastAsia" w:hAnsiTheme="minorHAnsi" w:cstheme="minorBidi"/>
              </w:rPr>
              <w:t>9%</w:t>
            </w:r>
          </w:p>
        </w:tc>
      </w:tr>
      <w:tr w:rsidR="00A0797D" w:rsidRPr="000E02DC" w14:paraId="2F872E4F" w14:textId="77777777" w:rsidTr="00EB2D7F">
        <w:trPr>
          <w:trHeight w:val="115"/>
        </w:trPr>
        <w:tc>
          <w:tcPr>
            <w:tcW w:w="3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22DD43" w14:textId="77777777" w:rsidR="00A0797D" w:rsidRPr="0095425E" w:rsidRDefault="00A0797D" w:rsidP="00A0797D">
            <w:pPr>
              <w:rPr>
                <w:rFonts w:asciiTheme="minorHAnsi" w:eastAsiaTheme="minorEastAsia" w:hAnsiTheme="minorHAnsi" w:cstheme="minorBidi"/>
              </w:rPr>
            </w:pPr>
            <w:r w:rsidRPr="0095425E">
              <w:rPr>
                <w:rFonts w:asciiTheme="minorHAnsi" w:eastAsiaTheme="minorEastAsia" w:hAnsiTheme="minorHAnsi" w:cstheme="minorBidi"/>
              </w:rPr>
              <w:t>35,000 – 44,999</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8EF62E" w14:textId="77777777" w:rsidR="00A0797D" w:rsidRPr="0095425E" w:rsidRDefault="00A0797D" w:rsidP="00A0797D">
            <w:pPr>
              <w:jc w:val="center"/>
              <w:rPr>
                <w:rFonts w:asciiTheme="minorHAnsi" w:eastAsiaTheme="minorEastAsia" w:hAnsiTheme="minorHAnsi" w:cstheme="minorBidi"/>
              </w:rPr>
            </w:pPr>
            <w:r w:rsidRPr="0095425E">
              <w:rPr>
                <w:rFonts w:asciiTheme="minorHAnsi" w:eastAsiaTheme="minorEastAsia" w:hAnsiTheme="minorHAnsi" w:cstheme="minorBidi"/>
              </w:rPr>
              <w:t>4%</w:t>
            </w:r>
          </w:p>
        </w:tc>
      </w:tr>
      <w:tr w:rsidR="00A0797D" w:rsidRPr="000E02DC" w14:paraId="03FC3290" w14:textId="77777777" w:rsidTr="00EB2D7F">
        <w:trPr>
          <w:trHeight w:val="115"/>
        </w:trPr>
        <w:tc>
          <w:tcPr>
            <w:tcW w:w="3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08603E" w14:textId="77777777" w:rsidR="00A0797D" w:rsidRPr="0095425E" w:rsidRDefault="00A0797D" w:rsidP="00A0797D">
            <w:pPr>
              <w:rPr>
                <w:rFonts w:asciiTheme="minorHAnsi" w:eastAsiaTheme="minorEastAsia" w:hAnsiTheme="minorHAnsi" w:cstheme="minorBidi"/>
              </w:rPr>
            </w:pPr>
            <w:r w:rsidRPr="0095425E">
              <w:rPr>
                <w:rFonts w:asciiTheme="minorHAnsi" w:eastAsiaTheme="minorEastAsia" w:hAnsiTheme="minorHAnsi" w:cstheme="minorBidi"/>
              </w:rPr>
              <w:t xml:space="preserve">45,000 – 54,999 </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6118AC" w14:textId="77777777" w:rsidR="00A0797D" w:rsidRPr="0095425E" w:rsidRDefault="00A0797D" w:rsidP="00A0797D">
            <w:pPr>
              <w:jc w:val="center"/>
              <w:rPr>
                <w:rFonts w:asciiTheme="minorHAnsi" w:eastAsiaTheme="minorEastAsia" w:hAnsiTheme="minorHAnsi" w:cstheme="minorBidi"/>
              </w:rPr>
            </w:pPr>
            <w:r w:rsidRPr="0095425E">
              <w:rPr>
                <w:rFonts w:asciiTheme="minorHAnsi" w:eastAsiaTheme="minorEastAsia" w:hAnsiTheme="minorHAnsi" w:cstheme="minorBidi"/>
              </w:rPr>
              <w:t>3%</w:t>
            </w:r>
          </w:p>
        </w:tc>
      </w:tr>
      <w:tr w:rsidR="00A0797D" w:rsidRPr="000E02DC" w14:paraId="4146E71A" w14:textId="77777777" w:rsidTr="00EB2D7F">
        <w:trPr>
          <w:trHeight w:val="115"/>
        </w:trPr>
        <w:tc>
          <w:tcPr>
            <w:tcW w:w="3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2C7B00" w14:textId="77777777" w:rsidR="00A0797D" w:rsidRPr="0095425E" w:rsidRDefault="00A0797D" w:rsidP="00D33536">
            <w:pPr>
              <w:spacing w:after="0"/>
              <w:rPr>
                <w:rFonts w:asciiTheme="minorHAnsi" w:eastAsiaTheme="minorEastAsia" w:hAnsiTheme="minorHAnsi" w:cstheme="minorBidi"/>
              </w:rPr>
            </w:pPr>
            <w:r w:rsidRPr="0095425E">
              <w:rPr>
                <w:rFonts w:asciiTheme="minorHAnsi" w:eastAsiaTheme="minorEastAsia" w:hAnsiTheme="minorHAnsi" w:cstheme="minorBidi"/>
              </w:rPr>
              <w:t xml:space="preserve">         55,000 +</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77B426" w14:textId="77777777" w:rsidR="00A0797D" w:rsidRPr="0095425E" w:rsidRDefault="00A0797D" w:rsidP="00D33536">
            <w:pPr>
              <w:spacing w:after="0"/>
              <w:jc w:val="center"/>
              <w:rPr>
                <w:rFonts w:asciiTheme="minorHAnsi" w:eastAsiaTheme="minorEastAsia" w:hAnsiTheme="minorHAnsi" w:cstheme="minorBidi"/>
              </w:rPr>
            </w:pPr>
            <w:r w:rsidRPr="0095425E">
              <w:rPr>
                <w:rFonts w:asciiTheme="minorHAnsi" w:eastAsiaTheme="minorEastAsia" w:hAnsiTheme="minorHAnsi" w:cstheme="minorBidi"/>
              </w:rPr>
              <w:t>0%</w:t>
            </w:r>
          </w:p>
        </w:tc>
      </w:tr>
    </w:tbl>
    <w:p w14:paraId="7933A1C3" w14:textId="77777777" w:rsidR="009575DB" w:rsidRDefault="00EB2D7F" w:rsidP="00D33536">
      <w:pPr>
        <w:spacing w:after="0"/>
        <w:rPr>
          <w:rFonts w:asciiTheme="minorHAnsi" w:eastAsiaTheme="minorEastAsia" w:hAnsiTheme="minorHAnsi" w:cstheme="minorBidi"/>
        </w:rPr>
      </w:pPr>
      <w:r w:rsidRPr="0095425E">
        <w:rPr>
          <w:rFonts w:asciiTheme="minorHAnsi" w:eastAsiaTheme="minorEastAsia" w:hAnsiTheme="minorHAnsi" w:cstheme="minorBidi"/>
        </w:rPr>
        <w:t>A significant majority of ILAP clients are low-income and face substantial financial barriers to accessing legal assistance. Based on 2019 data, 88% of ILAP clients had an annual average income of less than $25,000, (See Table 4) which is below the federally set Low-Income Cut Off (LICO) measure for a one-person family unit size in 2018</w:t>
      </w:r>
      <w:r w:rsidRPr="0095425E">
        <w:rPr>
          <w:rStyle w:val="FootnoteReference"/>
          <w:rFonts w:asciiTheme="minorHAnsi" w:eastAsiaTheme="minorEastAsia" w:hAnsiTheme="minorHAnsi" w:cstheme="minorBidi"/>
        </w:rPr>
        <w:footnoteReference w:id="1"/>
      </w:r>
      <w:r w:rsidRPr="0095425E">
        <w:rPr>
          <w:rFonts w:asciiTheme="minorHAnsi" w:eastAsiaTheme="minorEastAsia" w:hAnsiTheme="minorHAnsi" w:cstheme="minorBidi"/>
        </w:rPr>
        <w:t>. The average monthly income for 2019 ILAP clients was $895/mo. As the above information indicates, very few, if any</w:t>
      </w:r>
      <w:r>
        <w:rPr>
          <w:rFonts w:asciiTheme="minorHAnsi" w:eastAsiaTheme="minorEastAsia" w:hAnsiTheme="minorHAnsi" w:cstheme="minorBidi"/>
        </w:rPr>
        <w:t>,</w:t>
      </w:r>
      <w:r w:rsidRPr="0095425E">
        <w:rPr>
          <w:rFonts w:asciiTheme="minorHAnsi" w:eastAsiaTheme="minorEastAsia" w:hAnsiTheme="minorHAnsi" w:cstheme="minorBidi"/>
        </w:rPr>
        <w:t xml:space="preserve"> clients who seek out ILAP services can afford to hire a lawyer. Additionally, as mentioned earlier in this report, accessing Legal Aid is not always as simple as being able to meet the low-income eligibility </w:t>
      </w:r>
      <w:r>
        <w:rPr>
          <w:rFonts w:asciiTheme="minorHAnsi" w:eastAsiaTheme="minorEastAsia" w:hAnsiTheme="minorHAnsi" w:cstheme="minorBidi"/>
        </w:rPr>
        <w:t>requirements threshold.</w:t>
      </w:r>
      <w:r w:rsidR="006B7AFB" w:rsidRPr="006B7AFB">
        <w:rPr>
          <w:rFonts w:asciiTheme="minorHAnsi" w:eastAsiaTheme="minorEastAsia" w:hAnsiTheme="minorHAnsi" w:cstheme="minorBidi"/>
        </w:rPr>
        <w:t xml:space="preserve"> </w:t>
      </w:r>
    </w:p>
    <w:p w14:paraId="54F718C9" w14:textId="62FB50F0" w:rsidR="00D33536" w:rsidRPr="00D33536" w:rsidRDefault="006B7AFB" w:rsidP="00D33536">
      <w:pPr>
        <w:spacing w:after="0"/>
        <w:rPr>
          <w:rFonts w:asciiTheme="minorHAnsi" w:eastAsiaTheme="minorEastAsia" w:hAnsiTheme="minorHAnsi" w:cstheme="minorBidi"/>
        </w:rPr>
      </w:pPr>
      <w:r w:rsidRPr="0095425E">
        <w:rPr>
          <w:rFonts w:asciiTheme="minorHAnsi" w:eastAsiaTheme="minorEastAsia" w:hAnsiTheme="minorHAnsi" w:cstheme="minorBidi"/>
        </w:rPr>
        <w:t xml:space="preserve">Legal Aid is limited to the type of support they can provide immigrants based on their </w:t>
      </w:r>
      <w:r w:rsidR="009575DB">
        <w:rPr>
          <w:rFonts w:asciiTheme="minorHAnsi" w:eastAsiaTheme="minorEastAsia" w:hAnsiTheme="minorHAnsi" w:cstheme="minorBidi"/>
        </w:rPr>
        <w:t>parameters of their</w:t>
      </w:r>
      <w:r w:rsidRPr="0095425E">
        <w:rPr>
          <w:rFonts w:asciiTheme="minorHAnsi" w:eastAsiaTheme="minorEastAsia" w:hAnsiTheme="minorHAnsi" w:cstheme="minorBidi"/>
        </w:rPr>
        <w:t xml:space="preserve"> resources. Immigration supports from Legal Aid are primarily provided to refugees who are not government assisted, address judicial reviews and failed claims, detention reviews, and admissibility hearings for those being deported or removed from Canada </w:t>
      </w:r>
      <w:r>
        <w:rPr>
          <w:rFonts w:asciiTheme="minorHAnsi" w:eastAsiaTheme="minorEastAsia" w:hAnsiTheme="minorHAnsi" w:cstheme="minorBidi"/>
        </w:rPr>
        <w:t>for</w:t>
      </w:r>
      <w:r w:rsidRPr="0095425E">
        <w:rPr>
          <w:rFonts w:asciiTheme="minorHAnsi" w:eastAsiaTheme="minorEastAsia" w:hAnsiTheme="minorHAnsi" w:cstheme="minorBidi"/>
        </w:rPr>
        <w:t xml:space="preserve"> criminal offenses.  ILAP, instead, focuses on status issues of women and families to resolve reunification and/or preventing families from being separated due to immigration issues. The EFry Immigrant Legal Advocate is a Registered Immigration Consultant who is familiar with and remains up to date on immigration legislation, which can be updated daily. </w:t>
      </w:r>
      <w:r w:rsidR="5A6B7BCA" w:rsidRPr="0095425E">
        <w:rPr>
          <w:rFonts w:asciiTheme="minorHAnsi" w:eastAsiaTheme="minorEastAsia" w:hAnsiTheme="minorHAnsi" w:cstheme="minorBidi"/>
        </w:rPr>
        <w:t xml:space="preserve"> </w:t>
      </w:r>
    </w:p>
    <w:p w14:paraId="678CDFFC" w14:textId="77777777" w:rsidR="00D33536" w:rsidRDefault="00D33536" w:rsidP="00D33536">
      <w:pPr>
        <w:pStyle w:val="Title"/>
        <w:spacing w:line="240" w:lineRule="auto"/>
        <w:rPr>
          <w:rFonts w:asciiTheme="minorHAnsi" w:eastAsiaTheme="minorEastAsia" w:hAnsiTheme="minorHAnsi" w:cstheme="minorBidi"/>
          <w:color w:val="70AD47" w:themeColor="accent6"/>
          <w:sz w:val="44"/>
          <w:szCs w:val="44"/>
        </w:rPr>
      </w:pPr>
    </w:p>
    <w:p w14:paraId="332C980C" w14:textId="77777777" w:rsidR="00D33536" w:rsidRDefault="00D33536" w:rsidP="00D33536">
      <w:pPr>
        <w:pStyle w:val="Title"/>
        <w:spacing w:line="240" w:lineRule="auto"/>
        <w:rPr>
          <w:rFonts w:asciiTheme="minorHAnsi" w:eastAsiaTheme="minorEastAsia" w:hAnsiTheme="minorHAnsi" w:cstheme="minorBidi"/>
          <w:color w:val="70AD47" w:themeColor="accent6"/>
          <w:sz w:val="44"/>
          <w:szCs w:val="44"/>
        </w:rPr>
      </w:pPr>
    </w:p>
    <w:p w14:paraId="1B270028" w14:textId="77777777" w:rsidR="00D33536" w:rsidRDefault="00D33536" w:rsidP="00D33536">
      <w:pPr>
        <w:pStyle w:val="Title"/>
        <w:spacing w:line="240" w:lineRule="auto"/>
        <w:rPr>
          <w:rFonts w:asciiTheme="minorHAnsi" w:eastAsiaTheme="minorEastAsia" w:hAnsiTheme="minorHAnsi" w:cstheme="minorBidi"/>
          <w:color w:val="70AD47" w:themeColor="accent6"/>
          <w:sz w:val="44"/>
          <w:szCs w:val="44"/>
        </w:rPr>
      </w:pPr>
    </w:p>
    <w:p w14:paraId="5308523A" w14:textId="77777777" w:rsidR="00D33536" w:rsidRDefault="00D33536" w:rsidP="00D33536">
      <w:pPr>
        <w:pStyle w:val="Title"/>
        <w:spacing w:line="240" w:lineRule="auto"/>
        <w:rPr>
          <w:rFonts w:asciiTheme="minorHAnsi" w:eastAsiaTheme="minorEastAsia" w:hAnsiTheme="minorHAnsi" w:cstheme="minorBidi"/>
          <w:color w:val="70AD47" w:themeColor="accent6"/>
          <w:sz w:val="44"/>
          <w:szCs w:val="44"/>
        </w:rPr>
      </w:pPr>
    </w:p>
    <w:p w14:paraId="2971763B" w14:textId="77777777" w:rsidR="00D33536" w:rsidRDefault="00D33536" w:rsidP="00D33536">
      <w:pPr>
        <w:pStyle w:val="Title"/>
        <w:spacing w:line="240" w:lineRule="auto"/>
        <w:rPr>
          <w:rFonts w:asciiTheme="minorHAnsi" w:eastAsiaTheme="minorEastAsia" w:hAnsiTheme="minorHAnsi" w:cstheme="minorBidi"/>
          <w:color w:val="70AD47" w:themeColor="accent6"/>
          <w:sz w:val="44"/>
          <w:szCs w:val="44"/>
        </w:rPr>
      </w:pPr>
    </w:p>
    <w:p w14:paraId="00336779" w14:textId="77777777" w:rsidR="00D33536" w:rsidRDefault="00D33536" w:rsidP="00D33536">
      <w:pPr>
        <w:pStyle w:val="Title"/>
        <w:spacing w:line="240" w:lineRule="auto"/>
        <w:rPr>
          <w:rFonts w:asciiTheme="minorHAnsi" w:eastAsiaTheme="minorEastAsia" w:hAnsiTheme="minorHAnsi" w:cstheme="minorBidi"/>
          <w:color w:val="70AD47" w:themeColor="accent6"/>
          <w:sz w:val="44"/>
          <w:szCs w:val="44"/>
        </w:rPr>
      </w:pPr>
    </w:p>
    <w:p w14:paraId="7C7F9920" w14:textId="77777777" w:rsidR="00D33536" w:rsidRDefault="00D33536" w:rsidP="00D33536">
      <w:pPr>
        <w:pStyle w:val="Title"/>
        <w:spacing w:line="240" w:lineRule="auto"/>
        <w:rPr>
          <w:rFonts w:asciiTheme="minorHAnsi" w:eastAsiaTheme="minorEastAsia" w:hAnsiTheme="minorHAnsi" w:cstheme="minorBidi"/>
          <w:color w:val="70AD47" w:themeColor="accent6"/>
          <w:sz w:val="44"/>
          <w:szCs w:val="44"/>
        </w:rPr>
      </w:pPr>
    </w:p>
    <w:p w14:paraId="31E91FBE" w14:textId="77777777" w:rsidR="00D33536" w:rsidRDefault="00D33536" w:rsidP="00D33536">
      <w:pPr>
        <w:pStyle w:val="Title"/>
        <w:spacing w:line="240" w:lineRule="auto"/>
        <w:rPr>
          <w:rFonts w:asciiTheme="minorHAnsi" w:eastAsiaTheme="minorEastAsia" w:hAnsiTheme="minorHAnsi" w:cstheme="minorBidi"/>
          <w:color w:val="70AD47" w:themeColor="accent6"/>
          <w:sz w:val="44"/>
          <w:szCs w:val="44"/>
        </w:rPr>
      </w:pPr>
    </w:p>
    <w:p w14:paraId="0890EDBA" w14:textId="77777777" w:rsidR="00D33536" w:rsidRDefault="00D33536" w:rsidP="00D33536">
      <w:pPr>
        <w:pStyle w:val="Title"/>
        <w:spacing w:line="240" w:lineRule="auto"/>
        <w:rPr>
          <w:rFonts w:asciiTheme="minorHAnsi" w:eastAsiaTheme="minorEastAsia" w:hAnsiTheme="minorHAnsi" w:cstheme="minorBidi"/>
          <w:color w:val="70AD47" w:themeColor="accent6"/>
          <w:sz w:val="44"/>
          <w:szCs w:val="44"/>
        </w:rPr>
      </w:pPr>
    </w:p>
    <w:p w14:paraId="3215ED5C" w14:textId="2E4B73DF" w:rsidR="00D33536" w:rsidRDefault="00D33536" w:rsidP="00D33536">
      <w:pPr>
        <w:pStyle w:val="Title"/>
        <w:spacing w:line="240" w:lineRule="auto"/>
        <w:rPr>
          <w:rFonts w:asciiTheme="minorHAnsi" w:eastAsiaTheme="minorEastAsia" w:hAnsiTheme="minorHAnsi" w:cstheme="minorBidi"/>
          <w:color w:val="70AD47" w:themeColor="accent6"/>
          <w:sz w:val="44"/>
          <w:szCs w:val="44"/>
        </w:rPr>
      </w:pPr>
    </w:p>
    <w:p w14:paraId="58A8E8E4" w14:textId="77777777" w:rsidR="00D33536" w:rsidRDefault="00D33536" w:rsidP="00D33536">
      <w:pPr>
        <w:spacing w:after="0"/>
        <w:rPr>
          <w:rFonts w:asciiTheme="minorHAnsi" w:eastAsiaTheme="minorEastAsia" w:hAnsiTheme="minorHAnsi" w:cstheme="minorBidi"/>
          <w:b/>
          <w:bCs/>
          <w:sz w:val="16"/>
          <w:szCs w:val="16"/>
        </w:rPr>
      </w:pPr>
    </w:p>
    <w:p w14:paraId="62156C2F" w14:textId="77777777" w:rsidR="00D33536" w:rsidRDefault="00D33536" w:rsidP="00D33536">
      <w:pPr>
        <w:spacing w:after="0"/>
        <w:rPr>
          <w:rFonts w:asciiTheme="minorHAnsi" w:eastAsiaTheme="minorEastAsia" w:hAnsiTheme="minorHAnsi" w:cstheme="minorBidi"/>
          <w:b/>
          <w:bCs/>
          <w:sz w:val="16"/>
          <w:szCs w:val="16"/>
        </w:rPr>
      </w:pPr>
    </w:p>
    <w:p w14:paraId="737B9FA5" w14:textId="6AE42ACD" w:rsidR="00D33536" w:rsidRPr="00D33536" w:rsidRDefault="00D33536" w:rsidP="00D33536">
      <w:pPr>
        <w:spacing w:after="0"/>
        <w:rPr>
          <w:rFonts w:asciiTheme="minorHAnsi" w:eastAsiaTheme="minorEastAsia" w:hAnsiTheme="minorHAnsi" w:cstheme="minorBidi"/>
          <w:sz w:val="16"/>
          <w:szCs w:val="16"/>
        </w:rPr>
      </w:pPr>
      <w:r w:rsidRPr="00D33536">
        <w:rPr>
          <w:rFonts w:asciiTheme="minorHAnsi" w:eastAsiaTheme="minorEastAsia" w:hAnsiTheme="minorHAnsi" w:cstheme="minorBidi"/>
          <w:b/>
          <w:bCs/>
          <w:sz w:val="16"/>
          <w:szCs w:val="16"/>
        </w:rPr>
        <w:t>Table 4</w:t>
      </w:r>
      <w:r w:rsidRPr="00D33536">
        <w:rPr>
          <w:rFonts w:asciiTheme="minorHAnsi" w:eastAsiaTheme="minorEastAsia" w:hAnsiTheme="minorHAnsi" w:cstheme="minorBidi"/>
          <w:sz w:val="16"/>
          <w:szCs w:val="16"/>
        </w:rPr>
        <w:t xml:space="preserve"> shows the distribution of average annual income among 2019 ILAP clients.</w:t>
      </w:r>
    </w:p>
    <w:p w14:paraId="2C23C052" w14:textId="77777777" w:rsidR="00D33536" w:rsidRDefault="00D33536" w:rsidP="270294E6">
      <w:pPr>
        <w:pStyle w:val="Title"/>
        <w:spacing w:line="240" w:lineRule="auto"/>
        <w:rPr>
          <w:rFonts w:asciiTheme="minorHAnsi" w:eastAsiaTheme="minorEastAsia" w:hAnsiTheme="minorHAnsi" w:cstheme="minorBidi"/>
          <w:color w:val="70AD47" w:themeColor="accent6"/>
          <w:sz w:val="44"/>
          <w:szCs w:val="44"/>
        </w:rPr>
      </w:pPr>
    </w:p>
    <w:p w14:paraId="47803284" w14:textId="4E4AF19C" w:rsidR="00C31740" w:rsidRDefault="270294E6" w:rsidP="270294E6">
      <w:pPr>
        <w:pStyle w:val="Title"/>
        <w:spacing w:line="240" w:lineRule="auto"/>
        <w:rPr>
          <w:rFonts w:asciiTheme="minorHAnsi" w:eastAsiaTheme="minorEastAsia" w:hAnsiTheme="minorHAnsi" w:cstheme="minorBidi"/>
          <w:color w:val="70AD47" w:themeColor="accent6"/>
          <w:sz w:val="44"/>
          <w:szCs w:val="44"/>
        </w:rPr>
      </w:pPr>
      <w:r w:rsidRPr="0095425E">
        <w:rPr>
          <w:rFonts w:asciiTheme="minorHAnsi" w:eastAsiaTheme="minorEastAsia" w:hAnsiTheme="minorHAnsi" w:cstheme="minorBidi"/>
          <w:color w:val="70AD47" w:themeColor="accent6"/>
          <w:sz w:val="44"/>
          <w:szCs w:val="44"/>
        </w:rPr>
        <w:lastRenderedPageBreak/>
        <w:t xml:space="preserve">Youth Mentorship </w:t>
      </w:r>
    </w:p>
    <w:p w14:paraId="4F4190A6" w14:textId="10BEA39B" w:rsidR="270294E6" w:rsidRPr="0095425E" w:rsidRDefault="270294E6" w:rsidP="270294E6">
      <w:pPr>
        <w:spacing w:before="0" w:after="0" w:line="240" w:lineRule="auto"/>
        <w:rPr>
          <w:rFonts w:asciiTheme="minorHAnsi" w:eastAsiaTheme="minorEastAsia" w:hAnsiTheme="minorHAnsi" w:cstheme="minorBidi"/>
          <w:b/>
          <w:bCs/>
        </w:rPr>
      </w:pPr>
      <w:r w:rsidRPr="270294E6">
        <w:rPr>
          <w:rFonts w:asciiTheme="minorHAnsi" w:eastAsiaTheme="minorEastAsia" w:hAnsiTheme="minorHAnsi" w:cstheme="minorBidi"/>
          <w:b/>
          <w:bCs/>
        </w:rPr>
        <w:t>Q: What are the risk levels of Youth Mentorship participants (i.e., how many had offended previously, what were the nature of their offenses) and how is this distributed?</w:t>
      </w:r>
    </w:p>
    <w:p w14:paraId="1FB95941" w14:textId="778D3439" w:rsidR="2DC2CA89" w:rsidRPr="0095425E" w:rsidRDefault="270294E6" w:rsidP="00D33536">
      <w:pPr>
        <w:rPr>
          <w:rFonts w:asciiTheme="minorHAnsi" w:eastAsiaTheme="minorEastAsia" w:hAnsiTheme="minorHAnsi" w:cstheme="minorBidi"/>
        </w:rPr>
      </w:pPr>
      <w:r w:rsidRPr="0095425E">
        <w:rPr>
          <w:rFonts w:asciiTheme="minorHAnsi" w:eastAsiaTheme="minorEastAsia" w:hAnsiTheme="minorHAnsi" w:cstheme="minorBidi"/>
        </w:rPr>
        <w:t>Roughly 88% of the youth in the Youth Mentorship program in 2019 had prior offences. The remaining 12% have exhibited risky behavior or have experienced trauma that makes them vulnerable to criminal involvement. Below is a table delineating in greater detail the type of offenses youth entered the program with from 2017 to 2019</w:t>
      </w:r>
    </w:p>
    <w:tbl>
      <w:tblPr>
        <w:tblStyle w:val="TableGrid"/>
        <w:tblW w:w="0" w:type="auto"/>
        <w:tblLook w:val="04A0" w:firstRow="1" w:lastRow="0" w:firstColumn="1" w:lastColumn="0" w:noHBand="0" w:noVBand="1"/>
      </w:tblPr>
      <w:tblGrid>
        <w:gridCol w:w="2695"/>
        <w:gridCol w:w="2070"/>
        <w:gridCol w:w="2070"/>
        <w:gridCol w:w="2070"/>
      </w:tblGrid>
      <w:tr w:rsidR="00F8600A" w:rsidRPr="00F8600A" w14:paraId="3653CAC4" w14:textId="77777777" w:rsidTr="270294E6">
        <w:tc>
          <w:tcPr>
            <w:tcW w:w="2695" w:type="dxa"/>
            <w:vMerge w:val="restart"/>
            <w:shd w:val="clear" w:color="auto" w:fill="A8D08D" w:themeFill="accent6" w:themeFillTint="99"/>
          </w:tcPr>
          <w:p w14:paraId="5672A78F" w14:textId="77777777" w:rsidR="00F8600A" w:rsidRPr="0095425E" w:rsidRDefault="00F8600A" w:rsidP="270294E6">
            <w:pPr>
              <w:jc w:val="center"/>
              <w:rPr>
                <w:rFonts w:eastAsiaTheme="minorEastAsia"/>
                <w:b/>
                <w:bCs/>
              </w:rPr>
            </w:pPr>
          </w:p>
          <w:p w14:paraId="079303BA" w14:textId="77777777" w:rsidR="00F8600A" w:rsidRPr="0095425E" w:rsidRDefault="270294E6" w:rsidP="270294E6">
            <w:pPr>
              <w:jc w:val="center"/>
              <w:rPr>
                <w:rFonts w:eastAsiaTheme="minorEastAsia"/>
              </w:rPr>
            </w:pPr>
            <w:r w:rsidRPr="0095425E">
              <w:rPr>
                <w:rFonts w:eastAsiaTheme="minorEastAsia" w:cs="Corbel"/>
                <w:b/>
                <w:bCs/>
              </w:rPr>
              <w:t>Type of Offence</w:t>
            </w:r>
          </w:p>
        </w:tc>
        <w:tc>
          <w:tcPr>
            <w:tcW w:w="6210" w:type="dxa"/>
            <w:gridSpan w:val="3"/>
            <w:shd w:val="clear" w:color="auto" w:fill="A8D08D" w:themeFill="accent6" w:themeFillTint="99"/>
          </w:tcPr>
          <w:p w14:paraId="2E02A3D4" w14:textId="77777777" w:rsidR="00F8600A" w:rsidRPr="0095425E" w:rsidRDefault="270294E6" w:rsidP="270294E6">
            <w:pPr>
              <w:jc w:val="center"/>
              <w:rPr>
                <w:rFonts w:eastAsiaTheme="minorEastAsia"/>
                <w:b/>
                <w:bCs/>
              </w:rPr>
            </w:pPr>
            <w:r w:rsidRPr="0095425E">
              <w:rPr>
                <w:rFonts w:eastAsiaTheme="minorEastAsia" w:cs="Corbel"/>
                <w:b/>
                <w:bCs/>
              </w:rPr>
              <w:t>Percentage of Youth with This Charge</w:t>
            </w:r>
          </w:p>
        </w:tc>
      </w:tr>
      <w:tr w:rsidR="00F8600A" w:rsidRPr="00F8600A" w14:paraId="54C11699" w14:textId="77777777" w:rsidTr="270294E6">
        <w:tc>
          <w:tcPr>
            <w:tcW w:w="2695" w:type="dxa"/>
            <w:vMerge/>
          </w:tcPr>
          <w:p w14:paraId="4796975F" w14:textId="77777777" w:rsidR="00F8600A" w:rsidRPr="00F8600A" w:rsidRDefault="00F8600A" w:rsidP="00A6176E">
            <w:pPr>
              <w:jc w:val="center"/>
              <w:rPr>
                <w:rFonts w:ascii="Corbel" w:hAnsi="Corbel" w:cs="Calibri"/>
                <w:b/>
              </w:rPr>
            </w:pPr>
          </w:p>
        </w:tc>
        <w:tc>
          <w:tcPr>
            <w:tcW w:w="2070" w:type="dxa"/>
            <w:shd w:val="clear" w:color="auto" w:fill="A8D08D" w:themeFill="accent6" w:themeFillTint="99"/>
          </w:tcPr>
          <w:p w14:paraId="7739ED00" w14:textId="77777777" w:rsidR="00F8600A" w:rsidRPr="0095425E" w:rsidRDefault="270294E6" w:rsidP="270294E6">
            <w:pPr>
              <w:jc w:val="center"/>
              <w:rPr>
                <w:rFonts w:eastAsiaTheme="minorEastAsia"/>
                <w:b/>
                <w:bCs/>
              </w:rPr>
            </w:pPr>
            <w:r w:rsidRPr="0095425E">
              <w:rPr>
                <w:rFonts w:eastAsiaTheme="minorEastAsia" w:cs="Corbel"/>
                <w:b/>
                <w:bCs/>
              </w:rPr>
              <w:t>2019</w:t>
            </w:r>
          </w:p>
        </w:tc>
        <w:tc>
          <w:tcPr>
            <w:tcW w:w="2070" w:type="dxa"/>
            <w:shd w:val="clear" w:color="auto" w:fill="A8D08D" w:themeFill="accent6" w:themeFillTint="99"/>
          </w:tcPr>
          <w:p w14:paraId="044622DF" w14:textId="77777777" w:rsidR="00F8600A" w:rsidRPr="0095425E" w:rsidRDefault="270294E6" w:rsidP="270294E6">
            <w:pPr>
              <w:jc w:val="center"/>
              <w:rPr>
                <w:rFonts w:eastAsiaTheme="minorEastAsia"/>
                <w:b/>
                <w:bCs/>
              </w:rPr>
            </w:pPr>
            <w:r w:rsidRPr="0095425E">
              <w:rPr>
                <w:rFonts w:eastAsiaTheme="minorEastAsia" w:cs="Corbel"/>
                <w:b/>
                <w:bCs/>
              </w:rPr>
              <w:t>2018</w:t>
            </w:r>
          </w:p>
        </w:tc>
        <w:tc>
          <w:tcPr>
            <w:tcW w:w="2070" w:type="dxa"/>
            <w:shd w:val="clear" w:color="auto" w:fill="A8D08D" w:themeFill="accent6" w:themeFillTint="99"/>
          </w:tcPr>
          <w:p w14:paraId="11B480E2" w14:textId="77777777" w:rsidR="00F8600A" w:rsidRPr="0095425E" w:rsidRDefault="270294E6" w:rsidP="270294E6">
            <w:pPr>
              <w:jc w:val="center"/>
              <w:rPr>
                <w:rFonts w:eastAsiaTheme="minorEastAsia"/>
                <w:b/>
                <w:bCs/>
              </w:rPr>
            </w:pPr>
            <w:r w:rsidRPr="0095425E">
              <w:rPr>
                <w:rFonts w:eastAsiaTheme="minorEastAsia" w:cs="Corbel"/>
                <w:b/>
                <w:bCs/>
              </w:rPr>
              <w:t>2017</w:t>
            </w:r>
          </w:p>
        </w:tc>
      </w:tr>
      <w:tr w:rsidR="00F8600A" w:rsidRPr="00F8600A" w14:paraId="165D6DC1" w14:textId="77777777" w:rsidTr="270294E6">
        <w:tc>
          <w:tcPr>
            <w:tcW w:w="2695" w:type="dxa"/>
          </w:tcPr>
          <w:p w14:paraId="0E8CC3C7" w14:textId="77777777" w:rsidR="00F8600A" w:rsidRPr="0095425E" w:rsidRDefault="270294E6" w:rsidP="270294E6">
            <w:pPr>
              <w:rPr>
                <w:rFonts w:eastAsiaTheme="minorEastAsia"/>
              </w:rPr>
            </w:pPr>
            <w:r w:rsidRPr="0095425E">
              <w:rPr>
                <w:rFonts w:eastAsiaTheme="minorEastAsia" w:cs="Corbel"/>
              </w:rPr>
              <w:t>Administrative or Bylaw</w:t>
            </w:r>
          </w:p>
        </w:tc>
        <w:tc>
          <w:tcPr>
            <w:tcW w:w="2070" w:type="dxa"/>
          </w:tcPr>
          <w:p w14:paraId="493F54C0" w14:textId="77777777" w:rsidR="00F8600A" w:rsidRPr="0095425E" w:rsidRDefault="270294E6" w:rsidP="270294E6">
            <w:pPr>
              <w:rPr>
                <w:rFonts w:eastAsiaTheme="minorEastAsia"/>
              </w:rPr>
            </w:pPr>
            <w:r w:rsidRPr="0095425E">
              <w:rPr>
                <w:rFonts w:eastAsiaTheme="minorEastAsia" w:cs="Corbel"/>
              </w:rPr>
              <w:t>34%</w:t>
            </w:r>
          </w:p>
        </w:tc>
        <w:tc>
          <w:tcPr>
            <w:tcW w:w="2070" w:type="dxa"/>
          </w:tcPr>
          <w:p w14:paraId="1DA33114" w14:textId="77777777" w:rsidR="00F8600A" w:rsidRPr="0095425E" w:rsidRDefault="270294E6" w:rsidP="270294E6">
            <w:pPr>
              <w:rPr>
                <w:rFonts w:eastAsiaTheme="minorEastAsia"/>
              </w:rPr>
            </w:pPr>
            <w:r w:rsidRPr="0095425E">
              <w:rPr>
                <w:rFonts w:eastAsiaTheme="minorEastAsia" w:cs="Corbel"/>
              </w:rPr>
              <w:t>42%</w:t>
            </w:r>
          </w:p>
        </w:tc>
        <w:tc>
          <w:tcPr>
            <w:tcW w:w="2070" w:type="dxa"/>
          </w:tcPr>
          <w:p w14:paraId="189E9240" w14:textId="77777777" w:rsidR="00F8600A" w:rsidRPr="0095425E" w:rsidRDefault="270294E6" w:rsidP="270294E6">
            <w:pPr>
              <w:rPr>
                <w:rFonts w:eastAsiaTheme="minorEastAsia"/>
              </w:rPr>
            </w:pPr>
            <w:r w:rsidRPr="0095425E">
              <w:rPr>
                <w:rFonts w:eastAsiaTheme="minorEastAsia" w:cs="Corbel"/>
              </w:rPr>
              <w:t>75%</w:t>
            </w:r>
          </w:p>
        </w:tc>
      </w:tr>
      <w:tr w:rsidR="00F8600A" w:rsidRPr="00F8600A" w14:paraId="61D347F3" w14:textId="77777777" w:rsidTr="270294E6">
        <w:tc>
          <w:tcPr>
            <w:tcW w:w="2695" w:type="dxa"/>
            <w:shd w:val="clear" w:color="auto" w:fill="FFF2CC" w:themeFill="accent4" w:themeFillTint="33"/>
          </w:tcPr>
          <w:p w14:paraId="19484A0D" w14:textId="77777777" w:rsidR="00F8600A" w:rsidRPr="0095425E" w:rsidRDefault="270294E6" w:rsidP="270294E6">
            <w:pPr>
              <w:rPr>
                <w:rFonts w:eastAsiaTheme="minorEastAsia"/>
              </w:rPr>
            </w:pPr>
            <w:r w:rsidRPr="0095425E">
              <w:rPr>
                <w:rFonts w:eastAsiaTheme="minorEastAsia" w:cs="Corbel"/>
              </w:rPr>
              <w:t>Assault</w:t>
            </w:r>
          </w:p>
        </w:tc>
        <w:tc>
          <w:tcPr>
            <w:tcW w:w="2070" w:type="dxa"/>
            <w:shd w:val="clear" w:color="auto" w:fill="FFF2CC" w:themeFill="accent4" w:themeFillTint="33"/>
          </w:tcPr>
          <w:p w14:paraId="054D8C66" w14:textId="77777777" w:rsidR="00F8600A" w:rsidRPr="0095425E" w:rsidRDefault="270294E6" w:rsidP="270294E6">
            <w:pPr>
              <w:rPr>
                <w:rFonts w:eastAsiaTheme="minorEastAsia"/>
              </w:rPr>
            </w:pPr>
            <w:r w:rsidRPr="0095425E">
              <w:rPr>
                <w:rFonts w:eastAsiaTheme="minorEastAsia" w:cs="Corbel"/>
              </w:rPr>
              <w:t>27%</w:t>
            </w:r>
          </w:p>
        </w:tc>
        <w:tc>
          <w:tcPr>
            <w:tcW w:w="2070" w:type="dxa"/>
            <w:shd w:val="clear" w:color="auto" w:fill="FFF2CC" w:themeFill="accent4" w:themeFillTint="33"/>
          </w:tcPr>
          <w:p w14:paraId="0B0FD6F6" w14:textId="77777777" w:rsidR="00F8600A" w:rsidRPr="0095425E" w:rsidRDefault="270294E6" w:rsidP="270294E6">
            <w:pPr>
              <w:rPr>
                <w:rFonts w:eastAsiaTheme="minorEastAsia"/>
              </w:rPr>
            </w:pPr>
            <w:r w:rsidRPr="0095425E">
              <w:rPr>
                <w:rFonts w:eastAsiaTheme="minorEastAsia" w:cs="Corbel"/>
              </w:rPr>
              <w:t>27%</w:t>
            </w:r>
          </w:p>
        </w:tc>
        <w:tc>
          <w:tcPr>
            <w:tcW w:w="2070" w:type="dxa"/>
            <w:shd w:val="clear" w:color="auto" w:fill="FFF2CC" w:themeFill="accent4" w:themeFillTint="33"/>
          </w:tcPr>
          <w:p w14:paraId="79B64DCA" w14:textId="77777777" w:rsidR="00F8600A" w:rsidRPr="0095425E" w:rsidRDefault="270294E6" w:rsidP="270294E6">
            <w:pPr>
              <w:rPr>
                <w:rFonts w:eastAsiaTheme="minorEastAsia"/>
              </w:rPr>
            </w:pPr>
            <w:r w:rsidRPr="0095425E">
              <w:rPr>
                <w:rFonts w:eastAsiaTheme="minorEastAsia" w:cs="Corbel"/>
              </w:rPr>
              <w:t>0%</w:t>
            </w:r>
          </w:p>
        </w:tc>
      </w:tr>
      <w:tr w:rsidR="00F8600A" w:rsidRPr="00F8600A" w14:paraId="0B7EF555" w14:textId="77777777" w:rsidTr="270294E6">
        <w:tc>
          <w:tcPr>
            <w:tcW w:w="2695" w:type="dxa"/>
            <w:shd w:val="clear" w:color="auto" w:fill="FFF2CC" w:themeFill="accent4" w:themeFillTint="33"/>
          </w:tcPr>
          <w:p w14:paraId="017C2201" w14:textId="77777777" w:rsidR="00F8600A" w:rsidRPr="0095425E" w:rsidRDefault="270294E6" w:rsidP="270294E6">
            <w:pPr>
              <w:rPr>
                <w:rFonts w:eastAsiaTheme="minorEastAsia"/>
              </w:rPr>
            </w:pPr>
            <w:r w:rsidRPr="0095425E">
              <w:rPr>
                <w:rFonts w:eastAsiaTheme="minorEastAsia" w:cs="Corbel"/>
              </w:rPr>
              <w:t xml:space="preserve">Sex Assault </w:t>
            </w:r>
          </w:p>
        </w:tc>
        <w:tc>
          <w:tcPr>
            <w:tcW w:w="2070" w:type="dxa"/>
            <w:shd w:val="clear" w:color="auto" w:fill="FFF2CC" w:themeFill="accent4" w:themeFillTint="33"/>
          </w:tcPr>
          <w:p w14:paraId="123122FC" w14:textId="77777777" w:rsidR="00F8600A" w:rsidRPr="0095425E" w:rsidRDefault="270294E6" w:rsidP="270294E6">
            <w:pPr>
              <w:rPr>
                <w:rFonts w:eastAsiaTheme="minorEastAsia"/>
              </w:rPr>
            </w:pPr>
            <w:r w:rsidRPr="0095425E">
              <w:rPr>
                <w:rFonts w:eastAsiaTheme="minorEastAsia" w:cs="Corbel"/>
              </w:rPr>
              <w:t>10%</w:t>
            </w:r>
          </w:p>
        </w:tc>
        <w:tc>
          <w:tcPr>
            <w:tcW w:w="2070" w:type="dxa"/>
            <w:shd w:val="clear" w:color="auto" w:fill="FFF2CC" w:themeFill="accent4" w:themeFillTint="33"/>
          </w:tcPr>
          <w:p w14:paraId="0217CDE2" w14:textId="77777777" w:rsidR="00F8600A" w:rsidRPr="0095425E" w:rsidRDefault="270294E6" w:rsidP="270294E6">
            <w:pPr>
              <w:rPr>
                <w:rFonts w:eastAsiaTheme="minorEastAsia"/>
              </w:rPr>
            </w:pPr>
            <w:r w:rsidRPr="0095425E">
              <w:rPr>
                <w:rFonts w:eastAsiaTheme="minorEastAsia" w:cs="Corbel"/>
              </w:rPr>
              <w:t>19%</w:t>
            </w:r>
          </w:p>
        </w:tc>
        <w:tc>
          <w:tcPr>
            <w:tcW w:w="2070" w:type="dxa"/>
            <w:shd w:val="clear" w:color="auto" w:fill="FFF2CC" w:themeFill="accent4" w:themeFillTint="33"/>
          </w:tcPr>
          <w:p w14:paraId="6641F5C8" w14:textId="77777777" w:rsidR="00F8600A" w:rsidRPr="0095425E" w:rsidRDefault="270294E6" w:rsidP="270294E6">
            <w:pPr>
              <w:rPr>
                <w:rFonts w:eastAsiaTheme="minorEastAsia"/>
              </w:rPr>
            </w:pPr>
            <w:r w:rsidRPr="0095425E">
              <w:rPr>
                <w:rFonts w:eastAsiaTheme="minorEastAsia" w:cs="Corbel"/>
              </w:rPr>
              <w:t>13%</w:t>
            </w:r>
          </w:p>
        </w:tc>
      </w:tr>
      <w:tr w:rsidR="00F8600A" w:rsidRPr="00F8600A" w14:paraId="4455E070" w14:textId="77777777" w:rsidTr="270294E6">
        <w:tc>
          <w:tcPr>
            <w:tcW w:w="2695" w:type="dxa"/>
            <w:shd w:val="clear" w:color="auto" w:fill="FFF2CC" w:themeFill="accent4" w:themeFillTint="33"/>
          </w:tcPr>
          <w:p w14:paraId="20966D63" w14:textId="77777777" w:rsidR="00F8600A" w:rsidRPr="0095425E" w:rsidRDefault="270294E6" w:rsidP="270294E6">
            <w:pPr>
              <w:rPr>
                <w:rFonts w:eastAsiaTheme="minorEastAsia"/>
              </w:rPr>
            </w:pPr>
            <w:r w:rsidRPr="0095425E">
              <w:rPr>
                <w:rFonts w:eastAsiaTheme="minorEastAsia" w:cs="Corbel"/>
              </w:rPr>
              <w:t xml:space="preserve">Person’s – Other </w:t>
            </w:r>
          </w:p>
        </w:tc>
        <w:tc>
          <w:tcPr>
            <w:tcW w:w="2070" w:type="dxa"/>
            <w:shd w:val="clear" w:color="auto" w:fill="FFF2CC" w:themeFill="accent4" w:themeFillTint="33"/>
          </w:tcPr>
          <w:p w14:paraId="45EF2896" w14:textId="77777777" w:rsidR="00F8600A" w:rsidRPr="0095425E" w:rsidRDefault="270294E6" w:rsidP="270294E6">
            <w:pPr>
              <w:rPr>
                <w:rFonts w:eastAsiaTheme="minorEastAsia"/>
              </w:rPr>
            </w:pPr>
            <w:r w:rsidRPr="0095425E">
              <w:rPr>
                <w:rFonts w:eastAsiaTheme="minorEastAsia" w:cs="Corbel"/>
              </w:rPr>
              <w:t>49%</w:t>
            </w:r>
          </w:p>
        </w:tc>
        <w:tc>
          <w:tcPr>
            <w:tcW w:w="2070" w:type="dxa"/>
            <w:shd w:val="clear" w:color="auto" w:fill="FFF2CC" w:themeFill="accent4" w:themeFillTint="33"/>
          </w:tcPr>
          <w:p w14:paraId="02F4D01F" w14:textId="77777777" w:rsidR="00F8600A" w:rsidRPr="0095425E" w:rsidRDefault="270294E6" w:rsidP="270294E6">
            <w:pPr>
              <w:rPr>
                <w:rFonts w:eastAsiaTheme="minorEastAsia"/>
              </w:rPr>
            </w:pPr>
            <w:r w:rsidRPr="0095425E">
              <w:rPr>
                <w:rFonts w:eastAsiaTheme="minorEastAsia" w:cs="Corbel"/>
              </w:rPr>
              <w:t>23%</w:t>
            </w:r>
          </w:p>
        </w:tc>
        <w:tc>
          <w:tcPr>
            <w:tcW w:w="2070" w:type="dxa"/>
            <w:shd w:val="clear" w:color="auto" w:fill="FFF2CC" w:themeFill="accent4" w:themeFillTint="33"/>
          </w:tcPr>
          <w:p w14:paraId="04E0EFA3" w14:textId="77777777" w:rsidR="00F8600A" w:rsidRPr="0095425E" w:rsidRDefault="270294E6" w:rsidP="270294E6">
            <w:pPr>
              <w:rPr>
                <w:rFonts w:eastAsiaTheme="minorEastAsia"/>
              </w:rPr>
            </w:pPr>
            <w:r w:rsidRPr="0095425E">
              <w:rPr>
                <w:rFonts w:eastAsiaTheme="minorEastAsia" w:cs="Corbel"/>
              </w:rPr>
              <w:t>25%</w:t>
            </w:r>
          </w:p>
        </w:tc>
      </w:tr>
      <w:tr w:rsidR="00F8600A" w:rsidRPr="00F8600A" w14:paraId="455AEE32" w14:textId="77777777" w:rsidTr="270294E6">
        <w:tc>
          <w:tcPr>
            <w:tcW w:w="2695" w:type="dxa"/>
            <w:shd w:val="clear" w:color="auto" w:fill="D9E2F3" w:themeFill="accent1" w:themeFillTint="33"/>
          </w:tcPr>
          <w:p w14:paraId="2D8FF734" w14:textId="77777777" w:rsidR="00F8600A" w:rsidRPr="0095425E" w:rsidRDefault="270294E6" w:rsidP="270294E6">
            <w:pPr>
              <w:rPr>
                <w:rFonts w:eastAsiaTheme="minorEastAsia"/>
              </w:rPr>
            </w:pPr>
            <w:r w:rsidRPr="0095425E">
              <w:rPr>
                <w:rFonts w:eastAsiaTheme="minorEastAsia" w:cs="Corbel"/>
              </w:rPr>
              <w:t>Robbery</w:t>
            </w:r>
          </w:p>
        </w:tc>
        <w:tc>
          <w:tcPr>
            <w:tcW w:w="2070" w:type="dxa"/>
            <w:shd w:val="clear" w:color="auto" w:fill="D9E2F3" w:themeFill="accent1" w:themeFillTint="33"/>
          </w:tcPr>
          <w:p w14:paraId="070B5E3C" w14:textId="77777777" w:rsidR="00F8600A" w:rsidRPr="0095425E" w:rsidRDefault="270294E6" w:rsidP="270294E6">
            <w:pPr>
              <w:rPr>
                <w:rFonts w:eastAsiaTheme="minorEastAsia"/>
              </w:rPr>
            </w:pPr>
            <w:r w:rsidRPr="0095425E">
              <w:rPr>
                <w:rFonts w:eastAsiaTheme="minorEastAsia" w:cs="Corbel"/>
              </w:rPr>
              <w:t>39%</w:t>
            </w:r>
          </w:p>
        </w:tc>
        <w:tc>
          <w:tcPr>
            <w:tcW w:w="2070" w:type="dxa"/>
            <w:shd w:val="clear" w:color="auto" w:fill="D9E2F3" w:themeFill="accent1" w:themeFillTint="33"/>
          </w:tcPr>
          <w:p w14:paraId="5A2ADD31" w14:textId="77777777" w:rsidR="00F8600A" w:rsidRPr="0095425E" w:rsidRDefault="270294E6" w:rsidP="270294E6">
            <w:pPr>
              <w:rPr>
                <w:rFonts w:eastAsiaTheme="minorEastAsia"/>
              </w:rPr>
            </w:pPr>
            <w:r w:rsidRPr="0095425E">
              <w:rPr>
                <w:rFonts w:eastAsiaTheme="minorEastAsia" w:cs="Corbel"/>
              </w:rPr>
              <w:t>19%</w:t>
            </w:r>
          </w:p>
        </w:tc>
        <w:tc>
          <w:tcPr>
            <w:tcW w:w="2070" w:type="dxa"/>
            <w:shd w:val="clear" w:color="auto" w:fill="D9E2F3" w:themeFill="accent1" w:themeFillTint="33"/>
          </w:tcPr>
          <w:p w14:paraId="39747FE3" w14:textId="77777777" w:rsidR="00F8600A" w:rsidRPr="0095425E" w:rsidRDefault="270294E6" w:rsidP="270294E6">
            <w:pPr>
              <w:rPr>
                <w:rFonts w:eastAsiaTheme="minorEastAsia"/>
              </w:rPr>
            </w:pPr>
            <w:r w:rsidRPr="0095425E">
              <w:rPr>
                <w:rFonts w:eastAsiaTheme="minorEastAsia" w:cs="Corbel"/>
              </w:rPr>
              <w:t>13%</w:t>
            </w:r>
          </w:p>
        </w:tc>
      </w:tr>
      <w:tr w:rsidR="00F8600A" w:rsidRPr="00F8600A" w14:paraId="7AB8CD12" w14:textId="77777777" w:rsidTr="270294E6">
        <w:tc>
          <w:tcPr>
            <w:tcW w:w="2695" w:type="dxa"/>
            <w:shd w:val="clear" w:color="auto" w:fill="D9E2F3" w:themeFill="accent1" w:themeFillTint="33"/>
          </w:tcPr>
          <w:p w14:paraId="4C70DFFC" w14:textId="77777777" w:rsidR="00F8600A" w:rsidRPr="0095425E" w:rsidRDefault="270294E6" w:rsidP="270294E6">
            <w:pPr>
              <w:rPr>
                <w:rFonts w:eastAsiaTheme="minorEastAsia"/>
              </w:rPr>
            </w:pPr>
            <w:r w:rsidRPr="0095425E">
              <w:rPr>
                <w:rFonts w:eastAsiaTheme="minorEastAsia" w:cs="Corbel"/>
              </w:rPr>
              <w:t>Theft Over $5000</w:t>
            </w:r>
          </w:p>
        </w:tc>
        <w:tc>
          <w:tcPr>
            <w:tcW w:w="2070" w:type="dxa"/>
            <w:shd w:val="clear" w:color="auto" w:fill="D9E2F3" w:themeFill="accent1" w:themeFillTint="33"/>
          </w:tcPr>
          <w:p w14:paraId="214DAF00" w14:textId="77777777" w:rsidR="00F8600A" w:rsidRPr="0095425E" w:rsidRDefault="270294E6" w:rsidP="270294E6">
            <w:pPr>
              <w:rPr>
                <w:rFonts w:eastAsiaTheme="minorEastAsia"/>
              </w:rPr>
            </w:pPr>
            <w:r w:rsidRPr="0095425E">
              <w:rPr>
                <w:rFonts w:eastAsiaTheme="minorEastAsia" w:cs="Corbel"/>
              </w:rPr>
              <w:t>19%</w:t>
            </w:r>
          </w:p>
        </w:tc>
        <w:tc>
          <w:tcPr>
            <w:tcW w:w="2070" w:type="dxa"/>
            <w:shd w:val="clear" w:color="auto" w:fill="D9E2F3" w:themeFill="accent1" w:themeFillTint="33"/>
          </w:tcPr>
          <w:p w14:paraId="3C3F4E6B" w14:textId="77777777" w:rsidR="00F8600A" w:rsidRPr="0095425E" w:rsidRDefault="270294E6" w:rsidP="270294E6">
            <w:pPr>
              <w:rPr>
                <w:rFonts w:eastAsiaTheme="minorEastAsia"/>
              </w:rPr>
            </w:pPr>
            <w:r w:rsidRPr="0095425E">
              <w:rPr>
                <w:rFonts w:eastAsiaTheme="minorEastAsia" w:cs="Corbel"/>
              </w:rPr>
              <w:t>8%</w:t>
            </w:r>
          </w:p>
        </w:tc>
        <w:tc>
          <w:tcPr>
            <w:tcW w:w="2070" w:type="dxa"/>
            <w:shd w:val="clear" w:color="auto" w:fill="D9E2F3" w:themeFill="accent1" w:themeFillTint="33"/>
          </w:tcPr>
          <w:p w14:paraId="63B03A48" w14:textId="77777777" w:rsidR="00F8600A" w:rsidRPr="0095425E" w:rsidRDefault="270294E6" w:rsidP="270294E6">
            <w:pPr>
              <w:rPr>
                <w:rFonts w:eastAsiaTheme="minorEastAsia"/>
              </w:rPr>
            </w:pPr>
            <w:r w:rsidRPr="0095425E">
              <w:rPr>
                <w:rFonts w:eastAsiaTheme="minorEastAsia" w:cs="Corbel"/>
              </w:rPr>
              <w:t>13%</w:t>
            </w:r>
          </w:p>
        </w:tc>
      </w:tr>
      <w:tr w:rsidR="00F8600A" w:rsidRPr="00F8600A" w14:paraId="33F6E421" w14:textId="77777777" w:rsidTr="270294E6">
        <w:tc>
          <w:tcPr>
            <w:tcW w:w="2695" w:type="dxa"/>
            <w:shd w:val="clear" w:color="auto" w:fill="D9E2F3" w:themeFill="accent1" w:themeFillTint="33"/>
          </w:tcPr>
          <w:p w14:paraId="1EA0217B" w14:textId="77777777" w:rsidR="00F8600A" w:rsidRPr="0095425E" w:rsidRDefault="270294E6" w:rsidP="270294E6">
            <w:pPr>
              <w:rPr>
                <w:rFonts w:eastAsiaTheme="minorEastAsia"/>
              </w:rPr>
            </w:pPr>
            <w:r w:rsidRPr="0095425E">
              <w:rPr>
                <w:rFonts w:eastAsiaTheme="minorEastAsia" w:cs="Corbel"/>
              </w:rPr>
              <w:t>Theft Under $5000</w:t>
            </w:r>
          </w:p>
        </w:tc>
        <w:tc>
          <w:tcPr>
            <w:tcW w:w="2070" w:type="dxa"/>
            <w:shd w:val="clear" w:color="auto" w:fill="D9E2F3" w:themeFill="accent1" w:themeFillTint="33"/>
          </w:tcPr>
          <w:p w14:paraId="00311B91" w14:textId="77777777" w:rsidR="00F8600A" w:rsidRPr="0095425E" w:rsidRDefault="270294E6" w:rsidP="270294E6">
            <w:pPr>
              <w:rPr>
                <w:rFonts w:eastAsiaTheme="minorEastAsia"/>
              </w:rPr>
            </w:pPr>
            <w:r w:rsidRPr="0095425E">
              <w:rPr>
                <w:rFonts w:eastAsiaTheme="minorEastAsia" w:cs="Corbel"/>
              </w:rPr>
              <w:t>29%</w:t>
            </w:r>
          </w:p>
        </w:tc>
        <w:tc>
          <w:tcPr>
            <w:tcW w:w="2070" w:type="dxa"/>
            <w:shd w:val="clear" w:color="auto" w:fill="D9E2F3" w:themeFill="accent1" w:themeFillTint="33"/>
          </w:tcPr>
          <w:p w14:paraId="76FB3FC5" w14:textId="77777777" w:rsidR="00F8600A" w:rsidRPr="0095425E" w:rsidRDefault="270294E6" w:rsidP="270294E6">
            <w:pPr>
              <w:rPr>
                <w:rFonts w:eastAsiaTheme="minorEastAsia"/>
              </w:rPr>
            </w:pPr>
            <w:r w:rsidRPr="0095425E">
              <w:rPr>
                <w:rFonts w:eastAsiaTheme="minorEastAsia" w:cs="Corbel"/>
              </w:rPr>
              <w:t>19%</w:t>
            </w:r>
          </w:p>
        </w:tc>
        <w:tc>
          <w:tcPr>
            <w:tcW w:w="2070" w:type="dxa"/>
            <w:shd w:val="clear" w:color="auto" w:fill="D9E2F3" w:themeFill="accent1" w:themeFillTint="33"/>
          </w:tcPr>
          <w:p w14:paraId="1FCA6E51" w14:textId="77777777" w:rsidR="00F8600A" w:rsidRPr="0095425E" w:rsidRDefault="270294E6" w:rsidP="270294E6">
            <w:pPr>
              <w:rPr>
                <w:rFonts w:eastAsiaTheme="minorEastAsia"/>
              </w:rPr>
            </w:pPr>
            <w:r w:rsidRPr="0095425E">
              <w:rPr>
                <w:rFonts w:eastAsiaTheme="minorEastAsia" w:cs="Corbel"/>
              </w:rPr>
              <w:t>38%</w:t>
            </w:r>
          </w:p>
        </w:tc>
      </w:tr>
      <w:tr w:rsidR="00F8600A" w:rsidRPr="00F8600A" w14:paraId="4F284FDB" w14:textId="77777777" w:rsidTr="270294E6">
        <w:tc>
          <w:tcPr>
            <w:tcW w:w="2695" w:type="dxa"/>
            <w:shd w:val="clear" w:color="auto" w:fill="D9E2F3" w:themeFill="accent1" w:themeFillTint="33"/>
          </w:tcPr>
          <w:p w14:paraId="219AA380" w14:textId="77777777" w:rsidR="00F8600A" w:rsidRPr="0095425E" w:rsidRDefault="270294E6" w:rsidP="270294E6">
            <w:pPr>
              <w:rPr>
                <w:rFonts w:eastAsiaTheme="minorEastAsia"/>
              </w:rPr>
            </w:pPr>
            <w:r w:rsidRPr="0095425E">
              <w:rPr>
                <w:rFonts w:eastAsiaTheme="minorEastAsia" w:cs="Corbel"/>
              </w:rPr>
              <w:t xml:space="preserve">Property – Other </w:t>
            </w:r>
          </w:p>
        </w:tc>
        <w:tc>
          <w:tcPr>
            <w:tcW w:w="2070" w:type="dxa"/>
            <w:shd w:val="clear" w:color="auto" w:fill="D9E2F3" w:themeFill="accent1" w:themeFillTint="33"/>
          </w:tcPr>
          <w:p w14:paraId="447F335A" w14:textId="77777777" w:rsidR="00F8600A" w:rsidRPr="0095425E" w:rsidRDefault="270294E6" w:rsidP="270294E6">
            <w:pPr>
              <w:rPr>
                <w:rFonts w:eastAsiaTheme="minorEastAsia"/>
              </w:rPr>
            </w:pPr>
            <w:r w:rsidRPr="0095425E">
              <w:rPr>
                <w:rFonts w:eastAsiaTheme="minorEastAsia" w:cs="Corbel"/>
              </w:rPr>
              <w:t>31%</w:t>
            </w:r>
          </w:p>
        </w:tc>
        <w:tc>
          <w:tcPr>
            <w:tcW w:w="2070" w:type="dxa"/>
            <w:shd w:val="clear" w:color="auto" w:fill="D9E2F3" w:themeFill="accent1" w:themeFillTint="33"/>
          </w:tcPr>
          <w:p w14:paraId="5EE1D2F8" w14:textId="77777777" w:rsidR="00F8600A" w:rsidRPr="0095425E" w:rsidRDefault="270294E6" w:rsidP="270294E6">
            <w:pPr>
              <w:rPr>
                <w:rFonts w:eastAsiaTheme="minorEastAsia"/>
              </w:rPr>
            </w:pPr>
            <w:r w:rsidRPr="0095425E">
              <w:rPr>
                <w:rFonts w:eastAsiaTheme="minorEastAsia" w:cs="Corbel"/>
              </w:rPr>
              <w:t>15%</w:t>
            </w:r>
          </w:p>
        </w:tc>
        <w:tc>
          <w:tcPr>
            <w:tcW w:w="2070" w:type="dxa"/>
            <w:shd w:val="clear" w:color="auto" w:fill="D9E2F3" w:themeFill="accent1" w:themeFillTint="33"/>
          </w:tcPr>
          <w:p w14:paraId="186754AE" w14:textId="77777777" w:rsidR="00F8600A" w:rsidRPr="0095425E" w:rsidRDefault="270294E6" w:rsidP="270294E6">
            <w:pPr>
              <w:rPr>
                <w:rFonts w:eastAsiaTheme="minorEastAsia"/>
              </w:rPr>
            </w:pPr>
            <w:r w:rsidRPr="0095425E">
              <w:rPr>
                <w:rFonts w:eastAsiaTheme="minorEastAsia" w:cs="Corbel"/>
              </w:rPr>
              <w:t>13%</w:t>
            </w:r>
          </w:p>
        </w:tc>
      </w:tr>
      <w:tr w:rsidR="00F8600A" w:rsidRPr="00F8600A" w14:paraId="33B2627D" w14:textId="77777777" w:rsidTr="270294E6">
        <w:tc>
          <w:tcPr>
            <w:tcW w:w="2695" w:type="dxa"/>
          </w:tcPr>
          <w:p w14:paraId="588C6AAF" w14:textId="77777777" w:rsidR="00F8600A" w:rsidRPr="0095425E" w:rsidRDefault="270294E6" w:rsidP="270294E6">
            <w:pPr>
              <w:rPr>
                <w:rFonts w:eastAsiaTheme="minorEastAsia"/>
              </w:rPr>
            </w:pPr>
            <w:r w:rsidRPr="0095425E">
              <w:rPr>
                <w:rFonts w:eastAsiaTheme="minorEastAsia" w:cs="Corbel"/>
              </w:rPr>
              <w:t>Substances - Possession</w:t>
            </w:r>
          </w:p>
        </w:tc>
        <w:tc>
          <w:tcPr>
            <w:tcW w:w="2070" w:type="dxa"/>
          </w:tcPr>
          <w:p w14:paraId="1DE5AB85" w14:textId="77777777" w:rsidR="00F8600A" w:rsidRPr="0095425E" w:rsidRDefault="270294E6" w:rsidP="270294E6">
            <w:pPr>
              <w:rPr>
                <w:rFonts w:eastAsiaTheme="minorEastAsia"/>
              </w:rPr>
            </w:pPr>
            <w:r w:rsidRPr="0095425E">
              <w:rPr>
                <w:rFonts w:eastAsiaTheme="minorEastAsia" w:cs="Corbel"/>
              </w:rPr>
              <w:t>3%</w:t>
            </w:r>
          </w:p>
        </w:tc>
        <w:tc>
          <w:tcPr>
            <w:tcW w:w="2070" w:type="dxa"/>
          </w:tcPr>
          <w:p w14:paraId="0EF1CF08" w14:textId="77777777" w:rsidR="00F8600A" w:rsidRPr="0095425E" w:rsidRDefault="270294E6" w:rsidP="270294E6">
            <w:pPr>
              <w:rPr>
                <w:rFonts w:eastAsiaTheme="minorEastAsia"/>
              </w:rPr>
            </w:pPr>
            <w:r w:rsidRPr="0095425E">
              <w:rPr>
                <w:rFonts w:eastAsiaTheme="minorEastAsia" w:cs="Corbel"/>
              </w:rPr>
              <w:t>0%</w:t>
            </w:r>
          </w:p>
        </w:tc>
        <w:tc>
          <w:tcPr>
            <w:tcW w:w="2070" w:type="dxa"/>
          </w:tcPr>
          <w:p w14:paraId="6DA024D8" w14:textId="77777777" w:rsidR="00F8600A" w:rsidRPr="0095425E" w:rsidRDefault="270294E6" w:rsidP="270294E6">
            <w:pPr>
              <w:rPr>
                <w:rFonts w:eastAsiaTheme="minorEastAsia"/>
              </w:rPr>
            </w:pPr>
            <w:r w:rsidRPr="0095425E">
              <w:rPr>
                <w:rFonts w:eastAsiaTheme="minorEastAsia" w:cs="Corbel"/>
              </w:rPr>
              <w:t>0%</w:t>
            </w:r>
          </w:p>
        </w:tc>
      </w:tr>
    </w:tbl>
    <w:p w14:paraId="1A19BC38" w14:textId="06E05EFC" w:rsidR="00937AFA" w:rsidRPr="0095425E" w:rsidRDefault="270294E6" w:rsidP="270294E6">
      <w:pPr>
        <w:rPr>
          <w:rFonts w:asciiTheme="minorHAnsi" w:eastAsiaTheme="minorEastAsia" w:hAnsiTheme="minorHAnsi" w:cstheme="minorBidi"/>
          <w:i/>
          <w:iCs/>
          <w:sz w:val="18"/>
          <w:szCs w:val="18"/>
        </w:rPr>
      </w:pPr>
      <w:r w:rsidRPr="0095425E">
        <w:rPr>
          <w:rFonts w:asciiTheme="minorHAnsi" w:eastAsiaTheme="minorEastAsia" w:hAnsiTheme="minorHAnsi" w:cstheme="minorBidi"/>
          <w:b/>
          <w:bCs/>
          <w:i/>
          <w:iCs/>
          <w:sz w:val="18"/>
          <w:szCs w:val="18"/>
        </w:rPr>
        <w:t xml:space="preserve">Table 5 </w:t>
      </w:r>
      <w:r w:rsidRPr="0095425E">
        <w:rPr>
          <w:rFonts w:asciiTheme="minorHAnsi" w:eastAsiaTheme="minorEastAsia" w:hAnsiTheme="minorHAnsi" w:cstheme="minorBidi"/>
          <w:i/>
          <w:iCs/>
          <w:sz w:val="18"/>
          <w:szCs w:val="18"/>
        </w:rPr>
        <w:t xml:space="preserve">shows the distribution of the type of charges youth in </w:t>
      </w:r>
      <w:r w:rsidR="006D33A1">
        <w:rPr>
          <w:rFonts w:asciiTheme="minorHAnsi" w:eastAsiaTheme="minorEastAsia" w:hAnsiTheme="minorHAnsi" w:cstheme="minorBidi"/>
          <w:i/>
          <w:iCs/>
          <w:sz w:val="18"/>
          <w:szCs w:val="18"/>
        </w:rPr>
        <w:t>the</w:t>
      </w:r>
      <w:r w:rsidRPr="0095425E">
        <w:rPr>
          <w:rFonts w:asciiTheme="minorHAnsi" w:eastAsiaTheme="minorEastAsia" w:hAnsiTheme="minorHAnsi" w:cstheme="minorBidi"/>
          <w:i/>
          <w:iCs/>
          <w:sz w:val="18"/>
          <w:szCs w:val="18"/>
        </w:rPr>
        <w:t xml:space="preserve"> mentorship program have</w:t>
      </w:r>
      <w:r w:rsidR="006D33A1">
        <w:rPr>
          <w:rFonts w:asciiTheme="minorHAnsi" w:eastAsiaTheme="minorEastAsia" w:hAnsiTheme="minorHAnsi" w:cstheme="minorBidi"/>
          <w:i/>
          <w:iCs/>
          <w:sz w:val="18"/>
          <w:szCs w:val="18"/>
        </w:rPr>
        <w:t xml:space="preserve"> incurred</w:t>
      </w:r>
      <w:r w:rsidRPr="0095425E">
        <w:rPr>
          <w:rFonts w:asciiTheme="minorHAnsi" w:eastAsiaTheme="minorEastAsia" w:hAnsiTheme="minorHAnsi" w:cstheme="minorBidi"/>
          <w:i/>
          <w:iCs/>
          <w:sz w:val="18"/>
          <w:szCs w:val="18"/>
        </w:rPr>
        <w:t xml:space="preserve">. Since most youth have multiple charges, they will be represented in more than one category. “Person’s – Other” includes charges such as: possession of a weapon, assault with a weapon, voyeurism, kidnapping, human trafficking, unlawful confinement, child pornography, DUI, and threats ending in death. “Property – Other” includes charges such as: armed robbery, break and enter, possession of stolen property, and mischief.  </w:t>
      </w:r>
    </w:p>
    <w:p w14:paraId="657947B2" w14:textId="77D3F52A" w:rsidR="006C1120" w:rsidRPr="0095425E" w:rsidRDefault="270294E6" w:rsidP="00D33536">
      <w:pPr>
        <w:rPr>
          <w:rFonts w:asciiTheme="minorHAnsi" w:eastAsiaTheme="minorEastAsia" w:hAnsiTheme="minorHAnsi" w:cstheme="minorBidi"/>
        </w:rPr>
      </w:pPr>
      <w:r w:rsidRPr="0095425E">
        <w:rPr>
          <w:rFonts w:asciiTheme="minorHAnsi" w:eastAsiaTheme="minorEastAsia" w:hAnsiTheme="minorHAnsi" w:cstheme="minorBidi"/>
        </w:rPr>
        <w:t>In recent years, our Youth Legal Advocate had been increasingly collaborating with the Calgary Young Offender Centre (CYOC) on obtaining youth participants for the mentorship program. This led to taking on higher</w:t>
      </w:r>
      <w:r w:rsidR="006D33A1">
        <w:rPr>
          <w:rFonts w:asciiTheme="minorHAnsi" w:eastAsiaTheme="minorEastAsia" w:hAnsiTheme="minorHAnsi" w:cstheme="minorBidi"/>
        </w:rPr>
        <w:t>-</w:t>
      </w:r>
      <w:r w:rsidRPr="0095425E">
        <w:rPr>
          <w:rFonts w:asciiTheme="minorHAnsi" w:eastAsiaTheme="minorEastAsia" w:hAnsiTheme="minorHAnsi" w:cstheme="minorBidi"/>
        </w:rPr>
        <w:t>needs participants with more serious charges, which is reflected in the changing distribution of charges during the past three years seen in the above table (</w:t>
      </w:r>
      <w:r w:rsidR="006D33A1">
        <w:rPr>
          <w:rFonts w:asciiTheme="minorHAnsi" w:eastAsiaTheme="minorEastAsia" w:hAnsiTheme="minorHAnsi" w:cstheme="minorBidi"/>
        </w:rPr>
        <w:t>T</w:t>
      </w:r>
      <w:r w:rsidRPr="0095425E">
        <w:rPr>
          <w:rFonts w:asciiTheme="minorHAnsi" w:eastAsiaTheme="minorEastAsia" w:hAnsiTheme="minorHAnsi" w:cstheme="minorBidi"/>
        </w:rPr>
        <w:t xml:space="preserve">able 5). Taking into consideration the increasing supports provided to youth in detention, we </w:t>
      </w:r>
      <w:r w:rsidR="00D33536">
        <w:rPr>
          <w:rFonts w:asciiTheme="minorHAnsi" w:eastAsiaTheme="minorEastAsia" w:hAnsiTheme="minorHAnsi" w:cstheme="minorBidi"/>
        </w:rPr>
        <w:t>began the</w:t>
      </w:r>
      <w:r w:rsidRPr="0095425E">
        <w:rPr>
          <w:rFonts w:asciiTheme="minorHAnsi" w:eastAsiaTheme="minorEastAsia" w:hAnsiTheme="minorHAnsi" w:cstheme="minorBidi"/>
        </w:rPr>
        <w:t xml:space="preserve"> process of diverting more of our work in our Youth Mentorship Program to community youth, where earlier intervention and prevention options can be implemented. </w:t>
      </w:r>
    </w:p>
    <w:p w14:paraId="5BE39C4B" w14:textId="02ECC8FB" w:rsidR="2DC2CA89" w:rsidRDefault="270294E6" w:rsidP="00D33536">
      <w:pPr>
        <w:rPr>
          <w:rFonts w:asciiTheme="minorHAnsi" w:eastAsiaTheme="minorEastAsia" w:hAnsiTheme="minorHAnsi" w:cstheme="minorBidi"/>
        </w:rPr>
      </w:pPr>
      <w:r w:rsidRPr="0095425E">
        <w:rPr>
          <w:rFonts w:asciiTheme="minorHAnsi" w:eastAsiaTheme="minorEastAsia" w:hAnsiTheme="minorHAnsi" w:cstheme="minorBidi"/>
        </w:rPr>
        <w:t xml:space="preserve">It is important to note, although we do serve youth who have more serious charges, these youth have still demonstrated considerable positive outcomes. Youth in our mentorship program show low levels of recidivism and notable increases in overall well-being, as shown in the data explained in more detail below. Part of the reason for these successes is related to the youth developing relationships with their mentors, who often are the first positive adult role model in their lives. Therefore, even those youth with significant struggles tend to achieve success in the mentorship program. </w:t>
      </w:r>
    </w:p>
    <w:p w14:paraId="27EE7AE1" w14:textId="50E70459" w:rsidR="00D33536" w:rsidRDefault="00D33536" w:rsidP="00D33536">
      <w:pPr>
        <w:rPr>
          <w:rFonts w:asciiTheme="minorHAnsi" w:eastAsiaTheme="minorEastAsia" w:hAnsiTheme="minorHAnsi" w:cstheme="minorBidi"/>
        </w:rPr>
      </w:pPr>
    </w:p>
    <w:p w14:paraId="499EA8E5" w14:textId="77777777" w:rsidR="00D33536" w:rsidRPr="0095425E" w:rsidRDefault="00D33536" w:rsidP="00D33536">
      <w:pPr>
        <w:rPr>
          <w:rFonts w:asciiTheme="minorHAnsi" w:eastAsiaTheme="minorEastAsia" w:hAnsiTheme="minorHAnsi" w:cstheme="minorBidi"/>
        </w:rPr>
      </w:pPr>
    </w:p>
    <w:p w14:paraId="7B3F5F70" w14:textId="0C6C9CAB" w:rsidR="270294E6" w:rsidRDefault="270294E6" w:rsidP="270294E6">
      <w:pPr>
        <w:spacing w:after="120" w:line="276" w:lineRule="auto"/>
        <w:rPr>
          <w:rFonts w:asciiTheme="minorHAnsi" w:eastAsiaTheme="minorEastAsia" w:hAnsiTheme="minorHAnsi" w:cstheme="minorBidi"/>
          <w:b/>
          <w:bCs/>
        </w:rPr>
      </w:pPr>
      <w:r w:rsidRPr="270294E6">
        <w:rPr>
          <w:rFonts w:asciiTheme="minorHAnsi" w:eastAsiaTheme="minorEastAsia" w:hAnsiTheme="minorHAnsi" w:cstheme="minorBidi"/>
          <w:b/>
          <w:bCs/>
        </w:rPr>
        <w:lastRenderedPageBreak/>
        <w:t>Q: How many youth participants of the prevention program reoffend?</w:t>
      </w:r>
    </w:p>
    <w:p w14:paraId="072F9353" w14:textId="1C39E0AB" w:rsidR="00F8600A" w:rsidRPr="00B95AD6" w:rsidRDefault="270294E6" w:rsidP="00D33536">
      <w:pPr>
        <w:spacing w:after="120" w:line="276" w:lineRule="auto"/>
        <w:rPr>
          <w:rFonts w:asciiTheme="minorHAnsi" w:eastAsiaTheme="minorEastAsia" w:hAnsiTheme="minorHAnsi" w:cstheme="minorBidi"/>
        </w:rPr>
      </w:pPr>
      <w:r w:rsidRPr="0095425E">
        <w:rPr>
          <w:rFonts w:asciiTheme="minorHAnsi" w:eastAsiaTheme="minorEastAsia" w:hAnsiTheme="minorHAnsi" w:cstheme="minorBidi"/>
        </w:rPr>
        <w:t>Our most recent data, collected from April 1</w:t>
      </w:r>
      <w:r w:rsidRPr="0095425E">
        <w:rPr>
          <w:rFonts w:asciiTheme="minorHAnsi" w:eastAsiaTheme="minorEastAsia" w:hAnsiTheme="minorHAnsi" w:cstheme="minorBidi"/>
          <w:vertAlign w:val="superscript"/>
        </w:rPr>
        <w:t>st</w:t>
      </w:r>
      <w:r w:rsidRPr="0095425E">
        <w:rPr>
          <w:rFonts w:asciiTheme="minorHAnsi" w:eastAsiaTheme="minorEastAsia" w:hAnsiTheme="minorHAnsi" w:cstheme="minorBidi"/>
        </w:rPr>
        <w:t xml:space="preserve"> to September 30</w:t>
      </w:r>
      <w:r w:rsidRPr="0095425E">
        <w:rPr>
          <w:rFonts w:asciiTheme="minorHAnsi" w:eastAsiaTheme="minorEastAsia" w:hAnsiTheme="minorHAnsi" w:cstheme="minorBidi"/>
          <w:vertAlign w:val="superscript"/>
        </w:rPr>
        <w:t>th</w:t>
      </w:r>
      <w:r w:rsidRPr="0095425E">
        <w:rPr>
          <w:rFonts w:asciiTheme="minorHAnsi" w:eastAsiaTheme="minorEastAsia" w:hAnsiTheme="minorHAnsi" w:cstheme="minorBidi"/>
        </w:rPr>
        <w:t>, 2019 shows that 79% of youth in the Youth Mentorship Program avoid incurring new charges in the year following contact with a mentor. 17% of youth involved in the program have incurred new charges, but remain in contact with their mentors and are therefore categorized as “In Progress” toward achieving this outcome. As well, in the year following contact with their mentor, 66% of youth who are subject to court ordered conditions have avoided breaching their conditions. Overall, 33% of youth subject to conditions have breached their conditions, but all remain connected with the program and are therefore categorized as “In Progress” toward achieving this outcome. These findings establish the important protective role the Youth Mentorship Program plays in mitigating the risk of re-offense and/or breaching court ordered conditions in the majority of its youth participants.</w:t>
      </w:r>
    </w:p>
    <w:tbl>
      <w:tblPr>
        <w:tblW w:w="0" w:type="auto"/>
        <w:tblLook w:val="0000" w:firstRow="0" w:lastRow="0" w:firstColumn="0" w:lastColumn="0" w:noHBand="0" w:noVBand="0"/>
      </w:tblPr>
      <w:tblGrid>
        <w:gridCol w:w="4411"/>
        <w:gridCol w:w="708"/>
        <w:gridCol w:w="1204"/>
        <w:gridCol w:w="707"/>
      </w:tblGrid>
      <w:tr w:rsidR="00196EBF" w14:paraId="4C7E9D1D" w14:textId="77777777" w:rsidTr="006D33A1">
        <w:trPr>
          <w:trHeight w:val="528"/>
        </w:trPr>
        <w:tc>
          <w:tcPr>
            <w:tcW w:w="7029" w:type="dxa"/>
            <w:gridSpan w:val="4"/>
            <w:tcBorders>
              <w:top w:val="single" w:sz="4" w:space="0" w:color="auto"/>
              <w:left w:val="single" w:sz="4" w:space="0" w:color="auto"/>
              <w:bottom w:val="single" w:sz="6" w:space="0" w:color="auto"/>
              <w:right w:val="single" w:sz="4" w:space="0" w:color="auto"/>
            </w:tcBorders>
            <w:shd w:val="clear" w:color="auto" w:fill="A8D08D" w:themeFill="accent6" w:themeFillTint="99"/>
            <w:vAlign w:val="center"/>
          </w:tcPr>
          <w:p w14:paraId="61065F30" w14:textId="339006DC" w:rsidR="00196EBF" w:rsidRPr="0095425E" w:rsidRDefault="270294E6" w:rsidP="270294E6">
            <w:pPr>
              <w:autoSpaceDE w:val="0"/>
              <w:autoSpaceDN w:val="0"/>
              <w:adjustRightInd w:val="0"/>
              <w:jc w:val="center"/>
              <w:rPr>
                <w:rFonts w:asciiTheme="minorHAnsi" w:eastAsiaTheme="minorEastAsia" w:hAnsiTheme="minorHAnsi" w:cstheme="minorBidi"/>
                <w:b/>
                <w:bCs/>
              </w:rPr>
            </w:pPr>
            <w:r w:rsidRPr="0095425E">
              <w:rPr>
                <w:rFonts w:asciiTheme="minorHAnsi" w:eastAsiaTheme="minorEastAsia" w:hAnsiTheme="minorHAnsi" w:cstheme="minorBidi"/>
                <w:b/>
                <w:bCs/>
              </w:rPr>
              <w:t>Youth Mentorship Program Outcomes April 2019 - September 2019</w:t>
            </w:r>
          </w:p>
        </w:tc>
      </w:tr>
      <w:tr w:rsidR="00196EBF" w14:paraId="59588322" w14:textId="77777777" w:rsidTr="006D33A1">
        <w:trPr>
          <w:trHeight w:val="316"/>
        </w:trPr>
        <w:tc>
          <w:tcPr>
            <w:tcW w:w="4411" w:type="dxa"/>
            <w:vMerge w:val="restart"/>
            <w:tcBorders>
              <w:top w:val="single" w:sz="6" w:space="0" w:color="auto"/>
              <w:left w:val="single" w:sz="4" w:space="0" w:color="auto"/>
              <w:right w:val="single" w:sz="6" w:space="0" w:color="auto"/>
            </w:tcBorders>
            <w:vAlign w:val="center"/>
          </w:tcPr>
          <w:p w14:paraId="305E31DC" w14:textId="77777777" w:rsidR="00196EBF" w:rsidRPr="0095425E" w:rsidRDefault="270294E6" w:rsidP="270294E6">
            <w:pPr>
              <w:autoSpaceDE w:val="0"/>
              <w:autoSpaceDN w:val="0"/>
              <w:adjustRightInd w:val="0"/>
              <w:jc w:val="center"/>
              <w:rPr>
                <w:rFonts w:asciiTheme="minorHAnsi" w:eastAsiaTheme="minorEastAsia" w:hAnsiTheme="minorHAnsi" w:cstheme="minorBidi"/>
              </w:rPr>
            </w:pPr>
            <w:r w:rsidRPr="0095425E">
              <w:rPr>
                <w:rFonts w:asciiTheme="minorHAnsi" w:eastAsiaTheme="minorEastAsia" w:hAnsiTheme="minorHAnsi" w:cstheme="minorBidi"/>
              </w:rPr>
              <w:t>Target</w:t>
            </w:r>
          </w:p>
        </w:tc>
        <w:tc>
          <w:tcPr>
            <w:tcW w:w="2617" w:type="dxa"/>
            <w:gridSpan w:val="3"/>
            <w:tcBorders>
              <w:top w:val="single" w:sz="6" w:space="0" w:color="auto"/>
              <w:left w:val="single" w:sz="6" w:space="0" w:color="auto"/>
              <w:bottom w:val="single" w:sz="6" w:space="0" w:color="auto"/>
              <w:right w:val="single" w:sz="4" w:space="0" w:color="auto"/>
            </w:tcBorders>
            <w:vAlign w:val="center"/>
          </w:tcPr>
          <w:p w14:paraId="28AB93F9" w14:textId="77777777" w:rsidR="00196EBF" w:rsidRPr="0095425E" w:rsidRDefault="270294E6" w:rsidP="270294E6">
            <w:pPr>
              <w:autoSpaceDE w:val="0"/>
              <w:autoSpaceDN w:val="0"/>
              <w:adjustRightInd w:val="0"/>
              <w:jc w:val="center"/>
              <w:rPr>
                <w:rFonts w:asciiTheme="minorHAnsi" w:eastAsiaTheme="minorEastAsia" w:hAnsiTheme="minorHAnsi" w:cstheme="minorBidi"/>
              </w:rPr>
            </w:pPr>
            <w:r w:rsidRPr="0095425E">
              <w:rPr>
                <w:rFonts w:asciiTheme="minorHAnsi" w:eastAsiaTheme="minorEastAsia" w:hAnsiTheme="minorHAnsi" w:cstheme="minorBidi"/>
              </w:rPr>
              <w:t>Outcome Achieved?</w:t>
            </w:r>
          </w:p>
        </w:tc>
      </w:tr>
      <w:tr w:rsidR="00196EBF" w14:paraId="3936E30C" w14:textId="77777777" w:rsidTr="006D33A1">
        <w:trPr>
          <w:trHeight w:val="316"/>
        </w:trPr>
        <w:tc>
          <w:tcPr>
            <w:tcW w:w="4411" w:type="dxa"/>
            <w:vMerge/>
            <w:tcBorders>
              <w:left w:val="single" w:sz="4" w:space="0" w:color="auto"/>
            </w:tcBorders>
            <w:vAlign w:val="center"/>
          </w:tcPr>
          <w:p w14:paraId="33AB9ABA" w14:textId="77777777" w:rsidR="00196EBF" w:rsidRDefault="00196EBF" w:rsidP="00A6176E">
            <w:pPr>
              <w:autoSpaceDE w:val="0"/>
              <w:autoSpaceDN w:val="0"/>
              <w:adjustRightInd w:val="0"/>
              <w:jc w:val="center"/>
              <w:rPr>
                <w:rFonts w:ascii="Calibri" w:hAnsi="Calibri" w:cs="Calibri"/>
              </w:rPr>
            </w:pPr>
          </w:p>
        </w:tc>
        <w:tc>
          <w:tcPr>
            <w:tcW w:w="707" w:type="dxa"/>
            <w:tcBorders>
              <w:top w:val="single" w:sz="6" w:space="0" w:color="auto"/>
              <w:left w:val="single" w:sz="6" w:space="0" w:color="auto"/>
              <w:bottom w:val="single" w:sz="6" w:space="0" w:color="auto"/>
              <w:right w:val="single" w:sz="6" w:space="0" w:color="auto"/>
            </w:tcBorders>
            <w:vAlign w:val="center"/>
          </w:tcPr>
          <w:p w14:paraId="595B9036" w14:textId="77777777" w:rsidR="00196EBF" w:rsidRPr="0095425E" w:rsidRDefault="270294E6" w:rsidP="270294E6">
            <w:pPr>
              <w:autoSpaceDE w:val="0"/>
              <w:autoSpaceDN w:val="0"/>
              <w:adjustRightInd w:val="0"/>
              <w:jc w:val="center"/>
              <w:rPr>
                <w:rFonts w:asciiTheme="minorHAnsi" w:eastAsiaTheme="minorEastAsia" w:hAnsiTheme="minorHAnsi" w:cstheme="minorBidi"/>
              </w:rPr>
            </w:pPr>
            <w:r w:rsidRPr="0095425E">
              <w:rPr>
                <w:rFonts w:asciiTheme="minorHAnsi" w:eastAsiaTheme="minorEastAsia" w:hAnsiTheme="minorHAnsi" w:cstheme="minorBidi"/>
              </w:rPr>
              <w:t>Yes</w:t>
            </w:r>
          </w:p>
        </w:tc>
        <w:tc>
          <w:tcPr>
            <w:tcW w:w="1204" w:type="dxa"/>
            <w:tcBorders>
              <w:top w:val="single" w:sz="6" w:space="0" w:color="auto"/>
              <w:left w:val="single" w:sz="6" w:space="0" w:color="auto"/>
              <w:bottom w:val="single" w:sz="6" w:space="0" w:color="auto"/>
              <w:right w:val="single" w:sz="6" w:space="0" w:color="auto"/>
            </w:tcBorders>
            <w:vAlign w:val="center"/>
          </w:tcPr>
          <w:p w14:paraId="28B83BC3" w14:textId="77777777" w:rsidR="00196EBF" w:rsidRPr="0095425E" w:rsidRDefault="270294E6" w:rsidP="270294E6">
            <w:pPr>
              <w:autoSpaceDE w:val="0"/>
              <w:autoSpaceDN w:val="0"/>
              <w:adjustRightInd w:val="0"/>
              <w:jc w:val="center"/>
              <w:rPr>
                <w:rFonts w:asciiTheme="minorHAnsi" w:eastAsiaTheme="minorEastAsia" w:hAnsiTheme="minorHAnsi" w:cstheme="minorBidi"/>
              </w:rPr>
            </w:pPr>
            <w:r w:rsidRPr="0095425E">
              <w:rPr>
                <w:rFonts w:asciiTheme="minorHAnsi" w:eastAsiaTheme="minorEastAsia" w:hAnsiTheme="minorHAnsi" w:cstheme="minorBidi"/>
              </w:rPr>
              <w:t>In Progress</w:t>
            </w:r>
          </w:p>
        </w:tc>
        <w:tc>
          <w:tcPr>
            <w:tcW w:w="704" w:type="dxa"/>
            <w:tcBorders>
              <w:top w:val="single" w:sz="6" w:space="0" w:color="auto"/>
              <w:left w:val="single" w:sz="6" w:space="0" w:color="auto"/>
              <w:bottom w:val="single" w:sz="6" w:space="0" w:color="auto"/>
              <w:right w:val="single" w:sz="4" w:space="0" w:color="auto"/>
            </w:tcBorders>
            <w:vAlign w:val="center"/>
          </w:tcPr>
          <w:p w14:paraId="3ED98101" w14:textId="77777777" w:rsidR="00196EBF" w:rsidRPr="0095425E" w:rsidRDefault="270294E6" w:rsidP="270294E6">
            <w:pPr>
              <w:autoSpaceDE w:val="0"/>
              <w:autoSpaceDN w:val="0"/>
              <w:adjustRightInd w:val="0"/>
              <w:jc w:val="center"/>
              <w:rPr>
                <w:rFonts w:asciiTheme="minorHAnsi" w:eastAsiaTheme="minorEastAsia" w:hAnsiTheme="minorHAnsi" w:cstheme="minorBidi"/>
              </w:rPr>
            </w:pPr>
            <w:r w:rsidRPr="0095425E">
              <w:rPr>
                <w:rFonts w:asciiTheme="minorHAnsi" w:eastAsiaTheme="minorEastAsia" w:hAnsiTheme="minorHAnsi" w:cstheme="minorBidi"/>
              </w:rPr>
              <w:t>No</w:t>
            </w:r>
          </w:p>
        </w:tc>
      </w:tr>
      <w:tr w:rsidR="00196EBF" w14:paraId="3C1950D9" w14:textId="77777777" w:rsidTr="006D33A1">
        <w:trPr>
          <w:trHeight w:val="633"/>
        </w:trPr>
        <w:tc>
          <w:tcPr>
            <w:tcW w:w="4411" w:type="dxa"/>
            <w:tcBorders>
              <w:top w:val="single" w:sz="6" w:space="0" w:color="auto"/>
              <w:left w:val="single" w:sz="4" w:space="0" w:color="auto"/>
              <w:bottom w:val="single" w:sz="6" w:space="0" w:color="auto"/>
              <w:right w:val="single" w:sz="6" w:space="0" w:color="auto"/>
            </w:tcBorders>
            <w:vAlign w:val="center"/>
          </w:tcPr>
          <w:p w14:paraId="09B11B7B" w14:textId="77777777" w:rsidR="00196EBF" w:rsidRPr="00D357A7" w:rsidRDefault="270294E6" w:rsidP="270294E6">
            <w:pPr>
              <w:autoSpaceDE w:val="0"/>
              <w:autoSpaceDN w:val="0"/>
              <w:adjustRightInd w:val="0"/>
              <w:rPr>
                <w:rFonts w:asciiTheme="minorHAnsi" w:eastAsiaTheme="minorEastAsia" w:hAnsiTheme="minorHAnsi" w:cstheme="minorBidi"/>
              </w:rPr>
            </w:pPr>
            <w:r w:rsidRPr="0095425E">
              <w:rPr>
                <w:rFonts w:asciiTheme="minorHAnsi" w:eastAsiaTheme="minorEastAsia" w:hAnsiTheme="minorHAnsi" w:cstheme="minorBidi"/>
              </w:rPr>
              <w:t>30-50 youth are connected with an appropriate, supportive mentor.</w:t>
            </w:r>
          </w:p>
        </w:tc>
        <w:tc>
          <w:tcPr>
            <w:tcW w:w="707" w:type="dxa"/>
            <w:tcBorders>
              <w:top w:val="single" w:sz="6" w:space="0" w:color="auto"/>
              <w:left w:val="single" w:sz="6" w:space="0" w:color="auto"/>
              <w:bottom w:val="single" w:sz="6" w:space="0" w:color="auto"/>
              <w:right w:val="single" w:sz="6" w:space="0" w:color="auto"/>
            </w:tcBorders>
            <w:vAlign w:val="center"/>
          </w:tcPr>
          <w:p w14:paraId="6A77E22C" w14:textId="77777777" w:rsidR="00196EBF" w:rsidRPr="00C35C7A" w:rsidRDefault="270294E6" w:rsidP="270294E6">
            <w:pPr>
              <w:autoSpaceDE w:val="0"/>
              <w:autoSpaceDN w:val="0"/>
              <w:adjustRightInd w:val="0"/>
              <w:jc w:val="center"/>
              <w:rPr>
                <w:rFonts w:asciiTheme="minorHAnsi" w:eastAsiaTheme="minorEastAsia" w:hAnsiTheme="minorHAnsi" w:cstheme="minorBidi"/>
              </w:rPr>
            </w:pPr>
            <w:r w:rsidRPr="00C35C7A">
              <w:rPr>
                <w:rFonts w:asciiTheme="minorHAnsi" w:eastAsiaTheme="minorEastAsia" w:hAnsiTheme="minorHAnsi" w:cstheme="minorBidi"/>
              </w:rPr>
              <w:t>79%</w:t>
            </w:r>
          </w:p>
        </w:tc>
        <w:tc>
          <w:tcPr>
            <w:tcW w:w="1204" w:type="dxa"/>
            <w:tcBorders>
              <w:top w:val="single" w:sz="6" w:space="0" w:color="auto"/>
              <w:left w:val="single" w:sz="6" w:space="0" w:color="auto"/>
              <w:bottom w:val="single" w:sz="6" w:space="0" w:color="auto"/>
              <w:right w:val="single" w:sz="6" w:space="0" w:color="auto"/>
            </w:tcBorders>
            <w:vAlign w:val="center"/>
          </w:tcPr>
          <w:p w14:paraId="142C9D6F" w14:textId="77777777" w:rsidR="00196EBF" w:rsidRPr="00C35C7A" w:rsidRDefault="270294E6" w:rsidP="270294E6">
            <w:pPr>
              <w:autoSpaceDE w:val="0"/>
              <w:autoSpaceDN w:val="0"/>
              <w:adjustRightInd w:val="0"/>
              <w:jc w:val="center"/>
              <w:rPr>
                <w:rFonts w:asciiTheme="minorHAnsi" w:eastAsiaTheme="minorEastAsia" w:hAnsiTheme="minorHAnsi" w:cstheme="minorBidi"/>
              </w:rPr>
            </w:pPr>
            <w:r w:rsidRPr="00C35C7A">
              <w:rPr>
                <w:rFonts w:asciiTheme="minorHAnsi" w:eastAsiaTheme="minorEastAsia" w:hAnsiTheme="minorHAnsi" w:cstheme="minorBidi"/>
              </w:rPr>
              <w:t>21%</w:t>
            </w:r>
          </w:p>
        </w:tc>
        <w:tc>
          <w:tcPr>
            <w:tcW w:w="704" w:type="dxa"/>
            <w:tcBorders>
              <w:top w:val="single" w:sz="6" w:space="0" w:color="auto"/>
              <w:left w:val="single" w:sz="6" w:space="0" w:color="auto"/>
              <w:bottom w:val="single" w:sz="6" w:space="0" w:color="auto"/>
              <w:right w:val="single" w:sz="4" w:space="0" w:color="auto"/>
            </w:tcBorders>
            <w:vAlign w:val="center"/>
          </w:tcPr>
          <w:p w14:paraId="0EA070F0" w14:textId="77777777" w:rsidR="00196EBF" w:rsidRPr="0095425E" w:rsidRDefault="270294E6" w:rsidP="270294E6">
            <w:pPr>
              <w:autoSpaceDE w:val="0"/>
              <w:autoSpaceDN w:val="0"/>
              <w:adjustRightInd w:val="0"/>
              <w:jc w:val="center"/>
              <w:rPr>
                <w:rFonts w:asciiTheme="minorHAnsi" w:eastAsiaTheme="minorEastAsia" w:hAnsiTheme="minorHAnsi" w:cstheme="minorBidi"/>
              </w:rPr>
            </w:pPr>
            <w:r w:rsidRPr="0095425E">
              <w:rPr>
                <w:rFonts w:asciiTheme="minorHAnsi" w:eastAsiaTheme="minorEastAsia" w:hAnsiTheme="minorHAnsi" w:cstheme="minorBidi"/>
              </w:rPr>
              <w:t>0%</w:t>
            </w:r>
          </w:p>
        </w:tc>
      </w:tr>
      <w:tr w:rsidR="00196EBF" w14:paraId="5CA17FA4" w14:textId="77777777" w:rsidTr="006D33A1">
        <w:trPr>
          <w:trHeight w:val="633"/>
        </w:trPr>
        <w:tc>
          <w:tcPr>
            <w:tcW w:w="4411" w:type="dxa"/>
            <w:tcBorders>
              <w:top w:val="single" w:sz="6" w:space="0" w:color="auto"/>
              <w:left w:val="single" w:sz="4" w:space="0" w:color="auto"/>
              <w:bottom w:val="single" w:sz="6" w:space="0" w:color="auto"/>
              <w:right w:val="single" w:sz="6" w:space="0" w:color="auto"/>
            </w:tcBorders>
            <w:shd w:val="clear" w:color="auto" w:fill="auto"/>
            <w:vAlign w:val="center"/>
          </w:tcPr>
          <w:p w14:paraId="323F6E5F" w14:textId="77777777" w:rsidR="00196EBF" w:rsidRPr="0095425E" w:rsidRDefault="270294E6" w:rsidP="270294E6">
            <w:pPr>
              <w:autoSpaceDE w:val="0"/>
              <w:autoSpaceDN w:val="0"/>
              <w:adjustRightInd w:val="0"/>
              <w:rPr>
                <w:rFonts w:asciiTheme="minorHAnsi" w:eastAsiaTheme="minorEastAsia" w:hAnsiTheme="minorHAnsi" w:cstheme="minorBidi"/>
              </w:rPr>
            </w:pPr>
            <w:r w:rsidRPr="0095425E">
              <w:rPr>
                <w:rFonts w:asciiTheme="minorHAnsi" w:eastAsiaTheme="minorEastAsia" w:hAnsiTheme="minorHAnsi" w:cstheme="minorBidi"/>
              </w:rPr>
              <w:t>80% of youth report that they received emotional support from their mentor when required.</w:t>
            </w:r>
          </w:p>
        </w:tc>
        <w:tc>
          <w:tcPr>
            <w:tcW w:w="707" w:type="dxa"/>
            <w:tcBorders>
              <w:top w:val="single" w:sz="6" w:space="0" w:color="auto"/>
              <w:left w:val="single" w:sz="6" w:space="0" w:color="auto"/>
              <w:bottom w:val="single" w:sz="6" w:space="0" w:color="auto"/>
              <w:right w:val="single" w:sz="6" w:space="0" w:color="auto"/>
            </w:tcBorders>
            <w:vAlign w:val="center"/>
          </w:tcPr>
          <w:p w14:paraId="467A0EAC" w14:textId="77777777" w:rsidR="00196EBF" w:rsidRPr="00C35C7A" w:rsidRDefault="270294E6" w:rsidP="270294E6">
            <w:pPr>
              <w:autoSpaceDE w:val="0"/>
              <w:autoSpaceDN w:val="0"/>
              <w:adjustRightInd w:val="0"/>
              <w:jc w:val="center"/>
              <w:rPr>
                <w:rFonts w:asciiTheme="minorHAnsi" w:eastAsiaTheme="minorEastAsia" w:hAnsiTheme="minorHAnsi" w:cstheme="minorBidi"/>
              </w:rPr>
            </w:pPr>
            <w:r w:rsidRPr="00C35C7A">
              <w:rPr>
                <w:rFonts w:asciiTheme="minorHAnsi" w:eastAsiaTheme="minorEastAsia" w:hAnsiTheme="minorHAnsi" w:cstheme="minorBidi"/>
              </w:rPr>
              <w:t>100%</w:t>
            </w:r>
          </w:p>
        </w:tc>
        <w:tc>
          <w:tcPr>
            <w:tcW w:w="1204" w:type="dxa"/>
            <w:tcBorders>
              <w:top w:val="single" w:sz="6" w:space="0" w:color="auto"/>
              <w:left w:val="single" w:sz="6" w:space="0" w:color="auto"/>
              <w:bottom w:val="single" w:sz="6" w:space="0" w:color="auto"/>
              <w:right w:val="single" w:sz="6" w:space="0" w:color="auto"/>
            </w:tcBorders>
            <w:vAlign w:val="center"/>
          </w:tcPr>
          <w:p w14:paraId="5391C65B" w14:textId="77777777" w:rsidR="00196EBF" w:rsidRPr="00C35C7A" w:rsidRDefault="270294E6" w:rsidP="270294E6">
            <w:pPr>
              <w:autoSpaceDE w:val="0"/>
              <w:autoSpaceDN w:val="0"/>
              <w:adjustRightInd w:val="0"/>
              <w:jc w:val="center"/>
              <w:rPr>
                <w:rFonts w:asciiTheme="minorHAnsi" w:eastAsiaTheme="minorEastAsia" w:hAnsiTheme="minorHAnsi" w:cstheme="minorBidi"/>
              </w:rPr>
            </w:pPr>
            <w:r w:rsidRPr="00C35C7A">
              <w:rPr>
                <w:rFonts w:asciiTheme="minorHAnsi" w:eastAsiaTheme="minorEastAsia" w:hAnsiTheme="minorHAnsi" w:cstheme="minorBidi"/>
              </w:rPr>
              <w:t>0%</w:t>
            </w:r>
          </w:p>
        </w:tc>
        <w:tc>
          <w:tcPr>
            <w:tcW w:w="704" w:type="dxa"/>
            <w:tcBorders>
              <w:top w:val="single" w:sz="6" w:space="0" w:color="auto"/>
              <w:left w:val="single" w:sz="6" w:space="0" w:color="auto"/>
              <w:bottom w:val="single" w:sz="6" w:space="0" w:color="auto"/>
              <w:right w:val="single" w:sz="4" w:space="0" w:color="auto"/>
            </w:tcBorders>
            <w:vAlign w:val="center"/>
          </w:tcPr>
          <w:p w14:paraId="1A738427" w14:textId="77777777" w:rsidR="00196EBF" w:rsidRPr="0095425E" w:rsidRDefault="270294E6" w:rsidP="270294E6">
            <w:pPr>
              <w:autoSpaceDE w:val="0"/>
              <w:autoSpaceDN w:val="0"/>
              <w:adjustRightInd w:val="0"/>
              <w:jc w:val="center"/>
              <w:rPr>
                <w:rFonts w:asciiTheme="minorHAnsi" w:eastAsiaTheme="minorEastAsia" w:hAnsiTheme="minorHAnsi" w:cstheme="minorBidi"/>
              </w:rPr>
            </w:pPr>
            <w:r w:rsidRPr="0095425E">
              <w:rPr>
                <w:rFonts w:asciiTheme="minorHAnsi" w:eastAsiaTheme="minorEastAsia" w:hAnsiTheme="minorHAnsi" w:cstheme="minorBidi"/>
              </w:rPr>
              <w:t>0%</w:t>
            </w:r>
          </w:p>
        </w:tc>
      </w:tr>
      <w:tr w:rsidR="00196EBF" w14:paraId="5FC24CC2" w14:textId="77777777" w:rsidTr="006D33A1">
        <w:trPr>
          <w:trHeight w:val="633"/>
        </w:trPr>
        <w:tc>
          <w:tcPr>
            <w:tcW w:w="4411" w:type="dxa"/>
            <w:tcBorders>
              <w:top w:val="single" w:sz="6" w:space="0" w:color="auto"/>
              <w:left w:val="single" w:sz="4" w:space="0" w:color="auto"/>
              <w:bottom w:val="single" w:sz="6" w:space="0" w:color="auto"/>
              <w:right w:val="single" w:sz="6" w:space="0" w:color="auto"/>
            </w:tcBorders>
            <w:shd w:val="clear" w:color="auto" w:fill="auto"/>
            <w:vAlign w:val="center"/>
          </w:tcPr>
          <w:p w14:paraId="3AAAAE9D" w14:textId="77777777" w:rsidR="00196EBF" w:rsidRPr="0095425E" w:rsidRDefault="270294E6" w:rsidP="270294E6">
            <w:pPr>
              <w:autoSpaceDE w:val="0"/>
              <w:autoSpaceDN w:val="0"/>
              <w:adjustRightInd w:val="0"/>
              <w:rPr>
                <w:rFonts w:asciiTheme="minorHAnsi" w:eastAsiaTheme="minorEastAsia" w:hAnsiTheme="minorHAnsi" w:cstheme="minorBidi"/>
              </w:rPr>
            </w:pPr>
            <w:r w:rsidRPr="0095425E">
              <w:rPr>
                <w:rFonts w:asciiTheme="minorHAnsi" w:eastAsiaTheme="minorEastAsia" w:hAnsiTheme="minorHAnsi" w:cstheme="minorBidi"/>
              </w:rPr>
              <w:t>70-80% of youth avoid incurring new charges in the year following contact with a mentor.</w:t>
            </w:r>
          </w:p>
        </w:tc>
        <w:tc>
          <w:tcPr>
            <w:tcW w:w="707" w:type="dxa"/>
            <w:tcBorders>
              <w:top w:val="single" w:sz="6" w:space="0" w:color="auto"/>
              <w:left w:val="single" w:sz="6" w:space="0" w:color="auto"/>
              <w:bottom w:val="single" w:sz="6" w:space="0" w:color="auto"/>
              <w:right w:val="single" w:sz="6" w:space="0" w:color="auto"/>
            </w:tcBorders>
            <w:vAlign w:val="center"/>
          </w:tcPr>
          <w:p w14:paraId="40F9966D" w14:textId="77777777" w:rsidR="00196EBF" w:rsidRPr="00C35C7A" w:rsidRDefault="270294E6" w:rsidP="270294E6">
            <w:pPr>
              <w:autoSpaceDE w:val="0"/>
              <w:autoSpaceDN w:val="0"/>
              <w:adjustRightInd w:val="0"/>
              <w:jc w:val="center"/>
              <w:rPr>
                <w:rFonts w:asciiTheme="minorHAnsi" w:eastAsiaTheme="minorEastAsia" w:hAnsiTheme="minorHAnsi" w:cstheme="minorBidi"/>
              </w:rPr>
            </w:pPr>
            <w:r w:rsidRPr="00C35C7A">
              <w:rPr>
                <w:rFonts w:asciiTheme="minorHAnsi" w:eastAsiaTheme="minorEastAsia" w:hAnsiTheme="minorHAnsi" w:cstheme="minorBidi"/>
              </w:rPr>
              <w:t>79%</w:t>
            </w:r>
          </w:p>
        </w:tc>
        <w:tc>
          <w:tcPr>
            <w:tcW w:w="1204" w:type="dxa"/>
            <w:tcBorders>
              <w:top w:val="single" w:sz="6" w:space="0" w:color="auto"/>
              <w:left w:val="single" w:sz="6" w:space="0" w:color="auto"/>
              <w:bottom w:val="single" w:sz="6" w:space="0" w:color="auto"/>
              <w:right w:val="single" w:sz="6" w:space="0" w:color="auto"/>
            </w:tcBorders>
            <w:vAlign w:val="center"/>
          </w:tcPr>
          <w:p w14:paraId="420CA1D3" w14:textId="77777777" w:rsidR="00196EBF" w:rsidRPr="00C35C7A" w:rsidRDefault="270294E6" w:rsidP="270294E6">
            <w:pPr>
              <w:autoSpaceDE w:val="0"/>
              <w:autoSpaceDN w:val="0"/>
              <w:adjustRightInd w:val="0"/>
              <w:jc w:val="center"/>
              <w:rPr>
                <w:rFonts w:asciiTheme="minorHAnsi" w:eastAsiaTheme="minorEastAsia" w:hAnsiTheme="minorHAnsi" w:cstheme="minorBidi"/>
              </w:rPr>
            </w:pPr>
            <w:r w:rsidRPr="00C35C7A">
              <w:rPr>
                <w:rFonts w:asciiTheme="minorHAnsi" w:eastAsiaTheme="minorEastAsia" w:hAnsiTheme="minorHAnsi" w:cstheme="minorBidi"/>
              </w:rPr>
              <w:t>17%</w:t>
            </w:r>
          </w:p>
        </w:tc>
        <w:tc>
          <w:tcPr>
            <w:tcW w:w="704" w:type="dxa"/>
            <w:tcBorders>
              <w:top w:val="single" w:sz="6" w:space="0" w:color="auto"/>
              <w:left w:val="single" w:sz="6" w:space="0" w:color="auto"/>
              <w:bottom w:val="single" w:sz="6" w:space="0" w:color="auto"/>
              <w:right w:val="single" w:sz="4" w:space="0" w:color="auto"/>
            </w:tcBorders>
            <w:vAlign w:val="center"/>
          </w:tcPr>
          <w:p w14:paraId="79A8E767" w14:textId="77777777" w:rsidR="00196EBF" w:rsidRPr="0095425E" w:rsidRDefault="270294E6" w:rsidP="270294E6">
            <w:pPr>
              <w:autoSpaceDE w:val="0"/>
              <w:autoSpaceDN w:val="0"/>
              <w:adjustRightInd w:val="0"/>
              <w:jc w:val="center"/>
              <w:rPr>
                <w:rFonts w:asciiTheme="minorHAnsi" w:eastAsiaTheme="minorEastAsia" w:hAnsiTheme="minorHAnsi" w:cstheme="minorBidi"/>
              </w:rPr>
            </w:pPr>
            <w:r w:rsidRPr="0095425E">
              <w:rPr>
                <w:rFonts w:asciiTheme="minorHAnsi" w:eastAsiaTheme="minorEastAsia" w:hAnsiTheme="minorHAnsi" w:cstheme="minorBidi"/>
              </w:rPr>
              <w:t>0%</w:t>
            </w:r>
          </w:p>
        </w:tc>
      </w:tr>
      <w:tr w:rsidR="00196EBF" w14:paraId="7143F33F" w14:textId="77777777" w:rsidTr="006D33A1">
        <w:trPr>
          <w:trHeight w:val="633"/>
        </w:trPr>
        <w:tc>
          <w:tcPr>
            <w:tcW w:w="4411" w:type="dxa"/>
            <w:tcBorders>
              <w:top w:val="single" w:sz="6" w:space="0" w:color="auto"/>
              <w:left w:val="single" w:sz="4" w:space="0" w:color="auto"/>
              <w:bottom w:val="single" w:sz="4" w:space="0" w:color="auto"/>
              <w:right w:val="single" w:sz="6" w:space="0" w:color="auto"/>
            </w:tcBorders>
            <w:shd w:val="clear" w:color="auto" w:fill="auto"/>
            <w:vAlign w:val="center"/>
          </w:tcPr>
          <w:p w14:paraId="3C078F82" w14:textId="77777777" w:rsidR="00196EBF" w:rsidRPr="0095425E" w:rsidRDefault="270294E6" w:rsidP="270294E6">
            <w:pPr>
              <w:autoSpaceDE w:val="0"/>
              <w:autoSpaceDN w:val="0"/>
              <w:adjustRightInd w:val="0"/>
              <w:rPr>
                <w:rFonts w:asciiTheme="minorHAnsi" w:eastAsiaTheme="minorEastAsia" w:hAnsiTheme="minorHAnsi" w:cstheme="minorBidi"/>
              </w:rPr>
            </w:pPr>
            <w:r w:rsidRPr="0095425E">
              <w:rPr>
                <w:rFonts w:asciiTheme="minorHAnsi" w:eastAsiaTheme="minorEastAsia" w:hAnsiTheme="minorHAnsi" w:cstheme="minorBidi"/>
              </w:rPr>
              <w:t>70-80% of youth avoid breaching conditions in the year following contact with a mentor.</w:t>
            </w:r>
          </w:p>
        </w:tc>
        <w:tc>
          <w:tcPr>
            <w:tcW w:w="707" w:type="dxa"/>
            <w:tcBorders>
              <w:top w:val="single" w:sz="6" w:space="0" w:color="auto"/>
              <w:left w:val="single" w:sz="6" w:space="0" w:color="auto"/>
              <w:bottom w:val="single" w:sz="4" w:space="0" w:color="auto"/>
              <w:right w:val="single" w:sz="6" w:space="0" w:color="auto"/>
            </w:tcBorders>
            <w:vAlign w:val="center"/>
          </w:tcPr>
          <w:p w14:paraId="091950B0" w14:textId="77777777" w:rsidR="00196EBF" w:rsidRPr="00C35C7A" w:rsidRDefault="270294E6" w:rsidP="270294E6">
            <w:pPr>
              <w:autoSpaceDE w:val="0"/>
              <w:autoSpaceDN w:val="0"/>
              <w:adjustRightInd w:val="0"/>
              <w:jc w:val="center"/>
              <w:rPr>
                <w:rFonts w:asciiTheme="minorHAnsi" w:eastAsiaTheme="minorEastAsia" w:hAnsiTheme="minorHAnsi" w:cstheme="minorBidi"/>
              </w:rPr>
            </w:pPr>
            <w:r w:rsidRPr="00C35C7A">
              <w:rPr>
                <w:rFonts w:asciiTheme="minorHAnsi" w:eastAsiaTheme="minorEastAsia" w:hAnsiTheme="minorHAnsi" w:cstheme="minorBidi"/>
              </w:rPr>
              <w:t>66%</w:t>
            </w:r>
          </w:p>
        </w:tc>
        <w:tc>
          <w:tcPr>
            <w:tcW w:w="1204" w:type="dxa"/>
            <w:tcBorders>
              <w:top w:val="single" w:sz="6" w:space="0" w:color="auto"/>
              <w:left w:val="single" w:sz="6" w:space="0" w:color="auto"/>
              <w:bottom w:val="single" w:sz="4" w:space="0" w:color="auto"/>
              <w:right w:val="single" w:sz="6" w:space="0" w:color="auto"/>
            </w:tcBorders>
            <w:vAlign w:val="center"/>
          </w:tcPr>
          <w:p w14:paraId="2B3916FA" w14:textId="77777777" w:rsidR="00196EBF" w:rsidRPr="00C35C7A" w:rsidRDefault="270294E6" w:rsidP="270294E6">
            <w:pPr>
              <w:autoSpaceDE w:val="0"/>
              <w:autoSpaceDN w:val="0"/>
              <w:adjustRightInd w:val="0"/>
              <w:jc w:val="center"/>
              <w:rPr>
                <w:rFonts w:asciiTheme="minorHAnsi" w:eastAsiaTheme="minorEastAsia" w:hAnsiTheme="minorHAnsi" w:cstheme="minorBidi"/>
              </w:rPr>
            </w:pPr>
            <w:r w:rsidRPr="00C35C7A">
              <w:rPr>
                <w:rFonts w:asciiTheme="minorHAnsi" w:eastAsiaTheme="minorEastAsia" w:hAnsiTheme="minorHAnsi" w:cstheme="minorBidi"/>
              </w:rPr>
              <w:t>33%</w:t>
            </w:r>
          </w:p>
        </w:tc>
        <w:tc>
          <w:tcPr>
            <w:tcW w:w="704" w:type="dxa"/>
            <w:tcBorders>
              <w:top w:val="single" w:sz="6" w:space="0" w:color="auto"/>
              <w:left w:val="single" w:sz="6" w:space="0" w:color="auto"/>
              <w:bottom w:val="single" w:sz="4" w:space="0" w:color="auto"/>
              <w:right w:val="single" w:sz="4" w:space="0" w:color="auto"/>
            </w:tcBorders>
            <w:vAlign w:val="center"/>
          </w:tcPr>
          <w:p w14:paraId="483340A6" w14:textId="77777777" w:rsidR="00196EBF" w:rsidRPr="0095425E" w:rsidRDefault="270294E6" w:rsidP="270294E6">
            <w:pPr>
              <w:autoSpaceDE w:val="0"/>
              <w:autoSpaceDN w:val="0"/>
              <w:adjustRightInd w:val="0"/>
              <w:jc w:val="center"/>
              <w:rPr>
                <w:rFonts w:asciiTheme="minorHAnsi" w:eastAsiaTheme="minorEastAsia" w:hAnsiTheme="minorHAnsi" w:cstheme="minorBidi"/>
              </w:rPr>
            </w:pPr>
            <w:r w:rsidRPr="0095425E">
              <w:rPr>
                <w:rFonts w:asciiTheme="minorHAnsi" w:eastAsiaTheme="minorEastAsia" w:hAnsiTheme="minorHAnsi" w:cstheme="minorBidi"/>
              </w:rPr>
              <w:t>0%</w:t>
            </w:r>
          </w:p>
        </w:tc>
      </w:tr>
    </w:tbl>
    <w:p w14:paraId="7D18A645" w14:textId="0390A867" w:rsidR="270294E6" w:rsidRDefault="270294E6" w:rsidP="006D33A1">
      <w:pPr>
        <w:spacing w:after="120" w:line="276" w:lineRule="auto"/>
        <w:rPr>
          <w:rFonts w:asciiTheme="minorHAnsi" w:eastAsiaTheme="minorEastAsia" w:hAnsiTheme="minorHAnsi" w:cstheme="minorBidi"/>
          <w:sz w:val="18"/>
          <w:szCs w:val="18"/>
        </w:rPr>
      </w:pPr>
      <w:r w:rsidRPr="0095425E">
        <w:rPr>
          <w:rFonts w:asciiTheme="minorHAnsi" w:eastAsiaTheme="minorEastAsia" w:hAnsiTheme="minorHAnsi" w:cstheme="minorBidi"/>
          <w:b/>
          <w:bCs/>
          <w:i/>
          <w:iCs/>
          <w:sz w:val="18"/>
          <w:szCs w:val="18"/>
        </w:rPr>
        <w:t xml:space="preserve">Table 6. </w:t>
      </w:r>
      <w:r w:rsidRPr="0095425E">
        <w:rPr>
          <w:rFonts w:asciiTheme="minorHAnsi" w:eastAsiaTheme="minorEastAsia" w:hAnsiTheme="minorHAnsi" w:cstheme="minorBidi"/>
          <w:sz w:val="18"/>
          <w:szCs w:val="18"/>
        </w:rPr>
        <w:t>Youth Mentorship Program Outcomes April 2019 – September 2019.</w:t>
      </w:r>
      <w:r w:rsidR="00D33536">
        <w:rPr>
          <w:rFonts w:asciiTheme="minorHAnsi" w:eastAsiaTheme="minorEastAsia" w:hAnsiTheme="minorHAnsi" w:cstheme="minorBidi"/>
          <w:sz w:val="18"/>
          <w:szCs w:val="18"/>
        </w:rPr>
        <w:t xml:space="preserve"> Data includes mentees who began our program in years prior who are still engaged in services. Many </w:t>
      </w:r>
      <w:proofErr w:type="gramStart"/>
      <w:r w:rsidR="00D33536">
        <w:rPr>
          <w:rFonts w:asciiTheme="minorHAnsi" w:eastAsiaTheme="minorEastAsia" w:hAnsiTheme="minorHAnsi" w:cstheme="minorBidi"/>
          <w:sz w:val="18"/>
          <w:szCs w:val="18"/>
        </w:rPr>
        <w:t>youth</w:t>
      </w:r>
      <w:proofErr w:type="gramEnd"/>
      <w:r w:rsidR="00D33536">
        <w:rPr>
          <w:rFonts w:asciiTheme="minorHAnsi" w:eastAsiaTheme="minorEastAsia" w:hAnsiTheme="minorHAnsi" w:cstheme="minorBidi"/>
          <w:sz w:val="18"/>
          <w:szCs w:val="18"/>
        </w:rPr>
        <w:t xml:space="preserve"> retain supports for longer than a year and the longer there is a connection to the mentor the more likely for positive outcomes for the youth. The period of April to September reflects the active clients of the program during this period and reflects existing youth in the program as well as new intakes during the period. </w:t>
      </w:r>
    </w:p>
    <w:p w14:paraId="5F992712" w14:textId="117CCB76" w:rsidR="00D33536" w:rsidRDefault="00D33536" w:rsidP="006D33A1">
      <w:pPr>
        <w:spacing w:after="120" w:line="276" w:lineRule="auto"/>
        <w:rPr>
          <w:rFonts w:asciiTheme="minorHAnsi" w:eastAsiaTheme="minorEastAsia" w:hAnsiTheme="minorHAnsi" w:cstheme="minorBidi"/>
          <w:sz w:val="18"/>
          <w:szCs w:val="18"/>
        </w:rPr>
      </w:pPr>
    </w:p>
    <w:p w14:paraId="7B96333F" w14:textId="77777777" w:rsidR="00D33536" w:rsidRDefault="00D33536" w:rsidP="006D33A1">
      <w:pPr>
        <w:spacing w:after="120" w:line="276" w:lineRule="auto"/>
        <w:rPr>
          <w:rFonts w:asciiTheme="minorHAnsi" w:eastAsiaTheme="minorEastAsia" w:hAnsiTheme="minorHAnsi" w:cstheme="minorBidi"/>
          <w:sz w:val="18"/>
          <w:szCs w:val="18"/>
        </w:rPr>
      </w:pPr>
    </w:p>
    <w:p w14:paraId="56E01619" w14:textId="77777777" w:rsidR="006D33A1" w:rsidRPr="006D33A1" w:rsidRDefault="006D33A1" w:rsidP="006D33A1">
      <w:pPr>
        <w:spacing w:after="120" w:line="276" w:lineRule="auto"/>
        <w:rPr>
          <w:rFonts w:asciiTheme="minorHAnsi" w:eastAsiaTheme="minorEastAsia" w:hAnsiTheme="minorHAnsi" w:cstheme="minorBidi"/>
          <w:b/>
          <w:bCs/>
          <w:i/>
          <w:iCs/>
          <w:sz w:val="18"/>
          <w:szCs w:val="18"/>
        </w:rPr>
      </w:pPr>
    </w:p>
    <w:p w14:paraId="21AD14EB" w14:textId="6DBCAC33" w:rsidR="270294E6" w:rsidRPr="0095425E" w:rsidRDefault="270294E6" w:rsidP="270294E6">
      <w:pPr>
        <w:spacing w:before="0" w:after="240" w:line="240" w:lineRule="auto"/>
        <w:rPr>
          <w:rFonts w:asciiTheme="minorHAnsi" w:eastAsiaTheme="minorEastAsia" w:hAnsiTheme="minorHAnsi" w:cstheme="minorBidi"/>
          <w:b/>
          <w:bCs/>
        </w:rPr>
      </w:pPr>
      <w:r w:rsidRPr="270294E6">
        <w:rPr>
          <w:rFonts w:asciiTheme="minorHAnsi" w:eastAsiaTheme="minorEastAsia" w:hAnsiTheme="minorHAnsi" w:cstheme="minorBidi"/>
          <w:b/>
          <w:bCs/>
        </w:rPr>
        <w:lastRenderedPageBreak/>
        <w:t>Q: How many youth achieve positive outcomes and what are these?</w:t>
      </w:r>
    </w:p>
    <w:p w14:paraId="78446F43" w14:textId="77777777" w:rsidR="00D33536" w:rsidRDefault="270294E6" w:rsidP="00D33536">
      <w:pPr>
        <w:spacing w:line="276" w:lineRule="auto"/>
        <w:rPr>
          <w:rFonts w:asciiTheme="minorHAnsi" w:eastAsiaTheme="minorEastAsia" w:hAnsiTheme="minorHAnsi" w:cstheme="minorBidi"/>
        </w:rPr>
      </w:pPr>
      <w:r w:rsidRPr="0095425E">
        <w:rPr>
          <w:rFonts w:asciiTheme="minorHAnsi" w:eastAsiaTheme="minorEastAsia" w:hAnsiTheme="minorHAnsi" w:cstheme="minorBidi"/>
        </w:rPr>
        <w:t>According to data collected from April 1</w:t>
      </w:r>
      <w:r w:rsidRPr="0095425E">
        <w:rPr>
          <w:rFonts w:asciiTheme="minorHAnsi" w:eastAsiaTheme="minorEastAsia" w:hAnsiTheme="minorHAnsi" w:cstheme="minorBidi"/>
          <w:vertAlign w:val="superscript"/>
        </w:rPr>
        <w:t>st</w:t>
      </w:r>
      <w:r w:rsidRPr="0095425E">
        <w:rPr>
          <w:rFonts w:asciiTheme="minorHAnsi" w:eastAsiaTheme="minorEastAsia" w:hAnsiTheme="minorHAnsi" w:cstheme="minorBidi"/>
        </w:rPr>
        <w:t xml:space="preserve"> to September 30</w:t>
      </w:r>
      <w:r w:rsidRPr="0095425E">
        <w:rPr>
          <w:rFonts w:asciiTheme="minorHAnsi" w:eastAsiaTheme="minorEastAsia" w:hAnsiTheme="minorHAnsi" w:cstheme="minorBidi"/>
          <w:vertAlign w:val="superscript"/>
        </w:rPr>
        <w:t>th</w:t>
      </w:r>
      <w:r w:rsidRPr="0095425E">
        <w:rPr>
          <w:rFonts w:asciiTheme="minorHAnsi" w:eastAsiaTheme="minorEastAsia" w:hAnsiTheme="minorHAnsi" w:cstheme="minorBidi"/>
        </w:rPr>
        <w:t>, 2019, 79% of youth participants in the Youth Mentorship Program were connected with a mentor during this period and 80% showed increased Physical, Emotional, Mental, and Spiritual well-being as a result of their mentor relationships (see top two rows of Table 6). These findings demonstrate that connection with a mentor is a salient factor in promoting the overall well-being of youth participants in the program.</w:t>
      </w:r>
    </w:p>
    <w:p w14:paraId="1E024521" w14:textId="4CFF469A" w:rsidR="00196EBF" w:rsidRPr="0095425E" w:rsidRDefault="270294E6" w:rsidP="00D33536">
      <w:pPr>
        <w:spacing w:line="276" w:lineRule="auto"/>
        <w:rPr>
          <w:rFonts w:asciiTheme="minorHAnsi" w:eastAsiaTheme="minorEastAsia" w:hAnsiTheme="minorHAnsi" w:cstheme="minorBidi"/>
        </w:rPr>
      </w:pPr>
      <w:r w:rsidRPr="0095425E">
        <w:rPr>
          <w:rFonts w:asciiTheme="minorHAnsi" w:eastAsiaTheme="minorEastAsia" w:hAnsiTheme="minorHAnsi" w:cstheme="minorBidi"/>
        </w:rPr>
        <w:t>Increased overall well-being is measured based on change over time in the Medicine Wheel Service Plan (MWSP). This is based on comparison between an intake, baseline measurement, and subsequent interim and exit measurements. In order for a score to be calculated, youth must complete at least two assessments throughout their mentorship. The change in well-being is calculated using two measures. The first is change in overall score, calculated as the sum of the score in each of the eight domains. Scores can range from 8-40, with 8 being the optimum score indicative of balanced success. For example, if a client scored 5s in all domains at intake, and 1s in all domains at exit, the score totals would be 40 and 8 at intake and exit respectively, and the change in score would be 32. Positive numbers indicate positive change.</w:t>
      </w:r>
    </w:p>
    <w:p w14:paraId="3DEFF923" w14:textId="2F53A3A3" w:rsidR="00196EBF" w:rsidRPr="0095425E" w:rsidRDefault="270294E6" w:rsidP="003E7921">
      <w:pPr>
        <w:spacing w:line="276" w:lineRule="auto"/>
        <w:rPr>
          <w:rFonts w:asciiTheme="minorHAnsi" w:eastAsiaTheme="minorEastAsia" w:hAnsiTheme="minorHAnsi" w:cstheme="minorBidi"/>
        </w:rPr>
      </w:pPr>
      <w:r w:rsidRPr="0095425E">
        <w:rPr>
          <w:rFonts w:asciiTheme="minorHAnsi" w:eastAsiaTheme="minorEastAsia" w:hAnsiTheme="minorHAnsi" w:cstheme="minorBidi"/>
        </w:rPr>
        <w:t>The second measure reports the change in the sum of the deviation in each domain from the average score overall. The measure is meant to indicate the degree of balance between each domain, because a balanced medicine wheel is a desirable outcome regardless of the total score. The total deviation on a single medicine wheel can range from 0-16. The balance score, or sum deviation ranges from -16 to 16. A positive score in this measure indicates the degree of improvement in balance, whereas a negative score represents imbalance has increased from intake to interim/exit. For the purposes of this report, youth are considered to have shown successful outcomes in this target if they improve in at least one overall score, or balance in their medicine wheel.</w:t>
      </w:r>
    </w:p>
    <w:p w14:paraId="3A358FE1" w14:textId="7C51604F" w:rsidR="00196EBF" w:rsidRPr="0095425E" w:rsidRDefault="270294E6" w:rsidP="003E7921">
      <w:pPr>
        <w:spacing w:line="276" w:lineRule="auto"/>
        <w:rPr>
          <w:rFonts w:asciiTheme="minorHAnsi" w:eastAsiaTheme="minorEastAsia" w:hAnsiTheme="minorHAnsi" w:cstheme="minorBidi"/>
        </w:rPr>
      </w:pPr>
      <w:r w:rsidRPr="0095425E">
        <w:rPr>
          <w:rFonts w:asciiTheme="minorHAnsi" w:eastAsiaTheme="minorEastAsia" w:hAnsiTheme="minorHAnsi" w:cstheme="minorBidi"/>
        </w:rPr>
        <w:t xml:space="preserve">In the reporting period April 1, 2019 – September 30, 2019, nine of the twenty-four active youth in the program completed at least two MWSP assessments, and are therefore included in this analysis. The remaining active youth have not yet completed the required number of assessments to be included in the analysis. </w:t>
      </w:r>
    </w:p>
    <w:tbl>
      <w:tblPr>
        <w:tblpPr w:leftFromText="180" w:rightFromText="180" w:vertAnchor="text" w:horzAnchor="margin" w:tblpY="264"/>
        <w:tblW w:w="8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5"/>
        <w:gridCol w:w="1140"/>
        <w:gridCol w:w="1170"/>
        <w:gridCol w:w="1560"/>
        <w:gridCol w:w="1560"/>
        <w:gridCol w:w="1702"/>
      </w:tblGrid>
      <w:tr w:rsidR="0044443B" w14:paraId="61685EFD" w14:textId="77777777" w:rsidTr="00C35C7A">
        <w:trPr>
          <w:trHeight w:val="380"/>
        </w:trPr>
        <w:tc>
          <w:tcPr>
            <w:tcW w:w="8347" w:type="dxa"/>
            <w:gridSpan w:val="6"/>
            <w:shd w:val="clear" w:color="auto" w:fill="A8D08D" w:themeFill="accent6" w:themeFillTint="99"/>
            <w:vAlign w:val="center"/>
          </w:tcPr>
          <w:p w14:paraId="3AF4EE57" w14:textId="77777777" w:rsidR="0044443B" w:rsidRPr="0095425E" w:rsidRDefault="270294E6" w:rsidP="270294E6">
            <w:pPr>
              <w:autoSpaceDE w:val="0"/>
              <w:autoSpaceDN w:val="0"/>
              <w:adjustRightInd w:val="0"/>
              <w:jc w:val="center"/>
              <w:rPr>
                <w:rFonts w:asciiTheme="minorHAnsi" w:eastAsiaTheme="minorEastAsia" w:hAnsiTheme="minorHAnsi" w:cstheme="minorBidi"/>
              </w:rPr>
            </w:pPr>
            <w:r w:rsidRPr="0095425E">
              <w:rPr>
                <w:rFonts w:asciiTheme="minorHAnsi" w:eastAsiaTheme="minorEastAsia" w:hAnsiTheme="minorHAnsi" w:cstheme="minorBidi"/>
              </w:rPr>
              <w:t>Medicine Wheel Service Plan Outcomes April 2019 – September 2019</w:t>
            </w:r>
          </w:p>
        </w:tc>
      </w:tr>
      <w:tr w:rsidR="0044443B" w14:paraId="3F428570" w14:textId="77777777" w:rsidTr="00C35C7A">
        <w:trPr>
          <w:trHeight w:val="501"/>
        </w:trPr>
        <w:tc>
          <w:tcPr>
            <w:tcW w:w="1215" w:type="dxa"/>
            <w:vAlign w:val="center"/>
          </w:tcPr>
          <w:p w14:paraId="7C10F283" w14:textId="77777777" w:rsidR="0044443B" w:rsidRPr="0095425E" w:rsidRDefault="0044443B" w:rsidP="270294E6">
            <w:pPr>
              <w:autoSpaceDE w:val="0"/>
              <w:autoSpaceDN w:val="0"/>
              <w:adjustRightInd w:val="0"/>
              <w:jc w:val="center"/>
              <w:rPr>
                <w:rFonts w:asciiTheme="minorHAnsi" w:eastAsiaTheme="minorEastAsia" w:hAnsiTheme="minorHAnsi" w:cstheme="minorBidi"/>
              </w:rPr>
            </w:pPr>
          </w:p>
        </w:tc>
        <w:tc>
          <w:tcPr>
            <w:tcW w:w="1140" w:type="dxa"/>
            <w:vAlign w:val="center"/>
          </w:tcPr>
          <w:p w14:paraId="31348D4B" w14:textId="77777777" w:rsidR="0044443B" w:rsidRPr="0095425E" w:rsidRDefault="270294E6" w:rsidP="270294E6">
            <w:pPr>
              <w:autoSpaceDE w:val="0"/>
              <w:autoSpaceDN w:val="0"/>
              <w:adjustRightInd w:val="0"/>
              <w:jc w:val="center"/>
              <w:rPr>
                <w:rFonts w:asciiTheme="minorHAnsi" w:eastAsiaTheme="minorEastAsia" w:hAnsiTheme="minorHAnsi" w:cstheme="minorBidi"/>
              </w:rPr>
            </w:pPr>
            <w:r w:rsidRPr="0095425E">
              <w:rPr>
                <w:rFonts w:asciiTheme="minorHAnsi" w:eastAsiaTheme="minorEastAsia" w:hAnsiTheme="minorHAnsi" w:cstheme="minorBidi"/>
              </w:rPr>
              <w:t>Total # of Youth</w:t>
            </w:r>
          </w:p>
        </w:tc>
        <w:tc>
          <w:tcPr>
            <w:tcW w:w="1170" w:type="dxa"/>
            <w:vAlign w:val="center"/>
          </w:tcPr>
          <w:p w14:paraId="481D39E8" w14:textId="77777777" w:rsidR="0044443B" w:rsidRPr="0095425E" w:rsidRDefault="270294E6" w:rsidP="270294E6">
            <w:pPr>
              <w:autoSpaceDE w:val="0"/>
              <w:autoSpaceDN w:val="0"/>
              <w:adjustRightInd w:val="0"/>
              <w:jc w:val="center"/>
              <w:rPr>
                <w:rFonts w:asciiTheme="minorHAnsi" w:eastAsiaTheme="minorEastAsia" w:hAnsiTheme="minorHAnsi" w:cstheme="minorBidi"/>
              </w:rPr>
            </w:pPr>
            <w:r w:rsidRPr="0095425E">
              <w:rPr>
                <w:rFonts w:asciiTheme="minorHAnsi" w:eastAsiaTheme="minorEastAsia" w:hAnsiTheme="minorHAnsi" w:cstheme="minorBidi"/>
              </w:rPr>
              <w:t># Included in Analysis</w:t>
            </w:r>
          </w:p>
        </w:tc>
        <w:tc>
          <w:tcPr>
            <w:tcW w:w="1560" w:type="dxa"/>
            <w:vAlign w:val="center"/>
          </w:tcPr>
          <w:p w14:paraId="244353F2" w14:textId="77777777" w:rsidR="0044443B" w:rsidRPr="0095425E" w:rsidRDefault="270294E6" w:rsidP="270294E6">
            <w:pPr>
              <w:autoSpaceDE w:val="0"/>
              <w:autoSpaceDN w:val="0"/>
              <w:adjustRightInd w:val="0"/>
              <w:jc w:val="center"/>
              <w:rPr>
                <w:rFonts w:asciiTheme="minorHAnsi" w:eastAsiaTheme="minorEastAsia" w:hAnsiTheme="minorHAnsi" w:cstheme="minorBidi"/>
              </w:rPr>
            </w:pPr>
            <w:r w:rsidRPr="0095425E">
              <w:rPr>
                <w:rFonts w:asciiTheme="minorHAnsi" w:eastAsiaTheme="minorEastAsia" w:hAnsiTheme="minorHAnsi" w:cstheme="minorBidi"/>
              </w:rPr>
              <w:t># Score Improvement</w:t>
            </w:r>
          </w:p>
        </w:tc>
        <w:tc>
          <w:tcPr>
            <w:tcW w:w="1560" w:type="dxa"/>
            <w:vAlign w:val="center"/>
          </w:tcPr>
          <w:p w14:paraId="45F83C83" w14:textId="77777777" w:rsidR="0044443B" w:rsidRPr="0095425E" w:rsidRDefault="270294E6" w:rsidP="270294E6">
            <w:pPr>
              <w:autoSpaceDE w:val="0"/>
              <w:autoSpaceDN w:val="0"/>
              <w:adjustRightInd w:val="0"/>
              <w:jc w:val="center"/>
              <w:rPr>
                <w:rFonts w:asciiTheme="minorHAnsi" w:eastAsiaTheme="minorEastAsia" w:hAnsiTheme="minorHAnsi" w:cstheme="minorBidi"/>
              </w:rPr>
            </w:pPr>
            <w:r w:rsidRPr="0095425E">
              <w:rPr>
                <w:rFonts w:asciiTheme="minorHAnsi" w:eastAsiaTheme="minorEastAsia" w:hAnsiTheme="minorHAnsi" w:cstheme="minorBidi"/>
              </w:rPr>
              <w:t># Balance Improvement</w:t>
            </w:r>
          </w:p>
        </w:tc>
        <w:tc>
          <w:tcPr>
            <w:tcW w:w="1702" w:type="dxa"/>
            <w:vAlign w:val="center"/>
          </w:tcPr>
          <w:p w14:paraId="5F364002" w14:textId="77777777" w:rsidR="0044443B" w:rsidRPr="0095425E" w:rsidRDefault="270294E6" w:rsidP="270294E6">
            <w:pPr>
              <w:autoSpaceDE w:val="0"/>
              <w:autoSpaceDN w:val="0"/>
              <w:adjustRightInd w:val="0"/>
              <w:jc w:val="center"/>
              <w:rPr>
                <w:rFonts w:asciiTheme="minorHAnsi" w:eastAsiaTheme="minorEastAsia" w:hAnsiTheme="minorHAnsi" w:cstheme="minorBidi"/>
              </w:rPr>
            </w:pPr>
            <w:r w:rsidRPr="0095425E">
              <w:rPr>
                <w:rFonts w:asciiTheme="minorHAnsi" w:eastAsiaTheme="minorEastAsia" w:hAnsiTheme="minorHAnsi" w:cstheme="minorBidi"/>
              </w:rPr>
              <w:t># Overall Improvement</w:t>
            </w:r>
          </w:p>
        </w:tc>
      </w:tr>
      <w:tr w:rsidR="0044443B" w14:paraId="5D6479FD" w14:textId="77777777" w:rsidTr="00C35C7A">
        <w:trPr>
          <w:trHeight w:val="229"/>
        </w:trPr>
        <w:tc>
          <w:tcPr>
            <w:tcW w:w="1215" w:type="dxa"/>
            <w:vAlign w:val="center"/>
          </w:tcPr>
          <w:p w14:paraId="7605E510" w14:textId="77777777" w:rsidR="0044443B" w:rsidRPr="0095425E" w:rsidRDefault="270294E6" w:rsidP="270294E6">
            <w:pPr>
              <w:autoSpaceDE w:val="0"/>
              <w:autoSpaceDN w:val="0"/>
              <w:adjustRightInd w:val="0"/>
              <w:jc w:val="center"/>
              <w:rPr>
                <w:rFonts w:asciiTheme="minorHAnsi" w:eastAsiaTheme="minorEastAsia" w:hAnsiTheme="minorHAnsi" w:cstheme="minorBidi"/>
              </w:rPr>
            </w:pPr>
            <w:r w:rsidRPr="0095425E">
              <w:rPr>
                <w:rFonts w:asciiTheme="minorHAnsi" w:eastAsiaTheme="minorEastAsia" w:hAnsiTheme="minorHAnsi" w:cstheme="minorBidi"/>
              </w:rPr>
              <w:t>Active</w:t>
            </w:r>
          </w:p>
        </w:tc>
        <w:tc>
          <w:tcPr>
            <w:tcW w:w="1140" w:type="dxa"/>
            <w:vAlign w:val="center"/>
          </w:tcPr>
          <w:p w14:paraId="5B318CAC" w14:textId="77777777" w:rsidR="0044443B" w:rsidRPr="0095425E" w:rsidRDefault="270294E6" w:rsidP="270294E6">
            <w:pPr>
              <w:autoSpaceDE w:val="0"/>
              <w:autoSpaceDN w:val="0"/>
              <w:adjustRightInd w:val="0"/>
              <w:jc w:val="center"/>
              <w:rPr>
                <w:rFonts w:asciiTheme="minorHAnsi" w:eastAsiaTheme="minorEastAsia" w:hAnsiTheme="minorHAnsi" w:cstheme="minorBidi"/>
              </w:rPr>
            </w:pPr>
            <w:r w:rsidRPr="0095425E">
              <w:rPr>
                <w:rFonts w:asciiTheme="minorHAnsi" w:eastAsiaTheme="minorEastAsia" w:hAnsiTheme="minorHAnsi" w:cstheme="minorBidi"/>
              </w:rPr>
              <w:t>24</w:t>
            </w:r>
          </w:p>
        </w:tc>
        <w:tc>
          <w:tcPr>
            <w:tcW w:w="1170" w:type="dxa"/>
            <w:vAlign w:val="center"/>
          </w:tcPr>
          <w:p w14:paraId="16EE980D" w14:textId="77777777" w:rsidR="0044443B" w:rsidRPr="0095425E" w:rsidRDefault="270294E6" w:rsidP="270294E6">
            <w:pPr>
              <w:autoSpaceDE w:val="0"/>
              <w:autoSpaceDN w:val="0"/>
              <w:adjustRightInd w:val="0"/>
              <w:jc w:val="center"/>
              <w:rPr>
                <w:rFonts w:asciiTheme="minorHAnsi" w:eastAsiaTheme="minorEastAsia" w:hAnsiTheme="minorHAnsi" w:cstheme="minorBidi"/>
                <w:b/>
                <w:bCs/>
              </w:rPr>
            </w:pPr>
            <w:r w:rsidRPr="0095425E">
              <w:rPr>
                <w:rFonts w:asciiTheme="minorHAnsi" w:eastAsiaTheme="minorEastAsia" w:hAnsiTheme="minorHAnsi" w:cstheme="minorBidi"/>
                <w:b/>
                <w:bCs/>
              </w:rPr>
              <w:t>9</w:t>
            </w:r>
          </w:p>
        </w:tc>
        <w:tc>
          <w:tcPr>
            <w:tcW w:w="1560" w:type="dxa"/>
            <w:vAlign w:val="center"/>
          </w:tcPr>
          <w:p w14:paraId="5A4BDDF9" w14:textId="708B701B" w:rsidR="0044443B" w:rsidRPr="0095425E" w:rsidRDefault="270294E6" w:rsidP="270294E6">
            <w:pPr>
              <w:autoSpaceDE w:val="0"/>
              <w:autoSpaceDN w:val="0"/>
              <w:adjustRightInd w:val="0"/>
              <w:jc w:val="center"/>
              <w:rPr>
                <w:rFonts w:asciiTheme="minorHAnsi" w:eastAsiaTheme="minorEastAsia" w:hAnsiTheme="minorHAnsi" w:cstheme="minorBidi"/>
              </w:rPr>
            </w:pPr>
            <w:r w:rsidRPr="0095425E">
              <w:rPr>
                <w:rFonts w:asciiTheme="minorHAnsi" w:eastAsiaTheme="minorEastAsia" w:hAnsiTheme="minorHAnsi" w:cstheme="minorBidi"/>
              </w:rPr>
              <w:t>78%</w:t>
            </w:r>
          </w:p>
        </w:tc>
        <w:tc>
          <w:tcPr>
            <w:tcW w:w="1560" w:type="dxa"/>
            <w:vAlign w:val="center"/>
          </w:tcPr>
          <w:p w14:paraId="2B8F7C97" w14:textId="54998EA3" w:rsidR="0044443B" w:rsidRPr="0095425E" w:rsidRDefault="270294E6" w:rsidP="270294E6">
            <w:pPr>
              <w:autoSpaceDE w:val="0"/>
              <w:autoSpaceDN w:val="0"/>
              <w:adjustRightInd w:val="0"/>
              <w:jc w:val="center"/>
              <w:rPr>
                <w:rFonts w:asciiTheme="minorHAnsi" w:eastAsiaTheme="minorEastAsia" w:hAnsiTheme="minorHAnsi" w:cstheme="minorBidi"/>
              </w:rPr>
            </w:pPr>
            <w:r w:rsidRPr="0095425E">
              <w:rPr>
                <w:rFonts w:asciiTheme="minorHAnsi" w:eastAsiaTheme="minorEastAsia" w:hAnsiTheme="minorHAnsi" w:cstheme="minorBidi"/>
              </w:rPr>
              <w:t>56%</w:t>
            </w:r>
          </w:p>
        </w:tc>
        <w:tc>
          <w:tcPr>
            <w:tcW w:w="1702" w:type="dxa"/>
            <w:vAlign w:val="center"/>
          </w:tcPr>
          <w:p w14:paraId="3AAB6C3F" w14:textId="0257D866" w:rsidR="0044443B" w:rsidRPr="0095425E" w:rsidRDefault="270294E6" w:rsidP="270294E6">
            <w:pPr>
              <w:autoSpaceDE w:val="0"/>
              <w:autoSpaceDN w:val="0"/>
              <w:adjustRightInd w:val="0"/>
              <w:jc w:val="center"/>
              <w:rPr>
                <w:rFonts w:asciiTheme="minorHAnsi" w:eastAsiaTheme="minorEastAsia" w:hAnsiTheme="minorHAnsi" w:cstheme="minorBidi"/>
              </w:rPr>
            </w:pPr>
            <w:r w:rsidRPr="0095425E">
              <w:rPr>
                <w:rFonts w:asciiTheme="minorHAnsi" w:eastAsiaTheme="minorEastAsia" w:hAnsiTheme="minorHAnsi" w:cstheme="minorBidi"/>
              </w:rPr>
              <w:t>89</w:t>
            </w:r>
            <w:r w:rsidR="006D33A1">
              <w:rPr>
                <w:rFonts w:asciiTheme="minorHAnsi" w:eastAsiaTheme="minorEastAsia" w:hAnsiTheme="minorHAnsi" w:cstheme="minorBidi"/>
              </w:rPr>
              <w:t>%</w:t>
            </w:r>
          </w:p>
        </w:tc>
      </w:tr>
    </w:tbl>
    <w:p w14:paraId="4684C145" w14:textId="77777777" w:rsidR="006D33A1" w:rsidRDefault="006D33A1" w:rsidP="270294E6">
      <w:pPr>
        <w:spacing w:after="120" w:line="276" w:lineRule="auto"/>
        <w:rPr>
          <w:rFonts w:asciiTheme="minorHAnsi" w:eastAsiaTheme="minorEastAsia" w:hAnsiTheme="minorHAnsi" w:cstheme="minorBidi"/>
          <w:b/>
          <w:bCs/>
          <w:i/>
          <w:iCs/>
          <w:sz w:val="18"/>
          <w:szCs w:val="18"/>
        </w:rPr>
      </w:pPr>
    </w:p>
    <w:p w14:paraId="428319D1" w14:textId="77777777" w:rsidR="006D33A1" w:rsidRDefault="006D33A1" w:rsidP="270294E6">
      <w:pPr>
        <w:spacing w:after="120" w:line="276" w:lineRule="auto"/>
        <w:rPr>
          <w:rFonts w:asciiTheme="minorHAnsi" w:eastAsiaTheme="minorEastAsia" w:hAnsiTheme="minorHAnsi" w:cstheme="minorBidi"/>
          <w:b/>
          <w:bCs/>
          <w:i/>
          <w:iCs/>
          <w:sz w:val="18"/>
          <w:szCs w:val="18"/>
        </w:rPr>
      </w:pPr>
    </w:p>
    <w:p w14:paraId="32126FD7" w14:textId="77777777" w:rsidR="006D33A1" w:rsidRDefault="006D33A1" w:rsidP="270294E6">
      <w:pPr>
        <w:spacing w:after="120" w:line="276" w:lineRule="auto"/>
        <w:rPr>
          <w:rFonts w:asciiTheme="minorHAnsi" w:eastAsiaTheme="minorEastAsia" w:hAnsiTheme="minorHAnsi" w:cstheme="minorBidi"/>
          <w:b/>
          <w:bCs/>
          <w:i/>
          <w:iCs/>
          <w:sz w:val="18"/>
          <w:szCs w:val="18"/>
        </w:rPr>
      </w:pPr>
    </w:p>
    <w:p w14:paraId="6940210C" w14:textId="77777777" w:rsidR="006D33A1" w:rsidRDefault="006D33A1" w:rsidP="270294E6">
      <w:pPr>
        <w:spacing w:after="120" w:line="276" w:lineRule="auto"/>
        <w:rPr>
          <w:rFonts w:asciiTheme="minorHAnsi" w:eastAsiaTheme="minorEastAsia" w:hAnsiTheme="minorHAnsi" w:cstheme="minorBidi"/>
          <w:b/>
          <w:bCs/>
          <w:i/>
          <w:iCs/>
          <w:sz w:val="18"/>
          <w:szCs w:val="18"/>
        </w:rPr>
      </w:pPr>
    </w:p>
    <w:p w14:paraId="3BEBF1B6" w14:textId="77777777" w:rsidR="006D33A1" w:rsidRDefault="006D33A1" w:rsidP="270294E6">
      <w:pPr>
        <w:spacing w:after="120" w:line="276" w:lineRule="auto"/>
        <w:rPr>
          <w:rFonts w:asciiTheme="minorHAnsi" w:eastAsiaTheme="minorEastAsia" w:hAnsiTheme="minorHAnsi" w:cstheme="minorBidi"/>
          <w:b/>
          <w:bCs/>
          <w:i/>
          <w:iCs/>
          <w:sz w:val="18"/>
          <w:szCs w:val="18"/>
        </w:rPr>
      </w:pPr>
    </w:p>
    <w:p w14:paraId="771960DE" w14:textId="77777777" w:rsidR="006D33A1" w:rsidRDefault="006D33A1" w:rsidP="270294E6">
      <w:pPr>
        <w:spacing w:after="120" w:line="276" w:lineRule="auto"/>
        <w:rPr>
          <w:rFonts w:asciiTheme="minorHAnsi" w:eastAsiaTheme="minorEastAsia" w:hAnsiTheme="minorHAnsi" w:cstheme="minorBidi"/>
          <w:b/>
          <w:bCs/>
          <w:i/>
          <w:iCs/>
          <w:sz w:val="18"/>
          <w:szCs w:val="18"/>
        </w:rPr>
      </w:pPr>
    </w:p>
    <w:p w14:paraId="3476B842" w14:textId="77777777" w:rsidR="006D33A1" w:rsidRDefault="006D33A1" w:rsidP="270294E6">
      <w:pPr>
        <w:spacing w:after="120" w:line="276" w:lineRule="auto"/>
        <w:rPr>
          <w:rFonts w:asciiTheme="minorHAnsi" w:eastAsiaTheme="minorEastAsia" w:hAnsiTheme="minorHAnsi" w:cstheme="minorBidi"/>
          <w:b/>
          <w:bCs/>
          <w:i/>
          <w:iCs/>
          <w:sz w:val="18"/>
          <w:szCs w:val="18"/>
        </w:rPr>
      </w:pPr>
    </w:p>
    <w:p w14:paraId="07428D33" w14:textId="23A60E13" w:rsidR="00196EBF" w:rsidRPr="0095425E" w:rsidRDefault="270294E6" w:rsidP="270294E6">
      <w:pPr>
        <w:spacing w:after="120" w:line="276" w:lineRule="auto"/>
        <w:rPr>
          <w:rFonts w:asciiTheme="minorHAnsi" w:eastAsiaTheme="minorEastAsia" w:hAnsiTheme="minorHAnsi" w:cstheme="minorBidi"/>
          <w:sz w:val="18"/>
          <w:szCs w:val="18"/>
        </w:rPr>
      </w:pPr>
      <w:r w:rsidRPr="0095425E">
        <w:rPr>
          <w:rFonts w:asciiTheme="minorHAnsi" w:eastAsiaTheme="minorEastAsia" w:hAnsiTheme="minorHAnsi" w:cstheme="minorBidi"/>
          <w:b/>
          <w:bCs/>
          <w:i/>
          <w:iCs/>
          <w:sz w:val="18"/>
          <w:szCs w:val="18"/>
        </w:rPr>
        <w:t>Table 7</w:t>
      </w:r>
      <w:r w:rsidRPr="0095425E">
        <w:rPr>
          <w:rFonts w:asciiTheme="minorHAnsi" w:eastAsiaTheme="minorEastAsia" w:hAnsiTheme="minorHAnsi" w:cstheme="minorBidi"/>
          <w:sz w:val="18"/>
          <w:szCs w:val="18"/>
        </w:rPr>
        <w:t>. Medicine Wheel Service Plan Outcomes April - September 2019.</w:t>
      </w:r>
    </w:p>
    <w:p w14:paraId="637A108D" w14:textId="4BCB3033" w:rsidR="003E7921" w:rsidRDefault="270294E6" w:rsidP="003E7921">
      <w:pPr>
        <w:spacing w:after="120" w:line="276" w:lineRule="auto"/>
        <w:rPr>
          <w:rFonts w:asciiTheme="minorHAnsi" w:eastAsiaTheme="minorEastAsia" w:hAnsiTheme="minorHAnsi" w:cstheme="minorBidi"/>
        </w:rPr>
      </w:pPr>
      <w:r w:rsidRPr="0095425E">
        <w:rPr>
          <w:rFonts w:asciiTheme="minorHAnsi" w:eastAsiaTheme="minorEastAsia" w:hAnsiTheme="minorHAnsi" w:cstheme="minorBidi"/>
        </w:rPr>
        <w:lastRenderedPageBreak/>
        <w:t>The assessment indicates that 78%</w:t>
      </w:r>
      <w:r w:rsidR="006D33A1">
        <w:rPr>
          <w:rFonts w:asciiTheme="minorHAnsi" w:eastAsiaTheme="minorEastAsia" w:hAnsiTheme="minorHAnsi" w:cstheme="minorBidi"/>
        </w:rPr>
        <w:t xml:space="preserve"> of participants</w:t>
      </w:r>
      <w:r w:rsidRPr="0095425E">
        <w:rPr>
          <w:rFonts w:asciiTheme="minorHAnsi" w:eastAsiaTheme="minorEastAsia" w:hAnsiTheme="minorHAnsi" w:cstheme="minorBidi"/>
        </w:rPr>
        <w:t xml:space="preserve"> have shown an improvement in overall wellbeing, and 56%</w:t>
      </w:r>
      <w:r w:rsidR="003903A2">
        <w:rPr>
          <w:rFonts w:asciiTheme="minorHAnsi" w:eastAsiaTheme="minorEastAsia" w:hAnsiTheme="minorHAnsi" w:cstheme="minorBidi"/>
        </w:rPr>
        <w:t xml:space="preserve"> </w:t>
      </w:r>
      <w:r w:rsidRPr="0095425E">
        <w:rPr>
          <w:rFonts w:asciiTheme="minorHAnsi" w:eastAsiaTheme="minorEastAsia" w:hAnsiTheme="minorHAnsi" w:cstheme="minorBidi"/>
        </w:rPr>
        <w:t>have shown improved balance in their medicine wheels.</w:t>
      </w:r>
      <w:r w:rsidR="003E7921">
        <w:rPr>
          <w:rFonts w:asciiTheme="minorHAnsi" w:eastAsiaTheme="minorEastAsia" w:hAnsiTheme="minorHAnsi" w:cstheme="minorBidi"/>
        </w:rPr>
        <w:t xml:space="preserve"> </w:t>
      </w:r>
    </w:p>
    <w:p w14:paraId="1815520C" w14:textId="7F01A851" w:rsidR="00196EBF" w:rsidRPr="003E7921" w:rsidRDefault="270294E6" w:rsidP="003E7921">
      <w:pPr>
        <w:spacing w:after="120" w:line="276" w:lineRule="auto"/>
        <w:rPr>
          <w:rFonts w:asciiTheme="minorHAnsi" w:eastAsiaTheme="minorEastAsia" w:hAnsiTheme="minorHAnsi" w:cstheme="minorBidi"/>
        </w:rPr>
      </w:pPr>
      <w:r w:rsidRPr="0095425E">
        <w:rPr>
          <w:rFonts w:asciiTheme="minorHAnsi" w:eastAsiaTheme="minorEastAsia" w:hAnsiTheme="minorHAnsi" w:cstheme="minorBidi"/>
        </w:rPr>
        <w:t>Overall</w:t>
      </w:r>
      <w:r w:rsidR="003903A2">
        <w:rPr>
          <w:rFonts w:asciiTheme="minorHAnsi" w:eastAsiaTheme="minorEastAsia" w:hAnsiTheme="minorHAnsi" w:cstheme="minorBidi"/>
        </w:rPr>
        <w:t>,</w:t>
      </w:r>
      <w:r w:rsidRPr="0095425E">
        <w:rPr>
          <w:rFonts w:asciiTheme="minorHAnsi" w:eastAsiaTheme="minorEastAsia" w:hAnsiTheme="minorHAnsi" w:cstheme="minorBidi"/>
        </w:rPr>
        <w:t xml:space="preserve"> 89%</w:t>
      </w:r>
      <w:r w:rsidR="003903A2">
        <w:rPr>
          <w:rFonts w:asciiTheme="minorHAnsi" w:eastAsiaTheme="minorEastAsia" w:hAnsiTheme="minorHAnsi" w:cstheme="minorBidi"/>
        </w:rPr>
        <w:t xml:space="preserve"> of the youth assessed</w:t>
      </w:r>
      <w:r w:rsidRPr="0095425E">
        <w:rPr>
          <w:rFonts w:asciiTheme="minorHAnsi" w:eastAsiaTheme="minorEastAsia" w:hAnsiTheme="minorHAnsi" w:cstheme="minorBidi"/>
        </w:rPr>
        <w:t xml:space="preserve"> have shown improvement in their well-being in at least one measure; either improved total score or improved balance</w:t>
      </w:r>
      <w:r w:rsidRPr="0095425E">
        <w:rPr>
          <w:rFonts w:asciiTheme="minorHAnsi" w:eastAsiaTheme="minorEastAsia" w:hAnsiTheme="minorHAnsi" w:cstheme="minorBidi"/>
          <w:b/>
          <w:bCs/>
        </w:rPr>
        <w:t>.</w:t>
      </w:r>
      <w:r w:rsidRPr="0095425E">
        <w:rPr>
          <w:rFonts w:asciiTheme="minorHAnsi" w:eastAsiaTheme="minorEastAsia" w:hAnsiTheme="minorHAnsi" w:cstheme="minorBidi"/>
        </w:rPr>
        <w:t xml:space="preserve"> The remaining youth are categorized as “In Progress” because they remain actively engaged with the program. (See Table 7 above).</w:t>
      </w:r>
      <w:r w:rsidR="00A0797D">
        <w:rPr>
          <w:rFonts w:asciiTheme="minorHAnsi" w:eastAsiaTheme="minorEastAsia" w:hAnsiTheme="minorHAnsi" w:cstheme="minorBidi"/>
        </w:rPr>
        <w:t xml:space="preserve"> It is important to note</w:t>
      </w:r>
      <w:r w:rsidR="004C3366">
        <w:rPr>
          <w:rFonts w:asciiTheme="minorHAnsi" w:eastAsiaTheme="minorEastAsia" w:hAnsiTheme="minorHAnsi" w:cstheme="minorBidi"/>
        </w:rPr>
        <w:t xml:space="preserve"> that balance</w:t>
      </w:r>
      <w:r w:rsidR="00A0797D">
        <w:rPr>
          <w:rFonts w:asciiTheme="minorHAnsi" w:eastAsiaTheme="minorEastAsia" w:hAnsiTheme="minorHAnsi" w:cstheme="minorBidi"/>
        </w:rPr>
        <w:t xml:space="preserve"> is a harder outcome to achieve based on normal living conditions</w:t>
      </w:r>
      <w:r w:rsidR="003903A2">
        <w:rPr>
          <w:rFonts w:asciiTheme="minorHAnsi" w:eastAsiaTheme="minorEastAsia" w:hAnsiTheme="minorHAnsi" w:cstheme="minorBidi"/>
        </w:rPr>
        <w:t>,</w:t>
      </w:r>
      <w:r w:rsidR="00A0797D">
        <w:rPr>
          <w:rFonts w:asciiTheme="minorHAnsi" w:eastAsiaTheme="minorEastAsia" w:hAnsiTheme="minorHAnsi" w:cstheme="minorBidi"/>
        </w:rPr>
        <w:t xml:space="preserve"> therefore it is a positive outcome to have 56% of youth improve their balance throughout their participation in the program. </w:t>
      </w:r>
      <w:r w:rsidR="003903A2">
        <w:rPr>
          <w:rFonts w:asciiTheme="minorHAnsi" w:eastAsiaTheme="minorEastAsia" w:hAnsiTheme="minorHAnsi" w:cstheme="minorBidi"/>
        </w:rPr>
        <w:t>Improvement in this measure</w:t>
      </w:r>
      <w:r w:rsidR="00A0797D">
        <w:rPr>
          <w:rFonts w:asciiTheme="minorHAnsi" w:eastAsiaTheme="minorEastAsia" w:hAnsiTheme="minorHAnsi" w:cstheme="minorBidi"/>
        </w:rPr>
        <w:t xml:space="preserve"> is a lifetime goal for most people an</w:t>
      </w:r>
      <w:r w:rsidR="00E10A92">
        <w:rPr>
          <w:rFonts w:asciiTheme="minorHAnsi" w:eastAsiaTheme="minorEastAsia" w:hAnsiTheme="minorHAnsi" w:cstheme="minorBidi"/>
        </w:rPr>
        <w:t xml:space="preserve">d </w:t>
      </w:r>
      <w:r w:rsidR="003903A2">
        <w:rPr>
          <w:rFonts w:asciiTheme="minorHAnsi" w:eastAsiaTheme="minorEastAsia" w:hAnsiTheme="minorHAnsi" w:cstheme="minorBidi"/>
        </w:rPr>
        <w:t xml:space="preserve">is contingent </w:t>
      </w:r>
      <w:r w:rsidR="00A0797D">
        <w:rPr>
          <w:rFonts w:asciiTheme="minorHAnsi" w:eastAsiaTheme="minorEastAsia" w:hAnsiTheme="minorHAnsi" w:cstheme="minorBidi"/>
        </w:rPr>
        <w:t>on a number of variables</w:t>
      </w:r>
      <w:r w:rsidR="003903A2">
        <w:rPr>
          <w:rFonts w:asciiTheme="minorHAnsi" w:eastAsiaTheme="minorEastAsia" w:hAnsiTheme="minorHAnsi" w:cstheme="minorBidi"/>
        </w:rPr>
        <w:t>,</w:t>
      </w:r>
      <w:r w:rsidR="00A0797D">
        <w:rPr>
          <w:rFonts w:asciiTheme="minorHAnsi" w:eastAsiaTheme="minorEastAsia" w:hAnsiTheme="minorHAnsi" w:cstheme="minorBidi"/>
        </w:rPr>
        <w:t xml:space="preserve"> including </w:t>
      </w:r>
      <w:r w:rsidR="00E10A92">
        <w:rPr>
          <w:rFonts w:asciiTheme="minorHAnsi" w:eastAsiaTheme="minorEastAsia" w:hAnsiTheme="minorHAnsi" w:cstheme="minorBidi"/>
        </w:rPr>
        <w:t xml:space="preserve">ongoing </w:t>
      </w:r>
      <w:r w:rsidR="00A0797D">
        <w:rPr>
          <w:rFonts w:asciiTheme="minorHAnsi" w:eastAsiaTheme="minorEastAsia" w:hAnsiTheme="minorHAnsi" w:cstheme="minorBidi"/>
        </w:rPr>
        <w:t xml:space="preserve">stability, capacity, </w:t>
      </w:r>
      <w:r w:rsidR="00E10A92">
        <w:rPr>
          <w:rFonts w:asciiTheme="minorHAnsi" w:eastAsiaTheme="minorEastAsia" w:hAnsiTheme="minorHAnsi" w:cstheme="minorBidi"/>
        </w:rPr>
        <w:t>opportunities and resilience</w:t>
      </w:r>
      <w:r w:rsidR="003E7921">
        <w:rPr>
          <w:rFonts w:asciiTheme="minorHAnsi" w:eastAsiaTheme="minorEastAsia" w:hAnsiTheme="minorHAnsi" w:cstheme="minorBidi"/>
        </w:rPr>
        <w:t>. Personal balance may be affected by crisis, personal challenges or familial strife, which may change over time based on individual resiliency and continued personal growth.</w:t>
      </w:r>
      <w:r w:rsidR="4AE7EF76">
        <w:br/>
      </w:r>
    </w:p>
    <w:p w14:paraId="4C10DD43" w14:textId="41BCAE4C" w:rsidR="76B9D12A" w:rsidRDefault="270294E6" w:rsidP="003E7921">
      <w:pPr>
        <w:rPr>
          <w:rFonts w:asciiTheme="minorHAnsi" w:eastAsiaTheme="minorEastAsia" w:hAnsiTheme="minorHAnsi" w:cstheme="minorBidi"/>
        </w:rPr>
      </w:pPr>
      <w:r w:rsidRPr="0095425E">
        <w:rPr>
          <w:rFonts w:asciiTheme="minorHAnsi" w:eastAsiaTheme="minorEastAsia" w:hAnsiTheme="minorHAnsi" w:cstheme="minorBidi"/>
        </w:rPr>
        <w:t xml:space="preserve">The next two tables delve into the above findings further and more specifically by presenting the exit and/or interim outcomes for the eight domains of wellness measurement as outlined in the Medicine Wheel Service Plan. </w:t>
      </w:r>
    </w:p>
    <w:p w14:paraId="7E776BBA" w14:textId="77777777" w:rsidR="003E7921" w:rsidRPr="0095425E" w:rsidRDefault="003E7921" w:rsidP="003E7921">
      <w:pPr>
        <w:rPr>
          <w:rFonts w:asciiTheme="minorHAnsi" w:eastAsiaTheme="minorEastAsia" w:hAnsiTheme="minorHAnsi" w:cstheme="minorBidi"/>
        </w:rPr>
      </w:pPr>
    </w:p>
    <w:tbl>
      <w:tblPr>
        <w:tblW w:w="9486" w:type="dxa"/>
        <w:tblLook w:val="04A0" w:firstRow="1" w:lastRow="0" w:firstColumn="1" w:lastColumn="0" w:noHBand="0" w:noVBand="1"/>
      </w:tblPr>
      <w:tblGrid>
        <w:gridCol w:w="1104"/>
        <w:gridCol w:w="1192"/>
        <w:gridCol w:w="1073"/>
        <w:gridCol w:w="1247"/>
        <w:gridCol w:w="1413"/>
        <w:gridCol w:w="913"/>
        <w:gridCol w:w="1365"/>
        <w:gridCol w:w="1180"/>
      </w:tblGrid>
      <w:tr w:rsidR="00F8600A" w:rsidRPr="000B1F63" w14:paraId="535D07F4" w14:textId="77777777" w:rsidTr="270294E6">
        <w:trPr>
          <w:trHeight w:val="315"/>
        </w:trPr>
        <w:tc>
          <w:tcPr>
            <w:tcW w:w="9486" w:type="dxa"/>
            <w:gridSpan w:val="8"/>
            <w:tcBorders>
              <w:top w:val="single" w:sz="8" w:space="0" w:color="auto"/>
              <w:left w:val="single" w:sz="8" w:space="0" w:color="auto"/>
              <w:bottom w:val="single" w:sz="8" w:space="0" w:color="auto"/>
              <w:right w:val="single" w:sz="8" w:space="0" w:color="000000" w:themeColor="text1"/>
            </w:tcBorders>
            <w:shd w:val="clear" w:color="auto" w:fill="A8D08D" w:themeFill="accent6" w:themeFillTint="99"/>
            <w:noWrap/>
            <w:vAlign w:val="center"/>
          </w:tcPr>
          <w:p w14:paraId="26B0453D" w14:textId="77777777" w:rsidR="00F8600A" w:rsidRPr="0095425E" w:rsidRDefault="270294E6" w:rsidP="270294E6">
            <w:pPr>
              <w:jc w:val="center"/>
              <w:rPr>
                <w:rFonts w:asciiTheme="minorHAnsi" w:eastAsiaTheme="minorEastAsia" w:hAnsiTheme="minorHAnsi" w:cstheme="minorBidi"/>
                <w:b/>
                <w:bCs/>
                <w:sz w:val="20"/>
                <w:szCs w:val="20"/>
              </w:rPr>
            </w:pPr>
            <w:r w:rsidRPr="0095425E">
              <w:rPr>
                <w:rFonts w:asciiTheme="minorHAnsi" w:eastAsiaTheme="minorEastAsia" w:hAnsiTheme="minorHAnsi" w:cstheme="minorBidi"/>
                <w:b/>
                <w:bCs/>
              </w:rPr>
              <w:t>2017-2018 Youth Mentorship Program Outcomes</w:t>
            </w:r>
          </w:p>
        </w:tc>
      </w:tr>
      <w:tr w:rsidR="00F8600A" w:rsidRPr="001F581E" w14:paraId="311D7227" w14:textId="77777777" w:rsidTr="270294E6">
        <w:trPr>
          <w:trHeight w:val="315"/>
        </w:trPr>
        <w:tc>
          <w:tcPr>
            <w:tcW w:w="9486" w:type="dxa"/>
            <w:gridSpan w:val="8"/>
            <w:tcBorders>
              <w:top w:val="single" w:sz="8" w:space="0" w:color="auto"/>
              <w:left w:val="single" w:sz="8" w:space="0" w:color="auto"/>
              <w:bottom w:val="single" w:sz="4" w:space="0" w:color="auto"/>
              <w:right w:val="single" w:sz="8" w:space="0" w:color="000000" w:themeColor="text1"/>
            </w:tcBorders>
            <w:shd w:val="clear" w:color="auto" w:fill="FFFFFF" w:themeFill="background1"/>
            <w:noWrap/>
            <w:vAlign w:val="center"/>
            <w:hideMark/>
          </w:tcPr>
          <w:p w14:paraId="330710D4" w14:textId="77777777" w:rsidR="00F8600A" w:rsidRPr="0095425E" w:rsidRDefault="270294E6" w:rsidP="270294E6">
            <w:pPr>
              <w:jc w:val="center"/>
              <w:rPr>
                <w:rFonts w:asciiTheme="minorHAnsi" w:eastAsiaTheme="minorEastAsia" w:hAnsiTheme="minorHAnsi" w:cstheme="minorBidi"/>
                <w:b/>
                <w:bCs/>
              </w:rPr>
            </w:pPr>
            <w:r w:rsidRPr="0095425E">
              <w:rPr>
                <w:rFonts w:asciiTheme="minorHAnsi" w:eastAsiaTheme="minorEastAsia" w:hAnsiTheme="minorHAnsi" w:cstheme="minorBidi"/>
                <w:b/>
                <w:bCs/>
              </w:rPr>
              <w:t>% Participants Achieving Target Outcomes Upon Exit of Program</w:t>
            </w:r>
          </w:p>
        </w:tc>
      </w:tr>
      <w:tr w:rsidR="00F8600A" w:rsidRPr="001F581E" w14:paraId="7E6079E5" w14:textId="77777777" w:rsidTr="270294E6">
        <w:trPr>
          <w:trHeight w:val="690"/>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1138A" w14:textId="77777777" w:rsidR="00F8600A" w:rsidRPr="0095425E" w:rsidRDefault="270294E6" w:rsidP="270294E6">
            <w:pPr>
              <w:jc w:val="center"/>
              <w:rPr>
                <w:rFonts w:asciiTheme="minorHAnsi" w:eastAsiaTheme="minorEastAsia" w:hAnsiTheme="minorHAnsi" w:cstheme="minorBidi"/>
              </w:rPr>
            </w:pPr>
            <w:r w:rsidRPr="0095425E">
              <w:rPr>
                <w:rFonts w:asciiTheme="minorHAnsi" w:eastAsiaTheme="minorEastAsia" w:hAnsiTheme="minorHAnsi" w:cstheme="minorBidi"/>
              </w:rPr>
              <w:t>Physical Well-Being</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77904" w14:textId="77777777" w:rsidR="00F8600A" w:rsidRPr="0095425E" w:rsidRDefault="270294E6" w:rsidP="270294E6">
            <w:pPr>
              <w:jc w:val="center"/>
              <w:rPr>
                <w:rFonts w:asciiTheme="minorHAnsi" w:eastAsiaTheme="minorEastAsia" w:hAnsiTheme="minorHAnsi" w:cstheme="minorBidi"/>
              </w:rPr>
            </w:pPr>
            <w:r w:rsidRPr="0095425E">
              <w:rPr>
                <w:rFonts w:asciiTheme="minorHAnsi" w:eastAsiaTheme="minorEastAsia" w:hAnsiTheme="minorHAnsi" w:cstheme="minorBidi"/>
              </w:rPr>
              <w:t>Purpose &amp; Direction</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A46CC" w14:textId="77777777" w:rsidR="00F8600A" w:rsidRPr="0095425E" w:rsidRDefault="270294E6" w:rsidP="270294E6">
            <w:pPr>
              <w:jc w:val="center"/>
              <w:rPr>
                <w:rFonts w:asciiTheme="minorHAnsi" w:eastAsiaTheme="minorEastAsia" w:hAnsiTheme="minorHAnsi" w:cstheme="minorBidi"/>
              </w:rPr>
            </w:pPr>
            <w:r w:rsidRPr="0095425E">
              <w:rPr>
                <w:rFonts w:asciiTheme="minorHAnsi" w:eastAsiaTheme="minorEastAsia" w:hAnsiTheme="minorHAnsi" w:cstheme="minorBidi"/>
              </w:rPr>
              <w:t>Housing &amp; Basic Needs</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AF0BB" w14:textId="77777777" w:rsidR="00F8600A" w:rsidRPr="0095425E" w:rsidRDefault="270294E6" w:rsidP="270294E6">
            <w:pPr>
              <w:jc w:val="center"/>
              <w:rPr>
                <w:rFonts w:asciiTheme="minorHAnsi" w:eastAsiaTheme="minorEastAsia" w:hAnsiTheme="minorHAnsi" w:cstheme="minorBidi"/>
              </w:rPr>
            </w:pPr>
            <w:r w:rsidRPr="0095425E">
              <w:rPr>
                <w:rFonts w:asciiTheme="minorHAnsi" w:eastAsiaTheme="minorEastAsia" w:hAnsiTheme="minorHAnsi" w:cstheme="minorBidi"/>
              </w:rPr>
              <w:t>Emotional Well-Being</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1E9B5" w14:textId="77777777" w:rsidR="00F8600A" w:rsidRPr="0095425E" w:rsidRDefault="270294E6" w:rsidP="270294E6">
            <w:pPr>
              <w:rPr>
                <w:rFonts w:asciiTheme="minorHAnsi" w:eastAsiaTheme="minorEastAsia" w:hAnsiTheme="minorHAnsi" w:cstheme="minorBidi"/>
              </w:rPr>
            </w:pPr>
            <w:r w:rsidRPr="0095425E">
              <w:rPr>
                <w:rFonts w:asciiTheme="minorHAnsi" w:eastAsiaTheme="minorEastAsia" w:hAnsiTheme="minorHAnsi" w:cstheme="minorBidi"/>
              </w:rPr>
              <w:t>Relationships</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FB24D" w14:textId="77777777" w:rsidR="00F8600A" w:rsidRPr="0095425E" w:rsidRDefault="270294E6" w:rsidP="270294E6">
            <w:pPr>
              <w:rPr>
                <w:rFonts w:asciiTheme="minorHAnsi" w:eastAsiaTheme="minorEastAsia" w:hAnsiTheme="minorHAnsi" w:cstheme="minorBidi"/>
              </w:rPr>
            </w:pPr>
            <w:r w:rsidRPr="0095425E">
              <w:rPr>
                <w:rFonts w:asciiTheme="minorHAnsi" w:eastAsiaTheme="minorEastAsia" w:hAnsiTheme="minorHAnsi" w:cstheme="minorBidi"/>
              </w:rPr>
              <w:t>Mental Well-Being</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7FCE1" w14:textId="77777777" w:rsidR="00F8600A" w:rsidRPr="0095425E" w:rsidRDefault="270294E6" w:rsidP="270294E6">
            <w:pPr>
              <w:rPr>
                <w:rFonts w:asciiTheme="minorHAnsi" w:eastAsiaTheme="minorEastAsia" w:hAnsiTheme="minorHAnsi" w:cstheme="minorBidi"/>
              </w:rPr>
            </w:pPr>
            <w:r w:rsidRPr="0095425E">
              <w:rPr>
                <w:rFonts w:asciiTheme="minorHAnsi" w:eastAsiaTheme="minorEastAsia" w:hAnsiTheme="minorHAnsi" w:cstheme="minorBidi"/>
              </w:rPr>
              <w:t>Community &amp; Cultural Connection</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D1376" w14:textId="77777777" w:rsidR="00F8600A" w:rsidRPr="0095425E" w:rsidRDefault="270294E6" w:rsidP="270294E6">
            <w:pPr>
              <w:rPr>
                <w:rFonts w:asciiTheme="minorHAnsi" w:eastAsiaTheme="minorEastAsia" w:hAnsiTheme="minorHAnsi" w:cstheme="minorBidi"/>
              </w:rPr>
            </w:pPr>
            <w:r w:rsidRPr="0095425E">
              <w:rPr>
                <w:rFonts w:asciiTheme="minorHAnsi" w:eastAsiaTheme="minorEastAsia" w:hAnsiTheme="minorHAnsi" w:cstheme="minorBidi"/>
              </w:rPr>
              <w:t>Spirituality</w:t>
            </w:r>
          </w:p>
        </w:tc>
      </w:tr>
      <w:tr w:rsidR="00F8600A" w:rsidRPr="001F581E" w14:paraId="309429ED" w14:textId="77777777" w:rsidTr="270294E6">
        <w:trPr>
          <w:trHeight w:val="315"/>
        </w:trPr>
        <w:tc>
          <w:tcPr>
            <w:tcW w:w="1127"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563132D6" w14:textId="77777777" w:rsidR="00F8600A" w:rsidRPr="0095425E" w:rsidRDefault="270294E6" w:rsidP="270294E6">
            <w:pPr>
              <w:jc w:val="right"/>
              <w:rPr>
                <w:rFonts w:asciiTheme="minorHAnsi" w:eastAsiaTheme="minorEastAsia" w:hAnsiTheme="minorHAnsi" w:cstheme="minorBidi"/>
              </w:rPr>
            </w:pPr>
            <w:r w:rsidRPr="0095425E">
              <w:rPr>
                <w:rFonts w:asciiTheme="minorHAnsi" w:eastAsiaTheme="minorEastAsia" w:hAnsiTheme="minorHAnsi" w:cstheme="minorBidi"/>
              </w:rPr>
              <w:t>100%</w:t>
            </w:r>
          </w:p>
        </w:tc>
        <w:tc>
          <w:tcPr>
            <w:tcW w:w="1192"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38782445" w14:textId="77777777" w:rsidR="00F8600A" w:rsidRPr="0095425E" w:rsidRDefault="270294E6" w:rsidP="270294E6">
            <w:pPr>
              <w:jc w:val="right"/>
              <w:rPr>
                <w:rFonts w:asciiTheme="minorHAnsi" w:eastAsiaTheme="minorEastAsia" w:hAnsiTheme="minorHAnsi" w:cstheme="minorBidi"/>
              </w:rPr>
            </w:pPr>
            <w:r w:rsidRPr="0095425E">
              <w:rPr>
                <w:rFonts w:asciiTheme="minorHAnsi" w:eastAsiaTheme="minorEastAsia" w:hAnsiTheme="minorHAnsi" w:cstheme="minorBidi"/>
              </w:rPr>
              <w:t>86%</w:t>
            </w:r>
          </w:p>
        </w:tc>
        <w:tc>
          <w:tcPr>
            <w:tcW w:w="1089"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74142D73" w14:textId="77777777" w:rsidR="00F8600A" w:rsidRPr="0095425E" w:rsidRDefault="270294E6" w:rsidP="270294E6">
            <w:pPr>
              <w:jc w:val="right"/>
              <w:rPr>
                <w:rFonts w:asciiTheme="minorHAnsi" w:eastAsiaTheme="minorEastAsia" w:hAnsiTheme="minorHAnsi" w:cstheme="minorBidi"/>
              </w:rPr>
            </w:pPr>
            <w:r w:rsidRPr="0095425E">
              <w:rPr>
                <w:rFonts w:asciiTheme="minorHAnsi" w:eastAsiaTheme="minorEastAsia" w:hAnsiTheme="minorHAnsi" w:cstheme="minorBidi"/>
              </w:rPr>
              <w:t>86%</w:t>
            </w:r>
          </w:p>
        </w:tc>
        <w:tc>
          <w:tcPr>
            <w:tcW w:w="1247"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4520926F" w14:textId="77777777" w:rsidR="00F8600A" w:rsidRPr="0095425E" w:rsidRDefault="270294E6" w:rsidP="270294E6">
            <w:pPr>
              <w:jc w:val="right"/>
              <w:rPr>
                <w:rFonts w:asciiTheme="minorHAnsi" w:eastAsiaTheme="minorEastAsia" w:hAnsiTheme="minorHAnsi" w:cstheme="minorBidi"/>
              </w:rPr>
            </w:pPr>
            <w:r w:rsidRPr="0095425E">
              <w:rPr>
                <w:rFonts w:asciiTheme="minorHAnsi" w:eastAsiaTheme="minorEastAsia" w:hAnsiTheme="minorHAnsi" w:cstheme="minorBidi"/>
              </w:rPr>
              <w:t>86%</w:t>
            </w:r>
          </w:p>
        </w:tc>
        <w:tc>
          <w:tcPr>
            <w:tcW w:w="1413"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0D9E7755" w14:textId="77777777" w:rsidR="00F8600A" w:rsidRPr="0095425E" w:rsidRDefault="270294E6" w:rsidP="270294E6">
            <w:pPr>
              <w:jc w:val="right"/>
              <w:rPr>
                <w:rFonts w:asciiTheme="minorHAnsi" w:eastAsiaTheme="minorEastAsia" w:hAnsiTheme="minorHAnsi" w:cstheme="minorBidi"/>
              </w:rPr>
            </w:pPr>
            <w:r w:rsidRPr="0095425E">
              <w:rPr>
                <w:rFonts w:asciiTheme="minorHAnsi" w:eastAsiaTheme="minorEastAsia" w:hAnsiTheme="minorHAnsi" w:cstheme="minorBidi"/>
              </w:rPr>
              <w:t>100%</w:t>
            </w:r>
          </w:p>
        </w:tc>
        <w:tc>
          <w:tcPr>
            <w:tcW w:w="913"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1354A48A" w14:textId="77777777" w:rsidR="00F8600A" w:rsidRPr="0095425E" w:rsidRDefault="270294E6" w:rsidP="270294E6">
            <w:pPr>
              <w:jc w:val="right"/>
              <w:rPr>
                <w:rFonts w:asciiTheme="minorHAnsi" w:eastAsiaTheme="minorEastAsia" w:hAnsiTheme="minorHAnsi" w:cstheme="minorBidi"/>
              </w:rPr>
            </w:pPr>
            <w:r w:rsidRPr="0095425E">
              <w:rPr>
                <w:rFonts w:asciiTheme="minorHAnsi" w:eastAsiaTheme="minorEastAsia" w:hAnsiTheme="minorHAnsi" w:cstheme="minorBidi"/>
              </w:rPr>
              <w:t>100%</w:t>
            </w:r>
          </w:p>
        </w:tc>
        <w:tc>
          <w:tcPr>
            <w:tcW w:w="1365"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3138FF80" w14:textId="77777777" w:rsidR="00F8600A" w:rsidRPr="0095425E" w:rsidRDefault="270294E6" w:rsidP="270294E6">
            <w:pPr>
              <w:jc w:val="right"/>
              <w:rPr>
                <w:rFonts w:asciiTheme="minorHAnsi" w:eastAsiaTheme="minorEastAsia" w:hAnsiTheme="minorHAnsi" w:cstheme="minorBidi"/>
              </w:rPr>
            </w:pPr>
            <w:r w:rsidRPr="0095425E">
              <w:rPr>
                <w:rFonts w:asciiTheme="minorHAnsi" w:eastAsiaTheme="minorEastAsia" w:hAnsiTheme="minorHAnsi" w:cstheme="minorBidi"/>
              </w:rPr>
              <w:t>71%</w:t>
            </w:r>
          </w:p>
        </w:tc>
        <w:tc>
          <w:tcPr>
            <w:tcW w:w="1140"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72AEA245" w14:textId="77777777" w:rsidR="00F8600A" w:rsidRPr="0095425E" w:rsidRDefault="270294E6" w:rsidP="270294E6">
            <w:pPr>
              <w:jc w:val="right"/>
              <w:rPr>
                <w:rFonts w:asciiTheme="minorHAnsi" w:eastAsiaTheme="minorEastAsia" w:hAnsiTheme="minorHAnsi" w:cstheme="minorBidi"/>
              </w:rPr>
            </w:pPr>
            <w:r w:rsidRPr="0095425E">
              <w:rPr>
                <w:rFonts w:asciiTheme="minorHAnsi" w:eastAsiaTheme="minorEastAsia" w:hAnsiTheme="minorHAnsi" w:cstheme="minorBidi"/>
              </w:rPr>
              <w:t>71%</w:t>
            </w:r>
          </w:p>
        </w:tc>
      </w:tr>
    </w:tbl>
    <w:p w14:paraId="1AEC1A87" w14:textId="7DA329AD" w:rsidR="009B2187" w:rsidRDefault="270294E6" w:rsidP="270294E6">
      <w:pPr>
        <w:rPr>
          <w:rFonts w:asciiTheme="minorHAnsi" w:eastAsiaTheme="minorEastAsia" w:hAnsiTheme="minorHAnsi" w:cstheme="minorBidi"/>
          <w:i/>
          <w:iCs/>
          <w:sz w:val="18"/>
          <w:szCs w:val="18"/>
        </w:rPr>
      </w:pPr>
      <w:r w:rsidRPr="0095425E">
        <w:rPr>
          <w:rFonts w:asciiTheme="minorHAnsi" w:eastAsiaTheme="minorEastAsia" w:hAnsiTheme="minorHAnsi" w:cstheme="minorBidi"/>
          <w:b/>
          <w:bCs/>
          <w:i/>
          <w:iCs/>
          <w:sz w:val="18"/>
          <w:szCs w:val="18"/>
        </w:rPr>
        <w:t>Table 8</w:t>
      </w:r>
      <w:r w:rsidRPr="0095425E">
        <w:rPr>
          <w:rFonts w:asciiTheme="minorHAnsi" w:eastAsiaTheme="minorEastAsia" w:hAnsiTheme="minorHAnsi" w:cstheme="minorBidi"/>
          <w:i/>
          <w:iCs/>
          <w:sz w:val="18"/>
          <w:szCs w:val="18"/>
        </w:rPr>
        <w:t xml:space="preserve">. 2017 – 2018 Youth Mentorship Program exit assessment outcomes identifying the percentage of participants meeting target outcomes upon exiting the program. A minimum rating of 3/5 was used to indicate success, due to the accompanying measurement scale which defines the number 3 as “Learning with Supports”. </w:t>
      </w:r>
    </w:p>
    <w:p w14:paraId="7782D498" w14:textId="7122CA12" w:rsidR="003E7921" w:rsidRDefault="003E7921" w:rsidP="270294E6">
      <w:pPr>
        <w:rPr>
          <w:rFonts w:asciiTheme="minorHAnsi" w:eastAsiaTheme="minorEastAsia" w:hAnsiTheme="minorHAnsi" w:cstheme="minorBidi"/>
          <w:i/>
          <w:iCs/>
          <w:sz w:val="18"/>
          <w:szCs w:val="18"/>
        </w:rPr>
      </w:pPr>
    </w:p>
    <w:p w14:paraId="5EAF024F" w14:textId="7AF86E95" w:rsidR="003E7921" w:rsidRDefault="003E7921" w:rsidP="270294E6">
      <w:pPr>
        <w:rPr>
          <w:rFonts w:asciiTheme="minorHAnsi" w:eastAsiaTheme="minorEastAsia" w:hAnsiTheme="minorHAnsi" w:cstheme="minorBidi"/>
          <w:i/>
          <w:iCs/>
          <w:sz w:val="18"/>
          <w:szCs w:val="18"/>
        </w:rPr>
      </w:pPr>
    </w:p>
    <w:p w14:paraId="27B73AD3" w14:textId="3B586B52" w:rsidR="003E7921" w:rsidRDefault="003E7921" w:rsidP="270294E6">
      <w:pPr>
        <w:rPr>
          <w:rFonts w:asciiTheme="minorHAnsi" w:eastAsiaTheme="minorEastAsia" w:hAnsiTheme="minorHAnsi" w:cstheme="minorBidi"/>
          <w:i/>
          <w:iCs/>
          <w:sz w:val="18"/>
          <w:szCs w:val="18"/>
        </w:rPr>
      </w:pPr>
    </w:p>
    <w:p w14:paraId="4A1A0B3F" w14:textId="642E3D49" w:rsidR="003E7921" w:rsidRDefault="003E7921" w:rsidP="270294E6">
      <w:pPr>
        <w:rPr>
          <w:rFonts w:asciiTheme="minorHAnsi" w:eastAsiaTheme="minorEastAsia" w:hAnsiTheme="minorHAnsi" w:cstheme="minorBidi"/>
          <w:i/>
          <w:iCs/>
          <w:sz w:val="18"/>
          <w:szCs w:val="18"/>
        </w:rPr>
      </w:pPr>
    </w:p>
    <w:p w14:paraId="5CF20BB5" w14:textId="4CB81810" w:rsidR="003E7921" w:rsidRDefault="003E7921" w:rsidP="270294E6">
      <w:pPr>
        <w:rPr>
          <w:rFonts w:asciiTheme="minorHAnsi" w:eastAsiaTheme="minorEastAsia" w:hAnsiTheme="minorHAnsi" w:cstheme="minorBidi"/>
          <w:i/>
          <w:iCs/>
          <w:sz w:val="18"/>
          <w:szCs w:val="18"/>
        </w:rPr>
      </w:pPr>
    </w:p>
    <w:p w14:paraId="4D7FFA93" w14:textId="77777777" w:rsidR="003E7921" w:rsidRPr="0095425E" w:rsidRDefault="003E7921" w:rsidP="270294E6">
      <w:pPr>
        <w:rPr>
          <w:rFonts w:asciiTheme="minorHAnsi" w:eastAsiaTheme="minorEastAsia" w:hAnsiTheme="minorHAnsi" w:cstheme="minorBidi"/>
          <w:i/>
          <w:iCs/>
          <w:sz w:val="18"/>
          <w:szCs w:val="18"/>
        </w:rPr>
      </w:pPr>
    </w:p>
    <w:tbl>
      <w:tblPr>
        <w:tblW w:w="9457" w:type="dxa"/>
        <w:tblLook w:val="04A0" w:firstRow="1" w:lastRow="0" w:firstColumn="1" w:lastColumn="0" w:noHBand="0" w:noVBand="1"/>
      </w:tblPr>
      <w:tblGrid>
        <w:gridCol w:w="1108"/>
        <w:gridCol w:w="1192"/>
        <w:gridCol w:w="1070"/>
        <w:gridCol w:w="1247"/>
        <w:gridCol w:w="1413"/>
        <w:gridCol w:w="913"/>
        <w:gridCol w:w="1336"/>
        <w:gridCol w:w="1180"/>
      </w:tblGrid>
      <w:tr w:rsidR="00F8600A" w:rsidRPr="000B1F63" w14:paraId="25FD2913" w14:textId="77777777" w:rsidTr="270294E6">
        <w:trPr>
          <w:trHeight w:val="315"/>
        </w:trPr>
        <w:tc>
          <w:tcPr>
            <w:tcW w:w="9457" w:type="dxa"/>
            <w:gridSpan w:val="8"/>
            <w:tcBorders>
              <w:top w:val="single" w:sz="8" w:space="0" w:color="auto"/>
              <w:left w:val="single" w:sz="8" w:space="0" w:color="auto"/>
              <w:bottom w:val="single" w:sz="8" w:space="0" w:color="auto"/>
              <w:right w:val="single" w:sz="8" w:space="0" w:color="000000" w:themeColor="text1"/>
            </w:tcBorders>
            <w:shd w:val="clear" w:color="auto" w:fill="A8D08D" w:themeFill="accent6" w:themeFillTint="99"/>
            <w:noWrap/>
            <w:vAlign w:val="center"/>
          </w:tcPr>
          <w:p w14:paraId="127ECFF8" w14:textId="77777777" w:rsidR="00F8600A" w:rsidRPr="0095425E" w:rsidRDefault="270294E6" w:rsidP="270294E6">
            <w:pPr>
              <w:jc w:val="center"/>
              <w:rPr>
                <w:rFonts w:asciiTheme="minorHAnsi" w:eastAsiaTheme="minorEastAsia" w:hAnsiTheme="minorHAnsi" w:cstheme="minorBidi"/>
                <w:b/>
                <w:bCs/>
              </w:rPr>
            </w:pPr>
            <w:r w:rsidRPr="0095425E">
              <w:rPr>
                <w:rFonts w:asciiTheme="minorHAnsi" w:eastAsiaTheme="minorEastAsia" w:hAnsiTheme="minorHAnsi" w:cstheme="minorBidi"/>
                <w:b/>
                <w:bCs/>
              </w:rPr>
              <w:lastRenderedPageBreak/>
              <w:t>2018-2019 Youth Mentorship Program Outcomes</w:t>
            </w:r>
          </w:p>
        </w:tc>
      </w:tr>
      <w:tr w:rsidR="00F8600A" w:rsidRPr="001F581E" w14:paraId="11A19BC2" w14:textId="77777777" w:rsidTr="270294E6">
        <w:trPr>
          <w:trHeight w:val="315"/>
        </w:trPr>
        <w:tc>
          <w:tcPr>
            <w:tcW w:w="9457" w:type="dxa"/>
            <w:gridSpan w:val="8"/>
            <w:tcBorders>
              <w:top w:val="single" w:sz="8" w:space="0" w:color="auto"/>
              <w:left w:val="single" w:sz="8" w:space="0" w:color="auto"/>
              <w:bottom w:val="single" w:sz="4" w:space="0" w:color="auto"/>
              <w:right w:val="single" w:sz="8" w:space="0" w:color="000000" w:themeColor="text1"/>
            </w:tcBorders>
            <w:shd w:val="clear" w:color="auto" w:fill="FFFFFF" w:themeFill="background1"/>
            <w:noWrap/>
            <w:vAlign w:val="center"/>
            <w:hideMark/>
          </w:tcPr>
          <w:p w14:paraId="7C1D786B" w14:textId="77777777" w:rsidR="00F8600A" w:rsidRPr="0095425E" w:rsidRDefault="270294E6" w:rsidP="270294E6">
            <w:pPr>
              <w:jc w:val="center"/>
              <w:rPr>
                <w:rFonts w:asciiTheme="minorHAnsi" w:eastAsiaTheme="minorEastAsia" w:hAnsiTheme="minorHAnsi" w:cstheme="minorBidi"/>
                <w:b/>
                <w:bCs/>
              </w:rPr>
            </w:pPr>
            <w:r w:rsidRPr="0095425E">
              <w:rPr>
                <w:rFonts w:asciiTheme="minorHAnsi" w:eastAsiaTheme="minorEastAsia" w:hAnsiTheme="minorHAnsi" w:cstheme="minorBidi"/>
                <w:b/>
                <w:bCs/>
              </w:rPr>
              <w:t xml:space="preserve">% Participants Achieving Target Outcomes Upon Interim Assessment </w:t>
            </w:r>
          </w:p>
        </w:tc>
      </w:tr>
      <w:tr w:rsidR="00F8600A" w:rsidRPr="001F581E" w14:paraId="719EBA4E" w14:textId="77777777" w:rsidTr="270294E6">
        <w:trPr>
          <w:trHeight w:val="690"/>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110C1" w14:textId="77777777" w:rsidR="00F8600A" w:rsidRPr="0095425E" w:rsidRDefault="270294E6" w:rsidP="270294E6">
            <w:pPr>
              <w:jc w:val="center"/>
              <w:rPr>
                <w:rFonts w:asciiTheme="minorHAnsi" w:eastAsiaTheme="minorEastAsia" w:hAnsiTheme="minorHAnsi" w:cstheme="minorBidi"/>
              </w:rPr>
            </w:pPr>
            <w:r w:rsidRPr="0095425E">
              <w:rPr>
                <w:rFonts w:asciiTheme="minorHAnsi" w:eastAsiaTheme="minorEastAsia" w:hAnsiTheme="minorHAnsi" w:cstheme="minorBidi"/>
              </w:rPr>
              <w:t>Physical Well-Being</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CAD8D" w14:textId="77777777" w:rsidR="00F8600A" w:rsidRPr="0095425E" w:rsidRDefault="270294E6" w:rsidP="270294E6">
            <w:pPr>
              <w:jc w:val="center"/>
              <w:rPr>
                <w:rFonts w:asciiTheme="minorHAnsi" w:eastAsiaTheme="minorEastAsia" w:hAnsiTheme="minorHAnsi" w:cstheme="minorBidi"/>
              </w:rPr>
            </w:pPr>
            <w:r w:rsidRPr="0095425E">
              <w:rPr>
                <w:rFonts w:asciiTheme="minorHAnsi" w:eastAsiaTheme="minorEastAsia" w:hAnsiTheme="minorHAnsi" w:cstheme="minorBidi"/>
              </w:rPr>
              <w:t>Purpose &amp; Direction</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AFABA" w14:textId="77777777" w:rsidR="00F8600A" w:rsidRPr="0095425E" w:rsidRDefault="270294E6" w:rsidP="270294E6">
            <w:pPr>
              <w:jc w:val="center"/>
              <w:rPr>
                <w:rFonts w:asciiTheme="minorHAnsi" w:eastAsiaTheme="minorEastAsia" w:hAnsiTheme="minorHAnsi" w:cstheme="minorBidi"/>
              </w:rPr>
            </w:pPr>
            <w:r w:rsidRPr="0095425E">
              <w:rPr>
                <w:rFonts w:asciiTheme="minorHAnsi" w:eastAsiaTheme="minorEastAsia" w:hAnsiTheme="minorHAnsi" w:cstheme="minorBidi"/>
              </w:rPr>
              <w:t>Housing &amp; Basic Needs</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178D4" w14:textId="77777777" w:rsidR="00F8600A" w:rsidRPr="0095425E" w:rsidRDefault="270294E6" w:rsidP="270294E6">
            <w:pPr>
              <w:jc w:val="center"/>
              <w:rPr>
                <w:rFonts w:asciiTheme="minorHAnsi" w:eastAsiaTheme="minorEastAsia" w:hAnsiTheme="minorHAnsi" w:cstheme="minorBidi"/>
              </w:rPr>
            </w:pPr>
            <w:r w:rsidRPr="0095425E">
              <w:rPr>
                <w:rFonts w:asciiTheme="minorHAnsi" w:eastAsiaTheme="minorEastAsia" w:hAnsiTheme="minorHAnsi" w:cstheme="minorBidi"/>
              </w:rPr>
              <w:t>Emotional Well-Being</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52CE3" w14:textId="77777777" w:rsidR="00F8600A" w:rsidRPr="0095425E" w:rsidRDefault="270294E6" w:rsidP="270294E6">
            <w:pPr>
              <w:rPr>
                <w:rFonts w:asciiTheme="minorHAnsi" w:eastAsiaTheme="minorEastAsia" w:hAnsiTheme="minorHAnsi" w:cstheme="minorBidi"/>
              </w:rPr>
            </w:pPr>
            <w:r w:rsidRPr="0095425E">
              <w:rPr>
                <w:rFonts w:asciiTheme="minorHAnsi" w:eastAsiaTheme="minorEastAsia" w:hAnsiTheme="minorHAnsi" w:cstheme="minorBidi"/>
              </w:rPr>
              <w:t>Relationships</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7F26E" w14:textId="77777777" w:rsidR="00F8600A" w:rsidRPr="0095425E" w:rsidRDefault="270294E6" w:rsidP="270294E6">
            <w:pPr>
              <w:rPr>
                <w:rFonts w:asciiTheme="minorHAnsi" w:eastAsiaTheme="minorEastAsia" w:hAnsiTheme="minorHAnsi" w:cstheme="minorBidi"/>
              </w:rPr>
            </w:pPr>
            <w:r w:rsidRPr="0095425E">
              <w:rPr>
                <w:rFonts w:asciiTheme="minorHAnsi" w:eastAsiaTheme="minorEastAsia" w:hAnsiTheme="minorHAnsi" w:cstheme="minorBidi"/>
              </w:rPr>
              <w:t>Mental Well-Being</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C4A72" w14:textId="77777777" w:rsidR="00F8600A" w:rsidRPr="0095425E" w:rsidRDefault="270294E6" w:rsidP="270294E6">
            <w:pPr>
              <w:rPr>
                <w:rFonts w:asciiTheme="minorHAnsi" w:eastAsiaTheme="minorEastAsia" w:hAnsiTheme="minorHAnsi" w:cstheme="minorBidi"/>
              </w:rPr>
            </w:pPr>
            <w:r w:rsidRPr="0095425E">
              <w:rPr>
                <w:rFonts w:asciiTheme="minorHAnsi" w:eastAsiaTheme="minorEastAsia" w:hAnsiTheme="minorHAnsi" w:cstheme="minorBidi"/>
              </w:rPr>
              <w:t>Community &amp; Cultural Connection</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09AC9" w14:textId="77777777" w:rsidR="00F8600A" w:rsidRPr="0095425E" w:rsidRDefault="270294E6" w:rsidP="270294E6">
            <w:pPr>
              <w:rPr>
                <w:rFonts w:asciiTheme="minorHAnsi" w:eastAsiaTheme="minorEastAsia" w:hAnsiTheme="minorHAnsi" w:cstheme="minorBidi"/>
              </w:rPr>
            </w:pPr>
            <w:r w:rsidRPr="0095425E">
              <w:rPr>
                <w:rFonts w:asciiTheme="minorHAnsi" w:eastAsiaTheme="minorEastAsia" w:hAnsiTheme="minorHAnsi" w:cstheme="minorBidi"/>
              </w:rPr>
              <w:t>Spirituality</w:t>
            </w:r>
          </w:p>
        </w:tc>
      </w:tr>
      <w:tr w:rsidR="00F8600A" w:rsidRPr="001F581E" w14:paraId="74906E9D" w14:textId="77777777" w:rsidTr="270294E6">
        <w:trPr>
          <w:trHeight w:val="315"/>
        </w:trPr>
        <w:tc>
          <w:tcPr>
            <w:tcW w:w="1127"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715E2AE5" w14:textId="77777777" w:rsidR="00F8600A" w:rsidRPr="0095425E" w:rsidRDefault="270294E6" w:rsidP="270294E6">
            <w:pPr>
              <w:jc w:val="right"/>
              <w:rPr>
                <w:rFonts w:asciiTheme="minorHAnsi" w:eastAsiaTheme="minorEastAsia" w:hAnsiTheme="minorHAnsi" w:cstheme="minorBidi"/>
              </w:rPr>
            </w:pPr>
            <w:r w:rsidRPr="0095425E">
              <w:rPr>
                <w:rFonts w:asciiTheme="minorHAnsi" w:eastAsiaTheme="minorEastAsia" w:hAnsiTheme="minorHAnsi" w:cstheme="minorBidi"/>
              </w:rPr>
              <w:t>100%</w:t>
            </w:r>
          </w:p>
        </w:tc>
        <w:tc>
          <w:tcPr>
            <w:tcW w:w="1192"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44A092A5" w14:textId="77777777" w:rsidR="00F8600A" w:rsidRPr="0095425E" w:rsidRDefault="270294E6" w:rsidP="270294E6">
            <w:pPr>
              <w:jc w:val="right"/>
              <w:rPr>
                <w:rFonts w:asciiTheme="minorHAnsi" w:eastAsiaTheme="minorEastAsia" w:hAnsiTheme="minorHAnsi" w:cstheme="minorBidi"/>
              </w:rPr>
            </w:pPr>
            <w:r w:rsidRPr="0095425E">
              <w:rPr>
                <w:rFonts w:asciiTheme="minorHAnsi" w:eastAsiaTheme="minorEastAsia" w:hAnsiTheme="minorHAnsi" w:cstheme="minorBidi"/>
              </w:rPr>
              <w:t>89%</w:t>
            </w:r>
          </w:p>
        </w:tc>
        <w:tc>
          <w:tcPr>
            <w:tcW w:w="1089"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5F269CBB" w14:textId="77777777" w:rsidR="00F8600A" w:rsidRPr="0095425E" w:rsidRDefault="270294E6" w:rsidP="270294E6">
            <w:pPr>
              <w:jc w:val="right"/>
              <w:rPr>
                <w:rFonts w:asciiTheme="minorHAnsi" w:eastAsiaTheme="minorEastAsia" w:hAnsiTheme="minorHAnsi" w:cstheme="minorBidi"/>
              </w:rPr>
            </w:pPr>
            <w:r w:rsidRPr="0095425E">
              <w:rPr>
                <w:rFonts w:asciiTheme="minorHAnsi" w:eastAsiaTheme="minorEastAsia" w:hAnsiTheme="minorHAnsi" w:cstheme="minorBidi"/>
              </w:rPr>
              <w:t>89%</w:t>
            </w:r>
          </w:p>
        </w:tc>
        <w:tc>
          <w:tcPr>
            <w:tcW w:w="1247"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67579523" w14:textId="77777777" w:rsidR="00F8600A" w:rsidRPr="0095425E" w:rsidRDefault="270294E6" w:rsidP="270294E6">
            <w:pPr>
              <w:jc w:val="right"/>
              <w:rPr>
                <w:rFonts w:asciiTheme="minorHAnsi" w:eastAsiaTheme="minorEastAsia" w:hAnsiTheme="minorHAnsi" w:cstheme="minorBidi"/>
              </w:rPr>
            </w:pPr>
            <w:r w:rsidRPr="0095425E">
              <w:rPr>
                <w:rFonts w:asciiTheme="minorHAnsi" w:eastAsiaTheme="minorEastAsia" w:hAnsiTheme="minorHAnsi" w:cstheme="minorBidi"/>
              </w:rPr>
              <w:t>56%</w:t>
            </w:r>
          </w:p>
        </w:tc>
        <w:tc>
          <w:tcPr>
            <w:tcW w:w="1413"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26014C70" w14:textId="77777777" w:rsidR="00F8600A" w:rsidRPr="0095425E" w:rsidRDefault="270294E6" w:rsidP="270294E6">
            <w:pPr>
              <w:jc w:val="right"/>
              <w:rPr>
                <w:rFonts w:asciiTheme="minorHAnsi" w:eastAsiaTheme="minorEastAsia" w:hAnsiTheme="minorHAnsi" w:cstheme="minorBidi"/>
              </w:rPr>
            </w:pPr>
            <w:r w:rsidRPr="0095425E">
              <w:rPr>
                <w:rFonts w:asciiTheme="minorHAnsi" w:eastAsiaTheme="minorEastAsia" w:hAnsiTheme="minorHAnsi" w:cstheme="minorBidi"/>
              </w:rPr>
              <w:t>67%</w:t>
            </w:r>
          </w:p>
        </w:tc>
        <w:tc>
          <w:tcPr>
            <w:tcW w:w="913"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1ADE2DAC" w14:textId="77777777" w:rsidR="00F8600A" w:rsidRPr="0095425E" w:rsidRDefault="270294E6" w:rsidP="270294E6">
            <w:pPr>
              <w:jc w:val="right"/>
              <w:rPr>
                <w:rFonts w:asciiTheme="minorHAnsi" w:eastAsiaTheme="minorEastAsia" w:hAnsiTheme="minorHAnsi" w:cstheme="minorBidi"/>
              </w:rPr>
            </w:pPr>
            <w:r w:rsidRPr="0095425E">
              <w:rPr>
                <w:rFonts w:asciiTheme="minorHAnsi" w:eastAsiaTheme="minorEastAsia" w:hAnsiTheme="minorHAnsi" w:cstheme="minorBidi"/>
              </w:rPr>
              <w:t>78%</w:t>
            </w:r>
          </w:p>
        </w:tc>
        <w:tc>
          <w:tcPr>
            <w:tcW w:w="1350"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588ACFD0" w14:textId="77777777" w:rsidR="00F8600A" w:rsidRPr="0095425E" w:rsidRDefault="270294E6" w:rsidP="270294E6">
            <w:pPr>
              <w:jc w:val="right"/>
              <w:rPr>
                <w:rFonts w:asciiTheme="minorHAnsi" w:eastAsiaTheme="minorEastAsia" w:hAnsiTheme="minorHAnsi" w:cstheme="minorBidi"/>
              </w:rPr>
            </w:pPr>
            <w:r w:rsidRPr="0095425E">
              <w:rPr>
                <w:rFonts w:asciiTheme="minorHAnsi" w:eastAsiaTheme="minorEastAsia" w:hAnsiTheme="minorHAnsi" w:cstheme="minorBidi"/>
              </w:rPr>
              <w:t>89%</w:t>
            </w:r>
          </w:p>
        </w:tc>
        <w:tc>
          <w:tcPr>
            <w:tcW w:w="1126"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60533E78" w14:textId="77777777" w:rsidR="00F8600A" w:rsidRPr="0095425E" w:rsidRDefault="270294E6" w:rsidP="270294E6">
            <w:pPr>
              <w:jc w:val="right"/>
              <w:rPr>
                <w:rFonts w:asciiTheme="minorHAnsi" w:eastAsiaTheme="minorEastAsia" w:hAnsiTheme="minorHAnsi" w:cstheme="minorBidi"/>
              </w:rPr>
            </w:pPr>
            <w:r w:rsidRPr="0095425E">
              <w:rPr>
                <w:rFonts w:asciiTheme="minorHAnsi" w:eastAsiaTheme="minorEastAsia" w:hAnsiTheme="minorHAnsi" w:cstheme="minorBidi"/>
              </w:rPr>
              <w:t>67%</w:t>
            </w:r>
          </w:p>
        </w:tc>
      </w:tr>
    </w:tbl>
    <w:p w14:paraId="17E82E30" w14:textId="69BC34EB" w:rsidR="00F8600A" w:rsidRPr="0095425E" w:rsidRDefault="270294E6" w:rsidP="270294E6">
      <w:pPr>
        <w:rPr>
          <w:rFonts w:asciiTheme="minorHAnsi" w:eastAsiaTheme="minorEastAsia" w:hAnsiTheme="minorHAnsi" w:cstheme="minorBidi"/>
          <w:i/>
          <w:iCs/>
          <w:sz w:val="18"/>
          <w:szCs w:val="18"/>
        </w:rPr>
      </w:pPr>
      <w:r w:rsidRPr="0095425E">
        <w:rPr>
          <w:rFonts w:asciiTheme="minorHAnsi" w:eastAsiaTheme="minorEastAsia" w:hAnsiTheme="minorHAnsi" w:cstheme="minorBidi"/>
          <w:b/>
          <w:bCs/>
          <w:i/>
          <w:iCs/>
          <w:sz w:val="18"/>
          <w:szCs w:val="18"/>
        </w:rPr>
        <w:t>Table 9</w:t>
      </w:r>
      <w:r w:rsidRPr="0095425E">
        <w:rPr>
          <w:rFonts w:asciiTheme="minorHAnsi" w:eastAsiaTheme="minorEastAsia" w:hAnsiTheme="minorHAnsi" w:cstheme="minorBidi"/>
          <w:i/>
          <w:iCs/>
          <w:sz w:val="18"/>
          <w:szCs w:val="18"/>
        </w:rPr>
        <w:t xml:space="preserve">. 2018 – 2019 Youth Mentorship Program interim assessment outcomes identifying the percentage of participants meeting target outcomes at three months of participation in the program. A minimum rating of 3/5 was used to indicate success, due to the accompanying measurement scale which defines the number 3 as “Learning with Supports”. </w:t>
      </w:r>
    </w:p>
    <w:p w14:paraId="2DE5EC63" w14:textId="0F69186E" w:rsidR="00937AFA" w:rsidRPr="0095425E" w:rsidRDefault="00041BEB" w:rsidP="003E7921">
      <w:pPr>
        <w:spacing w:before="0" w:after="240" w:line="240" w:lineRule="auto"/>
        <w:rPr>
          <w:rFonts w:asciiTheme="minorHAnsi" w:eastAsiaTheme="minorEastAsia" w:hAnsiTheme="minorHAnsi" w:cstheme="minorBidi"/>
        </w:rPr>
      </w:pPr>
      <w:r>
        <w:rPr>
          <w:rFonts w:asciiTheme="minorHAnsi" w:eastAsiaTheme="minorEastAsia" w:hAnsiTheme="minorHAnsi" w:cstheme="minorBidi"/>
        </w:rPr>
        <w:t>The</w:t>
      </w:r>
      <w:r w:rsidR="270294E6" w:rsidRPr="0095425E">
        <w:rPr>
          <w:rFonts w:asciiTheme="minorHAnsi" w:eastAsiaTheme="minorEastAsia" w:hAnsiTheme="minorHAnsi" w:cstheme="minorBidi"/>
        </w:rPr>
        <w:t xml:space="preserve"> program outcomes data is illustrated including the specific outcomes pertaining to each domain of wellness measurement, as demonstrated in the above tables, it is revealed that a majority of the youth participating in the Youth Mentorship Program from 2017-2019 are achieving target outcomes in all eight categories of wellness measurement at both the interim and exit assessments. These findings are significant and serve to further underscore the important role the Youth Mentorship Program plays in improving</w:t>
      </w:r>
      <w:r w:rsidR="003903A2">
        <w:rPr>
          <w:rFonts w:asciiTheme="minorHAnsi" w:eastAsiaTheme="minorEastAsia" w:hAnsiTheme="minorHAnsi" w:cstheme="minorBidi"/>
        </w:rPr>
        <w:t xml:space="preserve"> overall</w:t>
      </w:r>
      <w:r w:rsidR="270294E6" w:rsidRPr="0095425E">
        <w:rPr>
          <w:rFonts w:asciiTheme="minorHAnsi" w:eastAsiaTheme="minorEastAsia" w:hAnsiTheme="minorHAnsi" w:cstheme="minorBidi"/>
        </w:rPr>
        <w:t xml:space="preserve"> wellness measured in such a comprehensive manner. This enhancement</w:t>
      </w:r>
      <w:r w:rsidR="003903A2">
        <w:rPr>
          <w:rFonts w:asciiTheme="minorHAnsi" w:eastAsiaTheme="minorEastAsia" w:hAnsiTheme="minorHAnsi" w:cstheme="minorBidi"/>
        </w:rPr>
        <w:t xml:space="preserve"> </w:t>
      </w:r>
      <w:r w:rsidR="006B5B89">
        <w:rPr>
          <w:rFonts w:asciiTheme="minorHAnsi" w:eastAsiaTheme="minorEastAsia" w:hAnsiTheme="minorHAnsi" w:cstheme="minorBidi"/>
        </w:rPr>
        <w:t xml:space="preserve">in wellness </w:t>
      </w:r>
      <w:r w:rsidR="003903A2">
        <w:rPr>
          <w:rFonts w:asciiTheme="minorHAnsi" w:eastAsiaTheme="minorEastAsia" w:hAnsiTheme="minorHAnsi" w:cstheme="minorBidi"/>
        </w:rPr>
        <w:t>measured in</w:t>
      </w:r>
      <w:r w:rsidR="270294E6" w:rsidRPr="0095425E">
        <w:rPr>
          <w:rFonts w:asciiTheme="minorHAnsi" w:eastAsiaTheme="minorEastAsia" w:hAnsiTheme="minorHAnsi" w:cstheme="minorBidi"/>
        </w:rPr>
        <w:t xml:space="preserve"> </w:t>
      </w:r>
      <w:r w:rsidR="003903A2">
        <w:rPr>
          <w:rFonts w:asciiTheme="minorHAnsi" w:eastAsiaTheme="minorEastAsia" w:hAnsiTheme="minorHAnsi" w:cstheme="minorBidi"/>
        </w:rPr>
        <w:t xml:space="preserve">all </w:t>
      </w:r>
      <w:r w:rsidR="270294E6" w:rsidRPr="0095425E">
        <w:rPr>
          <w:rFonts w:asciiTheme="minorHAnsi" w:eastAsiaTheme="minorEastAsia" w:hAnsiTheme="minorHAnsi" w:cstheme="minorBidi"/>
        </w:rPr>
        <w:t xml:space="preserve">eight </w:t>
      </w:r>
      <w:r w:rsidR="003903A2">
        <w:rPr>
          <w:rFonts w:asciiTheme="minorHAnsi" w:eastAsiaTheme="minorEastAsia" w:hAnsiTheme="minorHAnsi" w:cstheme="minorBidi"/>
        </w:rPr>
        <w:t>domains</w:t>
      </w:r>
      <w:r w:rsidR="270294E6" w:rsidRPr="0095425E">
        <w:rPr>
          <w:rFonts w:asciiTheme="minorHAnsi" w:eastAsiaTheme="minorEastAsia" w:hAnsiTheme="minorHAnsi" w:cstheme="minorBidi"/>
        </w:rPr>
        <w:t xml:space="preserve"> achieved through participation in the program subsequently works to protect against potential recidivism and to lay </w:t>
      </w:r>
      <w:r w:rsidR="003903A2">
        <w:rPr>
          <w:rFonts w:asciiTheme="minorHAnsi" w:eastAsiaTheme="minorEastAsia" w:hAnsiTheme="minorHAnsi" w:cstheme="minorBidi"/>
        </w:rPr>
        <w:t>a strong</w:t>
      </w:r>
      <w:r w:rsidR="270294E6" w:rsidRPr="0095425E">
        <w:rPr>
          <w:rFonts w:asciiTheme="minorHAnsi" w:eastAsiaTheme="minorEastAsia" w:hAnsiTheme="minorHAnsi" w:cstheme="minorBidi"/>
        </w:rPr>
        <w:t xml:space="preserve"> foundation for more successful reintegration outcomes for youth participants overall. </w:t>
      </w:r>
    </w:p>
    <w:p w14:paraId="68AA6F53" w14:textId="65E4B8FA" w:rsidR="00C31740" w:rsidRPr="0095425E" w:rsidRDefault="270294E6" w:rsidP="270294E6">
      <w:pPr>
        <w:pStyle w:val="Title"/>
        <w:rPr>
          <w:rFonts w:asciiTheme="minorHAnsi" w:eastAsiaTheme="minorEastAsia" w:hAnsiTheme="minorHAnsi" w:cstheme="minorBidi"/>
          <w:color w:val="70AD47" w:themeColor="accent6"/>
          <w:sz w:val="44"/>
          <w:szCs w:val="44"/>
        </w:rPr>
      </w:pPr>
      <w:r w:rsidRPr="0095425E">
        <w:rPr>
          <w:rFonts w:asciiTheme="minorHAnsi" w:eastAsiaTheme="minorEastAsia" w:hAnsiTheme="minorHAnsi" w:cstheme="minorBidi"/>
          <w:color w:val="70AD47" w:themeColor="accent6"/>
          <w:sz w:val="44"/>
          <w:szCs w:val="44"/>
        </w:rPr>
        <w:t>Group Programming</w:t>
      </w:r>
    </w:p>
    <w:p w14:paraId="6A0BAC57" w14:textId="662FBDFF" w:rsidR="270294E6" w:rsidRDefault="270294E6" w:rsidP="270294E6">
      <w:pPr>
        <w:rPr>
          <w:rFonts w:asciiTheme="minorHAnsi" w:eastAsiaTheme="minorEastAsia" w:hAnsiTheme="minorHAnsi" w:cstheme="minorBidi"/>
          <w:b/>
          <w:bCs/>
        </w:rPr>
      </w:pPr>
      <w:r w:rsidRPr="270294E6">
        <w:rPr>
          <w:rFonts w:asciiTheme="minorHAnsi" w:eastAsiaTheme="minorEastAsia" w:hAnsiTheme="minorHAnsi" w:cstheme="minorBidi"/>
          <w:b/>
          <w:bCs/>
        </w:rPr>
        <w:t>Q: What are the outcomes of the Group Programming offered at EFry?</w:t>
      </w:r>
    </w:p>
    <w:p w14:paraId="1F55FF64" w14:textId="5EE23062" w:rsidR="003903A2" w:rsidRDefault="270294E6" w:rsidP="00EA62D8">
      <w:pPr>
        <w:rPr>
          <w:rFonts w:asciiTheme="minorHAnsi" w:eastAsiaTheme="minorEastAsia" w:hAnsiTheme="minorHAnsi" w:cstheme="minorBidi"/>
        </w:rPr>
      </w:pPr>
      <w:r w:rsidRPr="0095425E">
        <w:rPr>
          <w:rFonts w:asciiTheme="minorHAnsi" w:eastAsiaTheme="minorEastAsia" w:hAnsiTheme="minorHAnsi" w:cstheme="minorBidi"/>
        </w:rPr>
        <w:t xml:space="preserve">EFry provides a number of group programs that focus on promoting healing and wellness for women and youth. These programs are offered both in the community and within provincial institutions. For EFry, Indigenous culture is at the core of how we operate as an organization. Elders and Knowledge Keepers provide valuable guidance and contributions to our organization’s work with women and youth on their healing path. This includes individualized supports, talking and healing circles, ceremonies and gender-based teachings. We also provide Indigenous cultural programing such as beading, and drumming sessions on a weekly basis at the EFry office for community members and also at the Calgary Young Offender Centre (CYOC) and the Calgary Remand </w:t>
      </w:r>
      <w:r w:rsidR="00EA62D8">
        <w:rPr>
          <w:rFonts w:asciiTheme="minorHAnsi" w:eastAsiaTheme="minorEastAsia" w:hAnsiTheme="minorHAnsi" w:cstheme="minorBidi"/>
        </w:rPr>
        <w:t xml:space="preserve">- </w:t>
      </w:r>
      <w:r w:rsidRPr="0095425E">
        <w:rPr>
          <w:rFonts w:asciiTheme="minorHAnsi" w:eastAsiaTheme="minorEastAsia" w:hAnsiTheme="minorHAnsi" w:cstheme="minorBidi"/>
        </w:rPr>
        <w:t xml:space="preserve">Women’s Annex for incarcerated youth and women. In 2019, we saw altogether 1732 non-unique clients participate in these programs. The below table shows the participation numbers for each group program offered during </w:t>
      </w:r>
      <w:r w:rsidR="003903A2">
        <w:rPr>
          <w:rFonts w:asciiTheme="minorHAnsi" w:eastAsiaTheme="minorEastAsia" w:hAnsiTheme="minorHAnsi" w:cstheme="minorBidi"/>
        </w:rPr>
        <w:t>2019.</w:t>
      </w:r>
    </w:p>
    <w:p w14:paraId="4F304347" w14:textId="0991D5E9" w:rsidR="00EA62D8" w:rsidRDefault="00EA62D8" w:rsidP="00EA62D8">
      <w:pPr>
        <w:rPr>
          <w:rFonts w:asciiTheme="minorHAnsi" w:eastAsiaTheme="minorEastAsia" w:hAnsiTheme="minorHAnsi" w:cstheme="minorBidi"/>
        </w:rPr>
      </w:pPr>
    </w:p>
    <w:p w14:paraId="3AC7FA53" w14:textId="77777777" w:rsidR="00EA62D8" w:rsidRDefault="00EA62D8" w:rsidP="00EA62D8">
      <w:pPr>
        <w:rPr>
          <w:rFonts w:asciiTheme="minorHAnsi" w:eastAsiaTheme="minorEastAsia" w:hAnsiTheme="minorHAnsi" w:cstheme="minorBidi"/>
        </w:rPr>
      </w:pPr>
    </w:p>
    <w:tbl>
      <w:tblPr>
        <w:tblStyle w:val="TableGrid"/>
        <w:tblW w:w="8939" w:type="dxa"/>
        <w:tblLayout w:type="fixed"/>
        <w:tblLook w:val="06A0" w:firstRow="1" w:lastRow="0" w:firstColumn="1" w:lastColumn="0" w:noHBand="1" w:noVBand="1"/>
      </w:tblPr>
      <w:tblGrid>
        <w:gridCol w:w="4469"/>
        <w:gridCol w:w="4470"/>
      </w:tblGrid>
      <w:tr w:rsidR="270294E6" w14:paraId="2C19D0E3" w14:textId="77777777" w:rsidTr="006B5B89">
        <w:trPr>
          <w:trHeight w:val="388"/>
        </w:trPr>
        <w:tc>
          <w:tcPr>
            <w:tcW w:w="8939" w:type="dxa"/>
            <w:gridSpan w:val="2"/>
            <w:shd w:val="clear" w:color="auto" w:fill="A8D08D" w:themeFill="accent6" w:themeFillTint="99"/>
          </w:tcPr>
          <w:p w14:paraId="0364AAF9" w14:textId="326B5894" w:rsidR="270294E6" w:rsidRPr="006B5B89" w:rsidRDefault="270294E6" w:rsidP="270294E6">
            <w:pPr>
              <w:spacing w:before="120" w:after="200" w:line="264" w:lineRule="auto"/>
              <w:jc w:val="center"/>
              <w:rPr>
                <w:rFonts w:eastAsiaTheme="minorEastAsia"/>
                <w:lang w:val="en-US"/>
              </w:rPr>
            </w:pPr>
            <w:r w:rsidRPr="006B5B89">
              <w:rPr>
                <w:rFonts w:eastAsiaTheme="minorEastAsia"/>
                <w:b/>
                <w:bCs/>
              </w:rPr>
              <w:lastRenderedPageBreak/>
              <w:t>2019 Group Programming Participation</w:t>
            </w:r>
          </w:p>
        </w:tc>
      </w:tr>
      <w:tr w:rsidR="270294E6" w14:paraId="1076437B" w14:textId="77777777" w:rsidTr="006B5B89">
        <w:trPr>
          <w:trHeight w:val="600"/>
        </w:trPr>
        <w:tc>
          <w:tcPr>
            <w:tcW w:w="4469" w:type="dxa"/>
            <w:shd w:val="clear" w:color="auto" w:fill="E2EFD9" w:themeFill="accent6" w:themeFillTint="33"/>
          </w:tcPr>
          <w:p w14:paraId="0BEB83A8" w14:textId="1544FC5C" w:rsidR="270294E6" w:rsidRPr="006B5B89" w:rsidRDefault="270294E6" w:rsidP="270294E6">
            <w:pPr>
              <w:jc w:val="center"/>
              <w:rPr>
                <w:rFonts w:eastAsiaTheme="minorEastAsia"/>
                <w:b/>
                <w:bCs/>
                <w:i/>
                <w:iCs/>
              </w:rPr>
            </w:pPr>
            <w:r w:rsidRPr="006B5B89">
              <w:rPr>
                <w:rFonts w:eastAsiaTheme="minorEastAsia"/>
                <w:b/>
                <w:bCs/>
                <w:i/>
                <w:iCs/>
              </w:rPr>
              <w:t>Program Name</w:t>
            </w:r>
          </w:p>
        </w:tc>
        <w:tc>
          <w:tcPr>
            <w:tcW w:w="4470" w:type="dxa"/>
            <w:shd w:val="clear" w:color="auto" w:fill="E2EFD9" w:themeFill="accent6" w:themeFillTint="33"/>
          </w:tcPr>
          <w:p w14:paraId="4867E017" w14:textId="223758FA" w:rsidR="270294E6" w:rsidRPr="006B5B89" w:rsidRDefault="270294E6" w:rsidP="270294E6">
            <w:pPr>
              <w:jc w:val="center"/>
              <w:rPr>
                <w:rFonts w:eastAsiaTheme="minorEastAsia"/>
                <w:b/>
                <w:bCs/>
                <w:i/>
                <w:iCs/>
              </w:rPr>
            </w:pPr>
            <w:r w:rsidRPr="006B5B89">
              <w:rPr>
                <w:rFonts w:eastAsiaTheme="minorEastAsia"/>
                <w:b/>
                <w:bCs/>
                <w:i/>
                <w:iCs/>
              </w:rPr>
              <w:t>Total Number of Non-Unique Clients in Each Program</w:t>
            </w:r>
          </w:p>
        </w:tc>
      </w:tr>
      <w:tr w:rsidR="270294E6" w14:paraId="52FD37BB" w14:textId="77777777" w:rsidTr="006B5B89">
        <w:trPr>
          <w:trHeight w:val="296"/>
        </w:trPr>
        <w:tc>
          <w:tcPr>
            <w:tcW w:w="4469" w:type="dxa"/>
          </w:tcPr>
          <w:p w14:paraId="22472C26" w14:textId="6E6855CD" w:rsidR="270294E6" w:rsidRPr="006B5B89" w:rsidRDefault="270294E6" w:rsidP="270294E6">
            <w:pPr>
              <w:spacing w:before="120" w:after="200"/>
              <w:jc w:val="center"/>
              <w:rPr>
                <w:rFonts w:eastAsiaTheme="minorEastAsia"/>
                <w:sz w:val="20"/>
                <w:szCs w:val="20"/>
              </w:rPr>
            </w:pPr>
            <w:r w:rsidRPr="006B5B89">
              <w:rPr>
                <w:rFonts w:eastAsiaTheme="minorEastAsia"/>
                <w:b/>
                <w:bCs/>
                <w:sz w:val="20"/>
                <w:szCs w:val="20"/>
              </w:rPr>
              <w:t>Beading &amp; Beginner Beading</w:t>
            </w:r>
            <w:r w:rsidRPr="006B5B89">
              <w:rPr>
                <w:rFonts w:eastAsiaTheme="minorEastAsia"/>
                <w:sz w:val="20"/>
                <w:szCs w:val="20"/>
              </w:rPr>
              <w:t xml:space="preserve"> (Community &amp; CYOC)</w:t>
            </w:r>
          </w:p>
        </w:tc>
        <w:tc>
          <w:tcPr>
            <w:tcW w:w="4470" w:type="dxa"/>
          </w:tcPr>
          <w:p w14:paraId="69B54A24" w14:textId="7846D959" w:rsidR="270294E6" w:rsidRPr="006B5B89" w:rsidRDefault="270294E6" w:rsidP="270294E6">
            <w:pPr>
              <w:spacing w:before="120" w:after="200" w:line="264" w:lineRule="auto"/>
              <w:jc w:val="center"/>
              <w:rPr>
                <w:rFonts w:eastAsiaTheme="minorEastAsia"/>
                <w:sz w:val="20"/>
                <w:szCs w:val="20"/>
              </w:rPr>
            </w:pPr>
            <w:r w:rsidRPr="006B5B89">
              <w:rPr>
                <w:rFonts w:eastAsiaTheme="minorEastAsia"/>
                <w:sz w:val="20"/>
                <w:szCs w:val="20"/>
              </w:rPr>
              <w:t>401</w:t>
            </w:r>
          </w:p>
        </w:tc>
      </w:tr>
      <w:tr w:rsidR="270294E6" w14:paraId="1E7AFF34" w14:textId="77777777" w:rsidTr="006B5B89">
        <w:trPr>
          <w:trHeight w:val="174"/>
        </w:trPr>
        <w:tc>
          <w:tcPr>
            <w:tcW w:w="4469" w:type="dxa"/>
          </w:tcPr>
          <w:p w14:paraId="6C098933" w14:textId="6BA05CAC" w:rsidR="270294E6" w:rsidRPr="006B5B89" w:rsidRDefault="270294E6" w:rsidP="270294E6">
            <w:pPr>
              <w:spacing w:before="120" w:after="200" w:line="264" w:lineRule="auto"/>
              <w:jc w:val="center"/>
              <w:rPr>
                <w:rFonts w:eastAsiaTheme="minorEastAsia"/>
                <w:b/>
                <w:bCs/>
                <w:sz w:val="20"/>
                <w:szCs w:val="20"/>
                <w:lang w:val="en-US"/>
              </w:rPr>
            </w:pPr>
            <w:r w:rsidRPr="006B5B89">
              <w:rPr>
                <w:rFonts w:eastAsiaTheme="minorEastAsia"/>
                <w:b/>
                <w:bCs/>
                <w:sz w:val="20"/>
                <w:szCs w:val="20"/>
              </w:rPr>
              <w:t>Drumming</w:t>
            </w:r>
          </w:p>
        </w:tc>
        <w:tc>
          <w:tcPr>
            <w:tcW w:w="4470" w:type="dxa"/>
          </w:tcPr>
          <w:p w14:paraId="464A8BE8" w14:textId="08A2608F" w:rsidR="270294E6" w:rsidRPr="006B5B89" w:rsidRDefault="270294E6" w:rsidP="270294E6">
            <w:pPr>
              <w:jc w:val="center"/>
              <w:rPr>
                <w:rFonts w:eastAsiaTheme="minorEastAsia"/>
                <w:sz w:val="20"/>
                <w:szCs w:val="20"/>
              </w:rPr>
            </w:pPr>
            <w:r w:rsidRPr="006B5B89">
              <w:rPr>
                <w:rFonts w:eastAsiaTheme="minorEastAsia"/>
                <w:sz w:val="20"/>
                <w:szCs w:val="20"/>
              </w:rPr>
              <w:t>192</w:t>
            </w:r>
          </w:p>
        </w:tc>
      </w:tr>
      <w:tr w:rsidR="270294E6" w14:paraId="2D39451C" w14:textId="77777777" w:rsidTr="006B5B89">
        <w:trPr>
          <w:trHeight w:val="197"/>
        </w:trPr>
        <w:tc>
          <w:tcPr>
            <w:tcW w:w="4469" w:type="dxa"/>
          </w:tcPr>
          <w:p w14:paraId="18E4CDC4" w14:textId="1B549F84" w:rsidR="270294E6" w:rsidRPr="006B5B89" w:rsidRDefault="270294E6" w:rsidP="270294E6">
            <w:pPr>
              <w:spacing w:before="120" w:after="200" w:line="264" w:lineRule="auto"/>
              <w:jc w:val="center"/>
              <w:rPr>
                <w:rFonts w:eastAsiaTheme="minorEastAsia"/>
                <w:sz w:val="20"/>
                <w:szCs w:val="20"/>
              </w:rPr>
            </w:pPr>
            <w:r w:rsidRPr="006B5B89">
              <w:rPr>
                <w:rFonts w:eastAsiaTheme="minorEastAsia"/>
                <w:b/>
                <w:bCs/>
                <w:sz w:val="20"/>
                <w:szCs w:val="20"/>
              </w:rPr>
              <w:t>Taking Circle</w:t>
            </w:r>
            <w:r w:rsidRPr="006B5B89">
              <w:rPr>
                <w:rFonts w:eastAsiaTheme="minorEastAsia"/>
                <w:sz w:val="20"/>
                <w:szCs w:val="20"/>
              </w:rPr>
              <w:t xml:space="preserve"> (Community and CRC)</w:t>
            </w:r>
          </w:p>
        </w:tc>
        <w:tc>
          <w:tcPr>
            <w:tcW w:w="4470" w:type="dxa"/>
          </w:tcPr>
          <w:p w14:paraId="752D4CBE" w14:textId="3BE3C200" w:rsidR="270294E6" w:rsidRPr="006B5B89" w:rsidRDefault="270294E6" w:rsidP="270294E6">
            <w:pPr>
              <w:spacing w:before="120" w:after="200" w:line="264" w:lineRule="auto"/>
              <w:jc w:val="center"/>
              <w:rPr>
                <w:rFonts w:eastAsiaTheme="minorEastAsia"/>
                <w:sz w:val="20"/>
                <w:szCs w:val="20"/>
                <w:lang w:val="en-US"/>
              </w:rPr>
            </w:pPr>
            <w:r w:rsidRPr="006B5B89">
              <w:rPr>
                <w:rFonts w:eastAsiaTheme="minorEastAsia"/>
                <w:sz w:val="20"/>
                <w:szCs w:val="20"/>
              </w:rPr>
              <w:t>127</w:t>
            </w:r>
          </w:p>
        </w:tc>
      </w:tr>
      <w:tr w:rsidR="270294E6" w14:paraId="1903CA9B" w14:textId="77777777" w:rsidTr="006B5B89">
        <w:trPr>
          <w:trHeight w:val="120"/>
        </w:trPr>
        <w:tc>
          <w:tcPr>
            <w:tcW w:w="4469" w:type="dxa"/>
          </w:tcPr>
          <w:p w14:paraId="42F186DB" w14:textId="4A95205C" w:rsidR="270294E6" w:rsidRPr="006B5B89" w:rsidRDefault="270294E6" w:rsidP="270294E6">
            <w:pPr>
              <w:spacing w:before="120" w:after="200" w:line="264" w:lineRule="auto"/>
              <w:jc w:val="center"/>
              <w:rPr>
                <w:rFonts w:eastAsiaTheme="minorEastAsia"/>
                <w:b/>
                <w:bCs/>
                <w:sz w:val="20"/>
                <w:szCs w:val="20"/>
                <w:lang w:val="en-US"/>
              </w:rPr>
            </w:pPr>
            <w:r w:rsidRPr="006B5B89">
              <w:rPr>
                <w:rFonts w:eastAsiaTheme="minorEastAsia"/>
                <w:b/>
                <w:bCs/>
                <w:sz w:val="20"/>
                <w:szCs w:val="20"/>
              </w:rPr>
              <w:t>Sweat</w:t>
            </w:r>
          </w:p>
        </w:tc>
        <w:tc>
          <w:tcPr>
            <w:tcW w:w="4470" w:type="dxa"/>
          </w:tcPr>
          <w:p w14:paraId="63A68FE5" w14:textId="60011600" w:rsidR="270294E6" w:rsidRPr="006B5B89" w:rsidRDefault="270294E6" w:rsidP="270294E6">
            <w:pPr>
              <w:jc w:val="center"/>
              <w:rPr>
                <w:rFonts w:eastAsiaTheme="minorEastAsia"/>
                <w:sz w:val="20"/>
                <w:szCs w:val="20"/>
              </w:rPr>
            </w:pPr>
            <w:r w:rsidRPr="006B5B89">
              <w:rPr>
                <w:rFonts w:eastAsiaTheme="minorEastAsia"/>
                <w:sz w:val="20"/>
                <w:szCs w:val="20"/>
              </w:rPr>
              <w:t>31</w:t>
            </w:r>
          </w:p>
        </w:tc>
      </w:tr>
      <w:tr w:rsidR="270294E6" w14:paraId="1D0F8761" w14:textId="77777777" w:rsidTr="006B5B89">
        <w:trPr>
          <w:trHeight w:val="308"/>
        </w:trPr>
        <w:tc>
          <w:tcPr>
            <w:tcW w:w="4469" w:type="dxa"/>
          </w:tcPr>
          <w:p w14:paraId="4CB13695" w14:textId="2A622904" w:rsidR="270294E6" w:rsidRPr="006B5B89" w:rsidRDefault="270294E6" w:rsidP="270294E6">
            <w:pPr>
              <w:jc w:val="center"/>
              <w:rPr>
                <w:rFonts w:eastAsiaTheme="minorEastAsia"/>
                <w:sz w:val="20"/>
                <w:szCs w:val="20"/>
              </w:rPr>
            </w:pPr>
            <w:r w:rsidRPr="006B5B89">
              <w:rPr>
                <w:rFonts w:eastAsiaTheme="minorEastAsia"/>
                <w:b/>
                <w:bCs/>
                <w:sz w:val="20"/>
                <w:szCs w:val="20"/>
              </w:rPr>
              <w:t>Blackfoot Language</w:t>
            </w:r>
            <w:r w:rsidRPr="006B5B89">
              <w:rPr>
                <w:rFonts w:eastAsiaTheme="minorEastAsia"/>
                <w:sz w:val="20"/>
                <w:szCs w:val="20"/>
              </w:rPr>
              <w:t xml:space="preserve"> (Community, CYOC &amp; CRC)</w:t>
            </w:r>
          </w:p>
        </w:tc>
        <w:tc>
          <w:tcPr>
            <w:tcW w:w="4470" w:type="dxa"/>
          </w:tcPr>
          <w:p w14:paraId="6820DF16" w14:textId="1AAC2A3B" w:rsidR="270294E6" w:rsidRPr="006B5B89" w:rsidRDefault="270294E6" w:rsidP="270294E6">
            <w:pPr>
              <w:jc w:val="center"/>
              <w:rPr>
                <w:rFonts w:eastAsiaTheme="minorEastAsia"/>
                <w:sz w:val="20"/>
                <w:szCs w:val="20"/>
              </w:rPr>
            </w:pPr>
            <w:r w:rsidRPr="006B5B89">
              <w:rPr>
                <w:rFonts w:eastAsiaTheme="minorEastAsia"/>
                <w:sz w:val="20"/>
                <w:szCs w:val="20"/>
              </w:rPr>
              <w:t>487</w:t>
            </w:r>
          </w:p>
        </w:tc>
      </w:tr>
      <w:tr w:rsidR="270294E6" w14:paraId="6EFF2142" w14:textId="77777777" w:rsidTr="006B5B89">
        <w:trPr>
          <w:trHeight w:val="60"/>
        </w:trPr>
        <w:tc>
          <w:tcPr>
            <w:tcW w:w="4469" w:type="dxa"/>
          </w:tcPr>
          <w:p w14:paraId="340DB28F" w14:textId="29782015" w:rsidR="270294E6" w:rsidRPr="006B5B89" w:rsidRDefault="270294E6" w:rsidP="270294E6">
            <w:pPr>
              <w:spacing w:before="120" w:after="200" w:line="264" w:lineRule="auto"/>
              <w:jc w:val="center"/>
              <w:rPr>
                <w:rFonts w:eastAsiaTheme="minorEastAsia"/>
                <w:b/>
                <w:bCs/>
                <w:sz w:val="20"/>
                <w:szCs w:val="20"/>
              </w:rPr>
            </w:pPr>
            <w:r w:rsidRPr="006B5B89">
              <w:rPr>
                <w:rFonts w:eastAsiaTheme="minorEastAsia"/>
                <w:b/>
                <w:bCs/>
                <w:sz w:val="20"/>
                <w:szCs w:val="20"/>
              </w:rPr>
              <w:t xml:space="preserve">UNLOCK </w:t>
            </w:r>
            <w:r w:rsidRPr="006B5B89">
              <w:rPr>
                <w:rFonts w:eastAsiaTheme="minorEastAsia"/>
                <w:sz w:val="20"/>
                <w:szCs w:val="20"/>
              </w:rPr>
              <w:t>(Community &amp; CRC)</w:t>
            </w:r>
          </w:p>
        </w:tc>
        <w:tc>
          <w:tcPr>
            <w:tcW w:w="4470" w:type="dxa"/>
          </w:tcPr>
          <w:p w14:paraId="5EC68028" w14:textId="0D8B370A" w:rsidR="270294E6" w:rsidRPr="006B5B89" w:rsidRDefault="270294E6" w:rsidP="270294E6">
            <w:pPr>
              <w:jc w:val="center"/>
              <w:rPr>
                <w:rFonts w:eastAsiaTheme="minorEastAsia"/>
                <w:sz w:val="20"/>
                <w:szCs w:val="20"/>
              </w:rPr>
            </w:pPr>
            <w:r w:rsidRPr="006B5B89">
              <w:rPr>
                <w:rFonts w:eastAsiaTheme="minorEastAsia"/>
                <w:sz w:val="20"/>
                <w:szCs w:val="20"/>
              </w:rPr>
              <w:t>155</w:t>
            </w:r>
          </w:p>
        </w:tc>
      </w:tr>
      <w:tr w:rsidR="270294E6" w14:paraId="1D8F60AB" w14:textId="77777777" w:rsidTr="006B5B89">
        <w:trPr>
          <w:trHeight w:val="284"/>
        </w:trPr>
        <w:tc>
          <w:tcPr>
            <w:tcW w:w="4469" w:type="dxa"/>
          </w:tcPr>
          <w:p w14:paraId="57EF54B3" w14:textId="31F14815" w:rsidR="270294E6" w:rsidRPr="006B5B89" w:rsidRDefault="270294E6" w:rsidP="270294E6">
            <w:pPr>
              <w:spacing w:before="120" w:after="200" w:line="264" w:lineRule="auto"/>
              <w:jc w:val="center"/>
              <w:rPr>
                <w:rFonts w:eastAsiaTheme="minorEastAsia"/>
                <w:b/>
                <w:bCs/>
                <w:sz w:val="20"/>
                <w:szCs w:val="20"/>
              </w:rPr>
            </w:pPr>
            <w:r w:rsidRPr="006B5B89">
              <w:rPr>
                <w:rFonts w:eastAsiaTheme="minorEastAsia"/>
                <w:b/>
                <w:bCs/>
                <w:sz w:val="20"/>
                <w:szCs w:val="20"/>
              </w:rPr>
              <w:t>Institution Events</w:t>
            </w:r>
          </w:p>
        </w:tc>
        <w:tc>
          <w:tcPr>
            <w:tcW w:w="4470" w:type="dxa"/>
          </w:tcPr>
          <w:p w14:paraId="6C869004" w14:textId="6C269841" w:rsidR="270294E6" w:rsidRPr="006B5B89" w:rsidRDefault="270294E6" w:rsidP="270294E6">
            <w:pPr>
              <w:jc w:val="center"/>
              <w:rPr>
                <w:rFonts w:eastAsiaTheme="minorEastAsia"/>
                <w:sz w:val="20"/>
                <w:szCs w:val="20"/>
              </w:rPr>
            </w:pPr>
            <w:r w:rsidRPr="006B5B89">
              <w:rPr>
                <w:rFonts w:eastAsiaTheme="minorEastAsia"/>
                <w:sz w:val="20"/>
                <w:szCs w:val="20"/>
              </w:rPr>
              <w:t>297</w:t>
            </w:r>
          </w:p>
        </w:tc>
      </w:tr>
      <w:tr w:rsidR="270294E6" w14:paraId="1E1E0948" w14:textId="77777777" w:rsidTr="006B5B89">
        <w:trPr>
          <w:trHeight w:val="237"/>
        </w:trPr>
        <w:tc>
          <w:tcPr>
            <w:tcW w:w="4469" w:type="dxa"/>
          </w:tcPr>
          <w:p w14:paraId="48235B77" w14:textId="7C0F1C5F" w:rsidR="270294E6" w:rsidRPr="006B5B89" w:rsidRDefault="270294E6" w:rsidP="270294E6">
            <w:pPr>
              <w:spacing w:before="120" w:after="200" w:line="264" w:lineRule="auto"/>
              <w:jc w:val="center"/>
              <w:rPr>
                <w:rFonts w:eastAsiaTheme="minorEastAsia"/>
                <w:b/>
                <w:bCs/>
                <w:sz w:val="20"/>
                <w:szCs w:val="20"/>
              </w:rPr>
            </w:pPr>
            <w:r w:rsidRPr="006B5B89">
              <w:rPr>
                <w:rFonts w:eastAsiaTheme="minorEastAsia"/>
                <w:b/>
                <w:bCs/>
                <w:sz w:val="20"/>
                <w:szCs w:val="20"/>
              </w:rPr>
              <w:t>Language Camp</w:t>
            </w:r>
          </w:p>
        </w:tc>
        <w:tc>
          <w:tcPr>
            <w:tcW w:w="4470" w:type="dxa"/>
          </w:tcPr>
          <w:p w14:paraId="4C8F185D" w14:textId="4E1E87C9" w:rsidR="270294E6" w:rsidRPr="006B5B89" w:rsidRDefault="270294E6" w:rsidP="270294E6">
            <w:pPr>
              <w:jc w:val="center"/>
              <w:rPr>
                <w:rFonts w:eastAsiaTheme="minorEastAsia"/>
                <w:sz w:val="20"/>
                <w:szCs w:val="20"/>
              </w:rPr>
            </w:pPr>
            <w:r w:rsidRPr="006B5B89">
              <w:rPr>
                <w:rFonts w:eastAsiaTheme="minorEastAsia"/>
                <w:sz w:val="20"/>
                <w:szCs w:val="20"/>
              </w:rPr>
              <w:t>16</w:t>
            </w:r>
          </w:p>
        </w:tc>
      </w:tr>
      <w:tr w:rsidR="270294E6" w14:paraId="3EE5EC42" w14:textId="77777777" w:rsidTr="006B5B89">
        <w:trPr>
          <w:trHeight w:val="60"/>
        </w:trPr>
        <w:tc>
          <w:tcPr>
            <w:tcW w:w="4469" w:type="dxa"/>
          </w:tcPr>
          <w:p w14:paraId="26637DA8" w14:textId="07B77853" w:rsidR="270294E6" w:rsidRPr="006B5B89" w:rsidRDefault="00E10A92" w:rsidP="270294E6">
            <w:pPr>
              <w:spacing w:line="264" w:lineRule="auto"/>
              <w:jc w:val="center"/>
              <w:rPr>
                <w:rFonts w:eastAsiaTheme="minorEastAsia"/>
                <w:b/>
                <w:bCs/>
                <w:sz w:val="20"/>
                <w:szCs w:val="20"/>
              </w:rPr>
            </w:pPr>
            <w:r w:rsidRPr="006B5B89">
              <w:rPr>
                <w:rFonts w:eastAsiaTheme="minorEastAsia"/>
                <w:b/>
                <w:bCs/>
                <w:sz w:val="20"/>
                <w:szCs w:val="20"/>
              </w:rPr>
              <w:t xml:space="preserve">Individual </w:t>
            </w:r>
            <w:r w:rsidR="270294E6" w:rsidRPr="006B5B89">
              <w:rPr>
                <w:rFonts w:eastAsiaTheme="minorEastAsia"/>
                <w:b/>
                <w:bCs/>
                <w:sz w:val="20"/>
                <w:szCs w:val="20"/>
              </w:rPr>
              <w:t>Meetings with Elders</w:t>
            </w:r>
            <w:r w:rsidRPr="006B5B89">
              <w:rPr>
                <w:rFonts w:eastAsiaTheme="minorEastAsia"/>
                <w:b/>
                <w:bCs/>
                <w:sz w:val="20"/>
                <w:szCs w:val="20"/>
              </w:rPr>
              <w:t xml:space="preserve"> </w:t>
            </w:r>
            <w:r w:rsidRPr="006B5B89">
              <w:rPr>
                <w:rFonts w:eastAsiaTheme="minorEastAsia"/>
                <w:sz w:val="20"/>
                <w:szCs w:val="20"/>
              </w:rPr>
              <w:t>(CRC)</w:t>
            </w:r>
          </w:p>
        </w:tc>
        <w:tc>
          <w:tcPr>
            <w:tcW w:w="4470" w:type="dxa"/>
          </w:tcPr>
          <w:p w14:paraId="34679ADA" w14:textId="7E70A692" w:rsidR="270294E6" w:rsidRPr="006B5B89" w:rsidRDefault="270294E6" w:rsidP="270294E6">
            <w:pPr>
              <w:jc w:val="center"/>
              <w:rPr>
                <w:rFonts w:eastAsiaTheme="minorEastAsia"/>
                <w:sz w:val="20"/>
                <w:szCs w:val="20"/>
              </w:rPr>
            </w:pPr>
            <w:r w:rsidRPr="006B5B89">
              <w:rPr>
                <w:rFonts w:eastAsiaTheme="minorEastAsia"/>
                <w:sz w:val="20"/>
                <w:szCs w:val="20"/>
              </w:rPr>
              <w:t>16</w:t>
            </w:r>
          </w:p>
        </w:tc>
      </w:tr>
    </w:tbl>
    <w:p w14:paraId="6942E49B" w14:textId="441F8E3C" w:rsidR="270294E6" w:rsidRPr="0095425E" w:rsidRDefault="270294E6" w:rsidP="270294E6">
      <w:pPr>
        <w:rPr>
          <w:rFonts w:asciiTheme="minorHAnsi" w:eastAsiaTheme="minorEastAsia" w:hAnsiTheme="minorHAnsi" w:cstheme="minorBidi"/>
          <w:b/>
          <w:bCs/>
          <w:sz w:val="18"/>
          <w:szCs w:val="18"/>
        </w:rPr>
      </w:pPr>
      <w:r w:rsidRPr="0095425E">
        <w:rPr>
          <w:rFonts w:asciiTheme="minorHAnsi" w:eastAsiaTheme="minorEastAsia" w:hAnsiTheme="minorHAnsi" w:cstheme="minorBidi"/>
          <w:b/>
          <w:bCs/>
          <w:i/>
          <w:iCs/>
          <w:sz w:val="18"/>
          <w:szCs w:val="18"/>
        </w:rPr>
        <w:t xml:space="preserve">Table </w:t>
      </w:r>
      <w:proofErr w:type="gramStart"/>
      <w:r w:rsidRPr="0095425E">
        <w:rPr>
          <w:rFonts w:asciiTheme="minorHAnsi" w:eastAsiaTheme="minorEastAsia" w:hAnsiTheme="minorHAnsi" w:cstheme="minorBidi"/>
          <w:b/>
          <w:bCs/>
          <w:i/>
          <w:iCs/>
          <w:sz w:val="18"/>
          <w:szCs w:val="18"/>
        </w:rPr>
        <w:t>10</w:t>
      </w:r>
      <w:r w:rsidR="006B5B89">
        <w:rPr>
          <w:rFonts w:asciiTheme="minorHAnsi" w:eastAsiaTheme="minorEastAsia" w:hAnsiTheme="minorHAnsi" w:cstheme="minorBidi"/>
          <w:b/>
          <w:bCs/>
          <w:i/>
          <w:iCs/>
          <w:sz w:val="18"/>
          <w:szCs w:val="18"/>
        </w:rPr>
        <w:t xml:space="preserve"> </w:t>
      </w:r>
      <w:r w:rsidRPr="0095425E">
        <w:rPr>
          <w:rFonts w:asciiTheme="minorHAnsi" w:eastAsiaTheme="minorEastAsia" w:hAnsiTheme="minorHAnsi" w:cstheme="minorBidi"/>
          <w:sz w:val="18"/>
          <w:szCs w:val="18"/>
        </w:rPr>
        <w:t xml:space="preserve"> illustrates</w:t>
      </w:r>
      <w:proofErr w:type="gramEnd"/>
      <w:r w:rsidRPr="0095425E">
        <w:rPr>
          <w:rFonts w:asciiTheme="minorHAnsi" w:eastAsiaTheme="minorEastAsia" w:hAnsiTheme="minorHAnsi" w:cstheme="minorBidi"/>
          <w:sz w:val="18"/>
          <w:szCs w:val="18"/>
        </w:rPr>
        <w:t xml:space="preserve"> the total number of non-unique clients that participated in each group program in 2019.</w:t>
      </w:r>
    </w:p>
    <w:p w14:paraId="5C89C6FD" w14:textId="77777777" w:rsidR="00EA62D8" w:rsidRDefault="270294E6" w:rsidP="00EA62D8">
      <w:pPr>
        <w:rPr>
          <w:rFonts w:asciiTheme="minorHAnsi" w:eastAsiaTheme="minorEastAsia" w:hAnsiTheme="minorHAnsi" w:cstheme="minorBidi"/>
        </w:rPr>
      </w:pPr>
      <w:r w:rsidRPr="0095425E">
        <w:rPr>
          <w:rFonts w:asciiTheme="minorHAnsi" w:eastAsiaTheme="minorEastAsia" w:hAnsiTheme="minorHAnsi" w:cstheme="minorBidi"/>
        </w:rPr>
        <w:t>As shown in Table 10, another group program we offer is UNLOCK, which stands for “Unlocking New Levels of Capacity and Knowledge”. This program is run under the Prison Community Outreach Program (PCOP) and conducts workshops for individuals both in prison and the community. These workshops focus on teaching important life skills and promoting emotional and mental wellbeing from an Indigenous epistemological and ontological standpoint. “Healthy Relationships,” Codependency,” “Communication Skills,” “Renting Smart,” “Emotional Expression,” “Goal Setting,” “Self-Esteem,” and “Anger Management,” are some of the topics presented in UNLOCK workshops. The themes addressed in these workshops and the practical advice given are important to building a healthier psychological, emotional, and spiritual base for the individuals who participate. The new understanding, knowledge and skill-sets that are gained from attending these sessions allow individuals to begin to disrupt negative patterns in their lives and to make healthier decisions for themselves going forward. An example of the learning outcomes achieved in our most highly attended workshop in 2019 is provided in Table 11 below. The table reveals high levels of achievement for those who participated in the 2019 workshop focused on the topic of "Communication Skills."</w:t>
      </w:r>
    </w:p>
    <w:p w14:paraId="216DA753" w14:textId="77777777" w:rsidR="00EA62D8" w:rsidRDefault="00EA62D8" w:rsidP="00EA62D8"/>
    <w:p w14:paraId="058A3F08" w14:textId="2CA3C29C" w:rsidR="3ABB16A5" w:rsidRPr="0095425E" w:rsidRDefault="3ABB16A5" w:rsidP="00EA62D8">
      <w:pPr>
        <w:rPr>
          <w:rFonts w:asciiTheme="minorHAnsi" w:eastAsiaTheme="minorEastAsia" w:hAnsiTheme="minorHAnsi" w:cstheme="minorBidi"/>
        </w:rPr>
      </w:pPr>
      <w:r>
        <w:br/>
      </w:r>
    </w:p>
    <w:tbl>
      <w:tblPr>
        <w:tblW w:w="0" w:type="auto"/>
        <w:tblLook w:val="04A0" w:firstRow="1" w:lastRow="0" w:firstColumn="1" w:lastColumn="0" w:noHBand="0" w:noVBand="1"/>
      </w:tblPr>
      <w:tblGrid>
        <w:gridCol w:w="2376"/>
        <w:gridCol w:w="1729"/>
        <w:gridCol w:w="1613"/>
        <w:gridCol w:w="1814"/>
        <w:gridCol w:w="1808"/>
      </w:tblGrid>
      <w:tr w:rsidR="270294E6" w14:paraId="0F225665" w14:textId="77777777" w:rsidTr="270294E6">
        <w:trPr>
          <w:trHeight w:val="315"/>
        </w:trPr>
        <w:tc>
          <w:tcPr>
            <w:tcW w:w="9470" w:type="dxa"/>
            <w:gridSpan w:val="5"/>
            <w:tcBorders>
              <w:top w:val="single" w:sz="8" w:space="0" w:color="auto"/>
              <w:left w:val="single" w:sz="8" w:space="0" w:color="auto"/>
              <w:bottom w:val="single" w:sz="8" w:space="0" w:color="auto"/>
              <w:right w:val="single" w:sz="8" w:space="0" w:color="000000" w:themeColor="text1"/>
            </w:tcBorders>
            <w:shd w:val="clear" w:color="auto" w:fill="A8D08D" w:themeFill="accent6" w:themeFillTint="99"/>
            <w:vAlign w:val="center"/>
          </w:tcPr>
          <w:p w14:paraId="7C0EA775" w14:textId="7A4A46D0" w:rsidR="270294E6" w:rsidRPr="0095425E" w:rsidRDefault="270294E6" w:rsidP="270294E6">
            <w:pPr>
              <w:jc w:val="center"/>
              <w:rPr>
                <w:rFonts w:asciiTheme="minorHAnsi" w:eastAsiaTheme="minorEastAsia" w:hAnsiTheme="minorHAnsi" w:cstheme="minorBidi"/>
                <w:b/>
                <w:bCs/>
              </w:rPr>
            </w:pPr>
            <w:r w:rsidRPr="0095425E">
              <w:rPr>
                <w:rFonts w:asciiTheme="minorHAnsi" w:eastAsiaTheme="minorEastAsia" w:hAnsiTheme="minorHAnsi" w:cstheme="minorBidi"/>
                <w:b/>
                <w:bCs/>
              </w:rPr>
              <w:lastRenderedPageBreak/>
              <w:t>2019 UNLOCK “Communication Skills” Workshop Learning Outcomes</w:t>
            </w:r>
          </w:p>
        </w:tc>
      </w:tr>
      <w:tr w:rsidR="270294E6" w14:paraId="109845FD" w14:textId="77777777" w:rsidTr="270294E6">
        <w:trPr>
          <w:trHeight w:val="315"/>
        </w:trPr>
        <w:tc>
          <w:tcPr>
            <w:tcW w:w="9470" w:type="dxa"/>
            <w:gridSpan w:val="5"/>
            <w:tcBorders>
              <w:top w:val="single" w:sz="8" w:space="0" w:color="auto"/>
              <w:left w:val="single" w:sz="8" w:space="0" w:color="auto"/>
              <w:bottom w:val="single" w:sz="4" w:space="0" w:color="auto"/>
              <w:right w:val="single" w:sz="8" w:space="0" w:color="000000" w:themeColor="text1"/>
            </w:tcBorders>
            <w:shd w:val="clear" w:color="auto" w:fill="FFFFFF" w:themeFill="background1"/>
            <w:vAlign w:val="center"/>
          </w:tcPr>
          <w:p w14:paraId="6558CF28" w14:textId="666F2663" w:rsidR="270294E6" w:rsidRPr="0095425E" w:rsidRDefault="270294E6" w:rsidP="270294E6">
            <w:pPr>
              <w:jc w:val="center"/>
              <w:rPr>
                <w:rFonts w:asciiTheme="minorHAnsi" w:eastAsiaTheme="minorEastAsia" w:hAnsiTheme="minorHAnsi" w:cstheme="minorBidi"/>
                <w:b/>
                <w:bCs/>
              </w:rPr>
            </w:pPr>
            <w:r w:rsidRPr="0095425E">
              <w:rPr>
                <w:rFonts w:asciiTheme="minorHAnsi" w:eastAsiaTheme="minorEastAsia" w:hAnsiTheme="minorHAnsi" w:cstheme="minorBidi"/>
                <w:b/>
                <w:bCs/>
              </w:rPr>
              <w:t xml:space="preserve">% Participants Achieving Target Outcomes </w:t>
            </w:r>
          </w:p>
        </w:tc>
      </w:tr>
      <w:tr w:rsidR="270294E6" w14:paraId="281333E4" w14:textId="77777777" w:rsidTr="270294E6">
        <w:trPr>
          <w:trHeight w:val="69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14:paraId="4E9F6ACF" w14:textId="4A2818B3" w:rsidR="270294E6" w:rsidRPr="0095425E" w:rsidRDefault="270294E6" w:rsidP="270294E6">
            <w:pPr>
              <w:jc w:val="center"/>
              <w:rPr>
                <w:rFonts w:asciiTheme="minorHAnsi" w:eastAsiaTheme="minorEastAsia" w:hAnsiTheme="minorHAnsi" w:cstheme="minorBidi"/>
              </w:rPr>
            </w:pPr>
            <w:r w:rsidRPr="0095425E">
              <w:rPr>
                <w:rFonts w:asciiTheme="minorHAnsi" w:eastAsiaTheme="minorEastAsia" w:hAnsiTheme="minorHAnsi" w:cstheme="minorBidi"/>
              </w:rPr>
              <w:t xml:space="preserve"> I understand the four different communication styles</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14:paraId="72BD0DF2" w14:textId="17A7AE7D" w:rsidR="270294E6" w:rsidRPr="0095425E" w:rsidRDefault="270294E6" w:rsidP="270294E6">
            <w:pPr>
              <w:jc w:val="center"/>
              <w:rPr>
                <w:rFonts w:asciiTheme="minorHAnsi" w:eastAsiaTheme="minorEastAsia" w:hAnsiTheme="minorHAnsi" w:cstheme="minorBidi"/>
              </w:rPr>
            </w:pPr>
            <w:r w:rsidRPr="0095425E">
              <w:rPr>
                <w:rFonts w:asciiTheme="minorHAnsi" w:eastAsiaTheme="minorEastAsia" w:hAnsiTheme="minorHAnsi" w:cstheme="minorBidi"/>
              </w:rPr>
              <w:t xml:space="preserve">  I can identify negative versus positive communication strategies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117F77F" w14:textId="2D13F1F7" w:rsidR="270294E6" w:rsidRPr="0095425E" w:rsidRDefault="270294E6" w:rsidP="270294E6">
            <w:pPr>
              <w:jc w:val="center"/>
              <w:rPr>
                <w:rFonts w:asciiTheme="minorHAnsi" w:eastAsiaTheme="minorEastAsia" w:hAnsiTheme="minorHAnsi" w:cstheme="minorBidi"/>
              </w:rPr>
            </w:pPr>
            <w:r w:rsidRPr="0095425E">
              <w:rPr>
                <w:rFonts w:asciiTheme="minorHAnsi" w:eastAsiaTheme="minorEastAsia" w:hAnsiTheme="minorHAnsi" w:cstheme="minorBidi"/>
              </w:rPr>
              <w:t>I understand the difference between verbal and non-verbal communication</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14:paraId="48808A02" w14:textId="5C1E0378" w:rsidR="270294E6" w:rsidRPr="0095425E" w:rsidRDefault="270294E6" w:rsidP="270294E6">
            <w:pPr>
              <w:jc w:val="center"/>
              <w:rPr>
                <w:rFonts w:asciiTheme="minorHAnsi" w:eastAsiaTheme="minorEastAsia" w:hAnsiTheme="minorHAnsi" w:cstheme="minorBidi"/>
              </w:rPr>
            </w:pPr>
            <w:r w:rsidRPr="0095425E">
              <w:rPr>
                <w:rFonts w:asciiTheme="minorHAnsi" w:eastAsiaTheme="minorEastAsia" w:hAnsiTheme="minorHAnsi" w:cstheme="minorBidi"/>
              </w:rPr>
              <w:t>I can identify strategies to improve my communication skills</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7B25C920" w14:textId="6E645DDB" w:rsidR="270294E6" w:rsidRPr="0095425E" w:rsidRDefault="270294E6" w:rsidP="270294E6">
            <w:pPr>
              <w:rPr>
                <w:rFonts w:asciiTheme="minorHAnsi" w:eastAsiaTheme="minorEastAsia" w:hAnsiTheme="minorHAnsi" w:cstheme="minorBidi"/>
              </w:rPr>
            </w:pPr>
            <w:r w:rsidRPr="0095425E">
              <w:rPr>
                <w:rFonts w:asciiTheme="minorHAnsi" w:eastAsiaTheme="minorEastAsia" w:hAnsiTheme="minorHAnsi" w:cstheme="minorBidi"/>
              </w:rPr>
              <w:t>I learned something new today</w:t>
            </w:r>
          </w:p>
        </w:tc>
      </w:tr>
      <w:tr w:rsidR="270294E6" w14:paraId="234D37EA" w14:textId="77777777" w:rsidTr="270294E6">
        <w:trPr>
          <w:trHeight w:val="315"/>
        </w:trPr>
        <w:tc>
          <w:tcPr>
            <w:tcW w:w="2550" w:type="dxa"/>
            <w:tcBorders>
              <w:top w:val="single" w:sz="4" w:space="0" w:color="auto"/>
              <w:left w:val="single" w:sz="4" w:space="0" w:color="auto"/>
              <w:bottom w:val="single" w:sz="4" w:space="0" w:color="auto"/>
              <w:right w:val="single" w:sz="4" w:space="0" w:color="auto"/>
            </w:tcBorders>
            <w:shd w:val="clear" w:color="auto" w:fill="E2EFDA"/>
            <w:vAlign w:val="center"/>
          </w:tcPr>
          <w:p w14:paraId="7FCC91EA" w14:textId="43AECCD9" w:rsidR="270294E6" w:rsidRPr="0095425E" w:rsidRDefault="270294E6" w:rsidP="270294E6">
            <w:pPr>
              <w:jc w:val="right"/>
              <w:rPr>
                <w:rFonts w:asciiTheme="minorHAnsi" w:eastAsiaTheme="minorEastAsia" w:hAnsiTheme="minorHAnsi" w:cstheme="minorBidi"/>
              </w:rPr>
            </w:pPr>
            <w:r w:rsidRPr="0095425E">
              <w:rPr>
                <w:rFonts w:asciiTheme="minorHAnsi" w:eastAsiaTheme="minorEastAsia" w:hAnsiTheme="minorHAnsi" w:cstheme="minorBidi"/>
              </w:rPr>
              <w:t>93%</w:t>
            </w:r>
          </w:p>
        </w:tc>
        <w:tc>
          <w:tcPr>
            <w:tcW w:w="1755" w:type="dxa"/>
            <w:tcBorders>
              <w:top w:val="single" w:sz="4" w:space="0" w:color="auto"/>
              <w:left w:val="single" w:sz="4" w:space="0" w:color="auto"/>
              <w:bottom w:val="single" w:sz="4" w:space="0" w:color="auto"/>
              <w:right w:val="single" w:sz="4" w:space="0" w:color="auto"/>
            </w:tcBorders>
            <w:shd w:val="clear" w:color="auto" w:fill="E2EFDA"/>
            <w:vAlign w:val="center"/>
          </w:tcPr>
          <w:p w14:paraId="297C42E4" w14:textId="72101428" w:rsidR="270294E6" w:rsidRPr="0095425E" w:rsidRDefault="270294E6" w:rsidP="270294E6">
            <w:pPr>
              <w:jc w:val="right"/>
              <w:rPr>
                <w:rFonts w:asciiTheme="minorHAnsi" w:eastAsiaTheme="minorEastAsia" w:hAnsiTheme="minorHAnsi" w:cstheme="minorBidi"/>
              </w:rPr>
            </w:pPr>
            <w:r w:rsidRPr="0095425E">
              <w:rPr>
                <w:rFonts w:asciiTheme="minorHAnsi" w:eastAsiaTheme="minorEastAsia" w:hAnsiTheme="minorHAnsi" w:cstheme="minorBidi"/>
              </w:rPr>
              <w:t>93%</w:t>
            </w:r>
          </w:p>
        </w:tc>
        <w:tc>
          <w:tcPr>
            <w:tcW w:w="1350" w:type="dxa"/>
            <w:tcBorders>
              <w:top w:val="single" w:sz="4" w:space="0" w:color="auto"/>
              <w:left w:val="single" w:sz="4" w:space="0" w:color="auto"/>
              <w:bottom w:val="single" w:sz="4" w:space="0" w:color="auto"/>
              <w:right w:val="single" w:sz="4" w:space="0" w:color="auto"/>
            </w:tcBorders>
            <w:shd w:val="clear" w:color="auto" w:fill="E2EFDA"/>
            <w:vAlign w:val="center"/>
          </w:tcPr>
          <w:p w14:paraId="52BA4A50" w14:textId="7A427FAE" w:rsidR="270294E6" w:rsidRPr="0095425E" w:rsidRDefault="270294E6" w:rsidP="270294E6">
            <w:pPr>
              <w:jc w:val="right"/>
              <w:rPr>
                <w:rFonts w:asciiTheme="minorHAnsi" w:eastAsiaTheme="minorEastAsia" w:hAnsiTheme="minorHAnsi" w:cstheme="minorBidi"/>
              </w:rPr>
            </w:pPr>
            <w:r w:rsidRPr="0095425E">
              <w:rPr>
                <w:rFonts w:asciiTheme="minorHAnsi" w:eastAsiaTheme="minorEastAsia" w:hAnsiTheme="minorHAnsi" w:cstheme="minorBidi"/>
              </w:rPr>
              <w:t>100%</w:t>
            </w:r>
          </w:p>
        </w:tc>
        <w:tc>
          <w:tcPr>
            <w:tcW w:w="1860" w:type="dxa"/>
            <w:tcBorders>
              <w:top w:val="single" w:sz="4" w:space="0" w:color="auto"/>
              <w:left w:val="single" w:sz="4" w:space="0" w:color="auto"/>
              <w:bottom w:val="single" w:sz="4" w:space="0" w:color="auto"/>
              <w:right w:val="single" w:sz="4" w:space="0" w:color="auto"/>
            </w:tcBorders>
            <w:shd w:val="clear" w:color="auto" w:fill="E2EFDA"/>
            <w:vAlign w:val="center"/>
          </w:tcPr>
          <w:p w14:paraId="086F9D81" w14:textId="753528B8" w:rsidR="270294E6" w:rsidRPr="0095425E" w:rsidRDefault="270294E6" w:rsidP="270294E6">
            <w:pPr>
              <w:jc w:val="right"/>
              <w:rPr>
                <w:rFonts w:asciiTheme="minorHAnsi" w:eastAsiaTheme="minorEastAsia" w:hAnsiTheme="minorHAnsi" w:cstheme="minorBidi"/>
              </w:rPr>
            </w:pPr>
            <w:r w:rsidRPr="0095425E">
              <w:rPr>
                <w:rFonts w:asciiTheme="minorHAnsi" w:eastAsiaTheme="minorEastAsia" w:hAnsiTheme="minorHAnsi" w:cstheme="minorBidi"/>
              </w:rPr>
              <w:t>100%</w:t>
            </w:r>
          </w:p>
        </w:tc>
        <w:tc>
          <w:tcPr>
            <w:tcW w:w="1955" w:type="dxa"/>
            <w:tcBorders>
              <w:top w:val="single" w:sz="4" w:space="0" w:color="auto"/>
              <w:left w:val="single" w:sz="4" w:space="0" w:color="auto"/>
              <w:bottom w:val="single" w:sz="4" w:space="0" w:color="auto"/>
              <w:right w:val="single" w:sz="4" w:space="0" w:color="auto"/>
            </w:tcBorders>
            <w:shd w:val="clear" w:color="auto" w:fill="E2EFDA"/>
            <w:vAlign w:val="center"/>
          </w:tcPr>
          <w:p w14:paraId="266E97C6" w14:textId="2CC97CA7" w:rsidR="270294E6" w:rsidRPr="0095425E" w:rsidRDefault="270294E6" w:rsidP="270294E6">
            <w:pPr>
              <w:jc w:val="right"/>
              <w:rPr>
                <w:rFonts w:asciiTheme="minorHAnsi" w:eastAsiaTheme="minorEastAsia" w:hAnsiTheme="minorHAnsi" w:cstheme="minorBidi"/>
              </w:rPr>
            </w:pPr>
            <w:r w:rsidRPr="0095425E">
              <w:rPr>
                <w:rFonts w:asciiTheme="minorHAnsi" w:eastAsiaTheme="minorEastAsia" w:hAnsiTheme="minorHAnsi" w:cstheme="minorBidi"/>
              </w:rPr>
              <w:t>100%</w:t>
            </w:r>
          </w:p>
        </w:tc>
      </w:tr>
    </w:tbl>
    <w:p w14:paraId="5336E1BA" w14:textId="1327461C" w:rsidR="3ABB16A5" w:rsidRPr="0095425E" w:rsidRDefault="270294E6" w:rsidP="270294E6">
      <w:pPr>
        <w:rPr>
          <w:rFonts w:asciiTheme="minorHAnsi" w:eastAsiaTheme="minorEastAsia" w:hAnsiTheme="minorHAnsi" w:cstheme="minorBidi"/>
          <w:i/>
          <w:iCs/>
          <w:sz w:val="18"/>
          <w:szCs w:val="18"/>
        </w:rPr>
      </w:pPr>
      <w:r w:rsidRPr="0095425E">
        <w:rPr>
          <w:rFonts w:asciiTheme="minorHAnsi" w:eastAsiaTheme="minorEastAsia" w:hAnsiTheme="minorHAnsi" w:cstheme="minorBidi"/>
          <w:b/>
          <w:bCs/>
          <w:i/>
          <w:iCs/>
          <w:sz w:val="18"/>
          <w:szCs w:val="18"/>
        </w:rPr>
        <w:t>Table 11</w:t>
      </w:r>
      <w:r w:rsidRPr="0095425E">
        <w:rPr>
          <w:rFonts w:asciiTheme="minorHAnsi" w:eastAsiaTheme="minorEastAsia" w:hAnsiTheme="minorHAnsi" w:cstheme="minorBidi"/>
          <w:b/>
          <w:bCs/>
          <w:sz w:val="18"/>
          <w:szCs w:val="18"/>
        </w:rPr>
        <w:t xml:space="preserve">. </w:t>
      </w:r>
      <w:r w:rsidRPr="0095425E">
        <w:rPr>
          <w:rFonts w:asciiTheme="minorHAnsi" w:eastAsiaTheme="minorEastAsia" w:hAnsiTheme="minorHAnsi" w:cstheme="minorBidi"/>
          <w:i/>
          <w:iCs/>
          <w:sz w:val="18"/>
          <w:szCs w:val="18"/>
        </w:rPr>
        <w:t>This table demonstrates the 2019 UNLOCK “Communication Skills” workshop learning outcomes by identifying the percentage of participants meeting target outcomes upon completion of the workshop. A minimum rating of 4/5 was used to indicate success, due to the accompanying measurement scale which defines the number 4 as a response of "A lot” and the number 5 as a response of “Completely”.</w:t>
      </w:r>
    </w:p>
    <w:p w14:paraId="7F9031F8" w14:textId="77777777" w:rsidR="00EA62D8" w:rsidRDefault="270294E6" w:rsidP="00EA62D8">
      <w:pPr>
        <w:rPr>
          <w:rFonts w:asciiTheme="minorHAnsi" w:eastAsiaTheme="minorEastAsia" w:hAnsiTheme="minorHAnsi" w:cstheme="minorBidi"/>
        </w:rPr>
      </w:pPr>
      <w:r w:rsidRPr="0095425E">
        <w:rPr>
          <w:rFonts w:asciiTheme="minorHAnsi" w:eastAsiaTheme="minorEastAsia" w:hAnsiTheme="minorHAnsi" w:cstheme="minorBidi"/>
        </w:rPr>
        <w:t xml:space="preserve">Additional group programing provided under the Prison Community Outreach Program (PCOP) is similarly focused on building self-confidence, reconnecting individuals to their Indigenous culture and promoting mental, emotional and spiritual stability and well-being. One of these programs is the Indigenous Literacy and Language Program, which teaches individuals the Blackfoot language (spoken among the Piikani, </w:t>
      </w:r>
      <w:proofErr w:type="spellStart"/>
      <w:r w:rsidRPr="0095425E">
        <w:rPr>
          <w:rFonts w:asciiTheme="minorHAnsi" w:eastAsiaTheme="minorEastAsia" w:hAnsiTheme="minorHAnsi" w:cstheme="minorBidi"/>
        </w:rPr>
        <w:t>Siksika</w:t>
      </w:r>
      <w:proofErr w:type="spellEnd"/>
      <w:r w:rsidRPr="0095425E">
        <w:rPr>
          <w:rFonts w:asciiTheme="minorHAnsi" w:eastAsiaTheme="minorEastAsia" w:hAnsiTheme="minorHAnsi" w:cstheme="minorBidi"/>
        </w:rPr>
        <w:t xml:space="preserve"> and Kainai Nations in Southern Alberta) and works to connect and reconnect participants with Blackfoot culture, teachings and traditional ways of knowing. </w:t>
      </w:r>
    </w:p>
    <w:p w14:paraId="2E920BCA" w14:textId="59D9F678" w:rsidR="76B9D12A" w:rsidRDefault="270294E6" w:rsidP="00EA62D8">
      <w:pPr>
        <w:rPr>
          <w:rFonts w:asciiTheme="minorHAnsi" w:eastAsiaTheme="minorEastAsia" w:hAnsiTheme="minorHAnsi" w:cstheme="minorBidi"/>
          <w:color w:val="000000" w:themeColor="text1"/>
        </w:rPr>
      </w:pPr>
      <w:r w:rsidRPr="0095425E">
        <w:rPr>
          <w:rFonts w:asciiTheme="minorHAnsi" w:eastAsiaTheme="minorEastAsia" w:hAnsiTheme="minorHAnsi" w:cstheme="minorBidi"/>
        </w:rPr>
        <w:t xml:space="preserve">According to those clients who took part in the client feedback survey conducted throughout the Indigenous Language program in 2019, a significant majority of clients (88%) reported having gained confidence in themselves through their participation in the program. Almost all clients (98%) agreed that they had felt a sense of belonging throughout their participation in the program. As well, 92% of respondents reported that the program had aided them in making progress toward their goals (see Table 12). This assessment demonstrates that the vast majority of individuals participating in the Indigenous Language Program are seeing improvements in their self-confidence, sense of belonging and progress toward attaining their goals. </w:t>
      </w:r>
      <w:r w:rsidRPr="0095425E">
        <w:rPr>
          <w:rFonts w:asciiTheme="minorHAnsi" w:eastAsiaTheme="minorEastAsia" w:hAnsiTheme="minorHAnsi" w:cstheme="minorBidi"/>
          <w:color w:val="000000" w:themeColor="text1"/>
        </w:rPr>
        <w:t xml:space="preserve">This is a significant outcome, as improvements in all of these areas subsequently contribute to the promotion of healing and an enhanced sense of overall well-being in the clients we serve. </w:t>
      </w:r>
    </w:p>
    <w:p w14:paraId="19D151B5" w14:textId="0E3846C0" w:rsidR="00EA62D8" w:rsidRDefault="00EA62D8" w:rsidP="00EA62D8">
      <w:pPr>
        <w:rPr>
          <w:rFonts w:asciiTheme="minorHAnsi" w:eastAsiaTheme="minorEastAsia" w:hAnsiTheme="minorHAnsi" w:cstheme="minorBidi"/>
          <w:color w:val="000000" w:themeColor="text1"/>
        </w:rPr>
      </w:pPr>
    </w:p>
    <w:p w14:paraId="1FFEFDDB" w14:textId="145D86B0" w:rsidR="00EA62D8" w:rsidRDefault="00EA62D8" w:rsidP="00EA62D8">
      <w:pPr>
        <w:rPr>
          <w:rFonts w:asciiTheme="minorHAnsi" w:eastAsiaTheme="minorEastAsia" w:hAnsiTheme="minorHAnsi" w:cstheme="minorBidi"/>
          <w:color w:val="000000" w:themeColor="text1"/>
        </w:rPr>
      </w:pPr>
    </w:p>
    <w:p w14:paraId="6304D664" w14:textId="77777777" w:rsidR="00EA62D8" w:rsidRPr="0095425E" w:rsidRDefault="00EA62D8" w:rsidP="00EA62D8">
      <w:pPr>
        <w:rPr>
          <w:rFonts w:asciiTheme="minorHAnsi" w:eastAsiaTheme="minorEastAsia" w:hAnsiTheme="minorHAnsi" w:cstheme="minorBidi"/>
          <w:color w:val="000000" w:themeColor="text1"/>
        </w:rPr>
      </w:pPr>
    </w:p>
    <w:tbl>
      <w:tblPr>
        <w:tblW w:w="0" w:type="auto"/>
        <w:tblLook w:val="04A0" w:firstRow="1" w:lastRow="0" w:firstColumn="1" w:lastColumn="0" w:noHBand="0" w:noVBand="1"/>
      </w:tblPr>
      <w:tblGrid>
        <w:gridCol w:w="2790"/>
        <w:gridCol w:w="2835"/>
        <w:gridCol w:w="3287"/>
      </w:tblGrid>
      <w:tr w:rsidR="76B9D12A" w14:paraId="125EE91C" w14:textId="77777777" w:rsidTr="270294E6">
        <w:trPr>
          <w:trHeight w:val="315"/>
        </w:trPr>
        <w:tc>
          <w:tcPr>
            <w:tcW w:w="8912" w:type="dxa"/>
            <w:gridSpan w:val="3"/>
            <w:tcBorders>
              <w:top w:val="single" w:sz="8" w:space="0" w:color="auto"/>
              <w:left w:val="single" w:sz="8" w:space="0" w:color="auto"/>
              <w:bottom w:val="single" w:sz="8" w:space="0" w:color="auto"/>
              <w:right w:val="single" w:sz="8" w:space="0" w:color="000000" w:themeColor="text1"/>
            </w:tcBorders>
            <w:shd w:val="clear" w:color="auto" w:fill="A8D08D" w:themeFill="accent6" w:themeFillTint="99"/>
            <w:vAlign w:val="center"/>
          </w:tcPr>
          <w:p w14:paraId="4235E164" w14:textId="0A92B3A7" w:rsidR="76B9D12A" w:rsidRPr="0095425E" w:rsidRDefault="270294E6" w:rsidP="270294E6">
            <w:pPr>
              <w:jc w:val="center"/>
              <w:rPr>
                <w:rFonts w:asciiTheme="minorHAnsi" w:eastAsiaTheme="minorEastAsia" w:hAnsiTheme="minorHAnsi" w:cstheme="minorBidi"/>
                <w:b/>
                <w:bCs/>
                <w:sz w:val="24"/>
                <w:szCs w:val="24"/>
              </w:rPr>
            </w:pPr>
            <w:r w:rsidRPr="0095425E">
              <w:rPr>
                <w:rFonts w:asciiTheme="minorHAnsi" w:eastAsiaTheme="minorEastAsia" w:hAnsiTheme="minorHAnsi" w:cstheme="minorBidi"/>
                <w:b/>
                <w:bCs/>
                <w:sz w:val="24"/>
                <w:szCs w:val="24"/>
              </w:rPr>
              <w:lastRenderedPageBreak/>
              <w:t>2019 Indigenous Language Program Feedback</w:t>
            </w:r>
          </w:p>
        </w:tc>
      </w:tr>
      <w:tr w:rsidR="76B9D12A" w14:paraId="0EBA2CDE" w14:textId="77777777" w:rsidTr="270294E6">
        <w:trPr>
          <w:trHeight w:val="315"/>
        </w:trPr>
        <w:tc>
          <w:tcPr>
            <w:tcW w:w="8912" w:type="dxa"/>
            <w:gridSpan w:val="3"/>
            <w:tcBorders>
              <w:top w:val="single" w:sz="8" w:space="0" w:color="auto"/>
              <w:left w:val="single" w:sz="8" w:space="0" w:color="auto"/>
              <w:bottom w:val="single" w:sz="4" w:space="0" w:color="auto"/>
              <w:right w:val="single" w:sz="8" w:space="0" w:color="000000" w:themeColor="text1"/>
            </w:tcBorders>
            <w:shd w:val="clear" w:color="auto" w:fill="FFFFFF" w:themeFill="background1"/>
            <w:vAlign w:val="center"/>
          </w:tcPr>
          <w:p w14:paraId="592BDB6D" w14:textId="399AEB61" w:rsidR="76B9D12A" w:rsidRPr="0095425E" w:rsidRDefault="270294E6" w:rsidP="270294E6">
            <w:pPr>
              <w:jc w:val="center"/>
              <w:rPr>
                <w:rFonts w:asciiTheme="minorHAnsi" w:eastAsiaTheme="minorEastAsia" w:hAnsiTheme="minorHAnsi" w:cstheme="minorBidi"/>
                <w:b/>
                <w:bCs/>
                <w:sz w:val="24"/>
                <w:szCs w:val="24"/>
              </w:rPr>
            </w:pPr>
            <w:r w:rsidRPr="0095425E">
              <w:rPr>
                <w:rFonts w:asciiTheme="minorHAnsi" w:eastAsiaTheme="minorEastAsia" w:hAnsiTheme="minorHAnsi" w:cstheme="minorBidi"/>
                <w:b/>
                <w:bCs/>
                <w:sz w:val="24"/>
                <w:szCs w:val="24"/>
              </w:rPr>
              <w:t>% Participants Achieving Target Outcomes</w:t>
            </w:r>
          </w:p>
        </w:tc>
      </w:tr>
      <w:tr w:rsidR="76B9D12A" w14:paraId="3120F684" w14:textId="77777777" w:rsidTr="270294E6">
        <w:trPr>
          <w:trHeight w:val="690"/>
        </w:trPr>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2F0C5554" w14:textId="3AC2FA2C" w:rsidR="580E73B3" w:rsidRPr="0095425E" w:rsidRDefault="270294E6" w:rsidP="270294E6">
            <w:pPr>
              <w:jc w:val="center"/>
              <w:rPr>
                <w:rFonts w:asciiTheme="minorHAnsi" w:eastAsiaTheme="minorEastAsia" w:hAnsiTheme="minorHAnsi" w:cstheme="minorBidi"/>
                <w:sz w:val="24"/>
                <w:szCs w:val="24"/>
              </w:rPr>
            </w:pPr>
            <w:r w:rsidRPr="0095425E">
              <w:rPr>
                <w:rFonts w:asciiTheme="minorHAnsi" w:eastAsiaTheme="minorEastAsia" w:hAnsiTheme="minorHAnsi" w:cstheme="minorBidi"/>
                <w:sz w:val="24"/>
                <w:szCs w:val="24"/>
              </w:rPr>
              <w:t>Gained Confidence in Myself</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2B080C9" w14:textId="5FDE346A" w:rsidR="580E73B3" w:rsidRPr="0095425E" w:rsidRDefault="270294E6" w:rsidP="270294E6">
            <w:pPr>
              <w:jc w:val="center"/>
              <w:rPr>
                <w:rFonts w:asciiTheme="minorHAnsi" w:eastAsiaTheme="minorEastAsia" w:hAnsiTheme="minorHAnsi" w:cstheme="minorBidi"/>
                <w:sz w:val="24"/>
                <w:szCs w:val="24"/>
              </w:rPr>
            </w:pPr>
            <w:r w:rsidRPr="0095425E">
              <w:rPr>
                <w:rFonts w:asciiTheme="minorHAnsi" w:eastAsiaTheme="minorEastAsia" w:hAnsiTheme="minorHAnsi" w:cstheme="minorBidi"/>
                <w:sz w:val="24"/>
                <w:szCs w:val="24"/>
              </w:rPr>
              <w:t>Felt Sense of Belonging</w:t>
            </w:r>
          </w:p>
        </w:tc>
        <w:tc>
          <w:tcPr>
            <w:tcW w:w="3287" w:type="dxa"/>
            <w:tcBorders>
              <w:top w:val="single" w:sz="4" w:space="0" w:color="auto"/>
              <w:left w:val="single" w:sz="4" w:space="0" w:color="auto"/>
              <w:bottom w:val="single" w:sz="4" w:space="0" w:color="auto"/>
              <w:right w:val="single" w:sz="4" w:space="0" w:color="auto"/>
            </w:tcBorders>
            <w:shd w:val="clear" w:color="auto" w:fill="auto"/>
            <w:vAlign w:val="center"/>
          </w:tcPr>
          <w:p w14:paraId="4A2B69DC" w14:textId="42C7F94C" w:rsidR="580E73B3" w:rsidRPr="0095425E" w:rsidRDefault="270294E6" w:rsidP="270294E6">
            <w:pPr>
              <w:jc w:val="center"/>
              <w:rPr>
                <w:rFonts w:asciiTheme="minorHAnsi" w:eastAsiaTheme="minorEastAsia" w:hAnsiTheme="minorHAnsi" w:cstheme="minorBidi"/>
                <w:sz w:val="24"/>
                <w:szCs w:val="24"/>
              </w:rPr>
            </w:pPr>
            <w:r w:rsidRPr="0095425E">
              <w:rPr>
                <w:rFonts w:asciiTheme="minorHAnsi" w:eastAsiaTheme="minorEastAsia" w:hAnsiTheme="minorHAnsi" w:cstheme="minorBidi"/>
                <w:sz w:val="24"/>
                <w:szCs w:val="24"/>
              </w:rPr>
              <w:t>Program Helped Me Make Progress Toward My Goals</w:t>
            </w:r>
          </w:p>
        </w:tc>
      </w:tr>
      <w:tr w:rsidR="76B9D12A" w14:paraId="4E9910F9" w14:textId="77777777" w:rsidTr="270294E6">
        <w:trPr>
          <w:trHeight w:val="315"/>
        </w:trPr>
        <w:tc>
          <w:tcPr>
            <w:tcW w:w="279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66C67E3" w14:textId="7A989A29" w:rsidR="580E73B3" w:rsidRPr="0095425E" w:rsidRDefault="270294E6" w:rsidP="270294E6">
            <w:pPr>
              <w:jc w:val="right"/>
              <w:rPr>
                <w:rFonts w:asciiTheme="minorHAnsi" w:eastAsiaTheme="minorEastAsia" w:hAnsiTheme="minorHAnsi" w:cstheme="minorBidi"/>
                <w:sz w:val="18"/>
                <w:szCs w:val="18"/>
              </w:rPr>
            </w:pPr>
            <w:r w:rsidRPr="0095425E">
              <w:rPr>
                <w:rFonts w:asciiTheme="minorHAnsi" w:eastAsiaTheme="minorEastAsia" w:hAnsiTheme="minorHAnsi" w:cstheme="minorBidi"/>
                <w:sz w:val="18"/>
                <w:szCs w:val="18"/>
              </w:rPr>
              <w:t>88%</w:t>
            </w:r>
          </w:p>
        </w:tc>
        <w:tc>
          <w:tcPr>
            <w:tcW w:w="283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FEDA208" w14:textId="2F3C394E" w:rsidR="1F0509FB" w:rsidRPr="0095425E" w:rsidRDefault="270294E6" w:rsidP="270294E6">
            <w:pPr>
              <w:jc w:val="right"/>
              <w:rPr>
                <w:rFonts w:asciiTheme="minorHAnsi" w:eastAsiaTheme="minorEastAsia" w:hAnsiTheme="minorHAnsi" w:cstheme="minorBidi"/>
                <w:sz w:val="18"/>
                <w:szCs w:val="18"/>
              </w:rPr>
            </w:pPr>
            <w:r w:rsidRPr="0095425E">
              <w:rPr>
                <w:rFonts w:asciiTheme="minorHAnsi" w:eastAsiaTheme="minorEastAsia" w:hAnsiTheme="minorHAnsi" w:cstheme="minorBidi"/>
                <w:sz w:val="18"/>
                <w:szCs w:val="18"/>
              </w:rPr>
              <w:t>98%</w:t>
            </w:r>
          </w:p>
        </w:tc>
        <w:tc>
          <w:tcPr>
            <w:tcW w:w="32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F16AB88" w14:textId="361770D3" w:rsidR="4F66418F" w:rsidRPr="0095425E" w:rsidRDefault="270294E6" w:rsidP="270294E6">
            <w:pPr>
              <w:jc w:val="right"/>
              <w:rPr>
                <w:rFonts w:asciiTheme="minorHAnsi" w:eastAsiaTheme="minorEastAsia" w:hAnsiTheme="minorHAnsi" w:cstheme="minorBidi"/>
                <w:sz w:val="18"/>
                <w:szCs w:val="18"/>
              </w:rPr>
            </w:pPr>
            <w:r w:rsidRPr="0095425E">
              <w:rPr>
                <w:rFonts w:asciiTheme="minorHAnsi" w:eastAsiaTheme="minorEastAsia" w:hAnsiTheme="minorHAnsi" w:cstheme="minorBidi"/>
                <w:sz w:val="18"/>
                <w:szCs w:val="18"/>
              </w:rPr>
              <w:t>92%</w:t>
            </w:r>
          </w:p>
        </w:tc>
      </w:tr>
    </w:tbl>
    <w:p w14:paraId="6A36BE6E" w14:textId="16906670" w:rsidR="50E0449E" w:rsidRPr="0095425E" w:rsidRDefault="270294E6" w:rsidP="270294E6">
      <w:pPr>
        <w:rPr>
          <w:rFonts w:asciiTheme="minorHAnsi" w:eastAsiaTheme="minorEastAsia" w:hAnsiTheme="minorHAnsi" w:cstheme="minorBidi"/>
          <w:sz w:val="18"/>
          <w:szCs w:val="18"/>
        </w:rPr>
      </w:pPr>
      <w:r w:rsidRPr="0095425E">
        <w:rPr>
          <w:rFonts w:asciiTheme="minorHAnsi" w:eastAsiaTheme="minorEastAsia" w:hAnsiTheme="minorHAnsi" w:cstheme="minorBidi"/>
          <w:b/>
          <w:bCs/>
          <w:i/>
          <w:iCs/>
          <w:sz w:val="18"/>
          <w:szCs w:val="18"/>
        </w:rPr>
        <w:t>Table 12</w:t>
      </w:r>
      <w:r w:rsidRPr="0095425E">
        <w:rPr>
          <w:rFonts w:asciiTheme="minorHAnsi" w:eastAsiaTheme="minorEastAsia" w:hAnsiTheme="minorHAnsi" w:cstheme="minorBidi"/>
          <w:b/>
          <w:bCs/>
          <w:sz w:val="18"/>
          <w:szCs w:val="18"/>
        </w:rPr>
        <w:t xml:space="preserve">. </w:t>
      </w:r>
      <w:r w:rsidRPr="0095425E">
        <w:rPr>
          <w:rFonts w:asciiTheme="minorHAnsi" w:eastAsiaTheme="minorEastAsia" w:hAnsiTheme="minorHAnsi" w:cstheme="minorBidi"/>
          <w:sz w:val="18"/>
          <w:szCs w:val="18"/>
        </w:rPr>
        <w:t>This table illustrates the percentage of clients who responded to each question indicating that they either “Agree” or “Strongly Agree”.  A response of “Agree” or “Strongly Agree” was assessed as meeting the Target Outcome for each client in the program.</w:t>
      </w:r>
    </w:p>
    <w:p w14:paraId="524CE08C" w14:textId="7160A4F9" w:rsidR="76B9D12A" w:rsidRPr="0095425E" w:rsidRDefault="76B9D12A" w:rsidP="270294E6">
      <w:pPr>
        <w:spacing w:before="0" w:after="0" w:line="240" w:lineRule="auto"/>
        <w:ind w:firstLine="720"/>
        <w:rPr>
          <w:rFonts w:asciiTheme="minorHAnsi" w:eastAsiaTheme="minorEastAsia" w:hAnsiTheme="minorHAnsi" w:cstheme="minorBidi"/>
        </w:rPr>
      </w:pPr>
    </w:p>
    <w:p w14:paraId="57B63279" w14:textId="77777777" w:rsidR="00A10B9D" w:rsidRDefault="270294E6" w:rsidP="00A10B9D">
      <w:pPr>
        <w:spacing w:before="0" w:after="240" w:line="240" w:lineRule="auto"/>
        <w:rPr>
          <w:rFonts w:asciiTheme="minorHAnsi" w:eastAsiaTheme="minorEastAsia" w:hAnsiTheme="minorHAnsi" w:cstheme="minorBidi"/>
          <w:color w:val="70AD47" w:themeColor="accent6"/>
          <w:sz w:val="44"/>
          <w:szCs w:val="44"/>
        </w:rPr>
      </w:pPr>
      <w:r w:rsidRPr="0095425E">
        <w:rPr>
          <w:rFonts w:asciiTheme="minorHAnsi" w:eastAsiaTheme="minorEastAsia" w:hAnsiTheme="minorHAnsi" w:cstheme="minorBidi"/>
          <w:color w:val="70AD47" w:themeColor="accent6"/>
          <w:sz w:val="44"/>
          <w:szCs w:val="44"/>
        </w:rPr>
        <w:t>SAGE</w:t>
      </w:r>
    </w:p>
    <w:p w14:paraId="4914810B" w14:textId="19867EAB" w:rsidR="270294E6" w:rsidRPr="00A10B9D" w:rsidRDefault="270294E6" w:rsidP="00A10B9D">
      <w:pPr>
        <w:spacing w:before="0" w:after="240" w:line="240" w:lineRule="auto"/>
        <w:rPr>
          <w:rFonts w:asciiTheme="minorHAnsi" w:eastAsiaTheme="minorEastAsia" w:hAnsiTheme="minorHAnsi" w:cstheme="minorBidi"/>
          <w:color w:val="70AD47" w:themeColor="accent6"/>
          <w:sz w:val="44"/>
          <w:szCs w:val="44"/>
        </w:rPr>
      </w:pPr>
      <w:r w:rsidRPr="270294E6">
        <w:rPr>
          <w:rFonts w:asciiTheme="minorHAnsi" w:eastAsiaTheme="minorEastAsia" w:hAnsiTheme="minorHAnsi" w:cstheme="minorBidi"/>
          <w:b/>
          <w:bCs/>
        </w:rPr>
        <w:t>Q: What percentage of beneficiaries find employment post program?</w:t>
      </w:r>
    </w:p>
    <w:p w14:paraId="644DF0C4" w14:textId="4BA1ACF8" w:rsidR="270294E6" w:rsidRPr="0095425E" w:rsidRDefault="270294E6" w:rsidP="00EA62D8">
      <w:pPr>
        <w:rPr>
          <w:rFonts w:asciiTheme="minorHAnsi" w:eastAsiaTheme="minorEastAsia" w:hAnsiTheme="minorHAnsi" w:cstheme="minorBidi"/>
        </w:rPr>
      </w:pPr>
      <w:r w:rsidRPr="0095425E">
        <w:rPr>
          <w:rFonts w:asciiTheme="minorHAnsi" w:eastAsiaTheme="minorEastAsia" w:hAnsiTheme="minorHAnsi" w:cstheme="minorBidi"/>
        </w:rPr>
        <w:t xml:space="preserve">Employment readiness for its participants is a key competency the SAGE program seeks to cultivate. In an evaluation of SAGE recently conducted throughout the last quarter of 2019 and the first quarter of 2020, a representative sample of past program participants from 2015 up until the end of 2019 were contacted in order to assess the long-term impact the program had made on their lives. Of the SAGE alumni that were contacted, one third were able to find employment during their participation in SAGE or immediately after completing the program. Another third of those surveyed had gone on to participate in additional employment training programs after exiting the program. Additionally, half of those contacted reported attending school (upgrading education or attending post-secondary or a trades program) after finishing the program (See table 13). This is an important step, considering 81% of SAGE graduates between 2017 and 2019 entered the program having not finished high school and faced significant personal barriers such as past addiction, homelessness, mental health and trauma, and in many cases no or minimal employment history. </w:t>
      </w:r>
    </w:p>
    <w:tbl>
      <w:tblPr>
        <w:tblStyle w:val="TableGrid"/>
        <w:tblW w:w="8601" w:type="dxa"/>
        <w:tblLayout w:type="fixed"/>
        <w:tblLook w:val="0000" w:firstRow="0" w:lastRow="0" w:firstColumn="0" w:lastColumn="0" w:noHBand="0" w:noVBand="0"/>
      </w:tblPr>
      <w:tblGrid>
        <w:gridCol w:w="1872"/>
        <w:gridCol w:w="2190"/>
        <w:gridCol w:w="2052"/>
        <w:gridCol w:w="2487"/>
      </w:tblGrid>
      <w:tr w:rsidR="76B9D12A" w14:paraId="2A9B9219" w14:textId="77777777" w:rsidTr="270294E6">
        <w:tc>
          <w:tcPr>
            <w:tcW w:w="1872" w:type="dxa"/>
            <w:shd w:val="clear" w:color="auto" w:fill="A8D08D" w:themeFill="accent6" w:themeFillTint="99"/>
          </w:tcPr>
          <w:p w14:paraId="4A3D724B" w14:textId="22425BE3" w:rsidR="76B9D12A" w:rsidRPr="0095425E" w:rsidRDefault="76B9D12A" w:rsidP="270294E6">
            <w:pPr>
              <w:rPr>
                <w:rFonts w:eastAsiaTheme="minorEastAsia"/>
                <w:color w:val="000000" w:themeColor="text1"/>
              </w:rPr>
            </w:pPr>
          </w:p>
        </w:tc>
        <w:tc>
          <w:tcPr>
            <w:tcW w:w="2190" w:type="dxa"/>
            <w:shd w:val="clear" w:color="auto" w:fill="A8D08D" w:themeFill="accent6" w:themeFillTint="99"/>
          </w:tcPr>
          <w:p w14:paraId="0BAAF923" w14:textId="2B69E629" w:rsidR="76B9D12A" w:rsidRPr="0095425E" w:rsidRDefault="270294E6" w:rsidP="270294E6">
            <w:pPr>
              <w:rPr>
                <w:rFonts w:ascii="Calibri" w:eastAsia="Calibri" w:hAnsi="Calibri" w:cs="Calibri"/>
                <w:color w:val="000000" w:themeColor="text1"/>
              </w:rPr>
            </w:pPr>
            <w:r w:rsidRPr="0095425E">
              <w:rPr>
                <w:rFonts w:ascii="Calibri" w:eastAsia="Calibri" w:hAnsi="Calibri" w:cs="Calibri"/>
                <w:b/>
                <w:bCs/>
                <w:color w:val="000000" w:themeColor="text1"/>
                <w:lang w:val="en-GB"/>
              </w:rPr>
              <w:t>% of SAGE graduates that have found employment after graduation</w:t>
            </w:r>
          </w:p>
        </w:tc>
        <w:tc>
          <w:tcPr>
            <w:tcW w:w="2052" w:type="dxa"/>
            <w:shd w:val="clear" w:color="auto" w:fill="A8D08D" w:themeFill="accent6" w:themeFillTint="99"/>
          </w:tcPr>
          <w:p w14:paraId="7C66A162" w14:textId="2DF4C452" w:rsidR="76B9D12A" w:rsidRPr="0095425E" w:rsidRDefault="270294E6" w:rsidP="270294E6">
            <w:pPr>
              <w:rPr>
                <w:rFonts w:eastAsiaTheme="minorEastAsia"/>
                <w:color w:val="000000" w:themeColor="text1"/>
              </w:rPr>
            </w:pPr>
            <w:r w:rsidRPr="0095425E">
              <w:rPr>
                <w:rFonts w:eastAsiaTheme="minorEastAsia"/>
                <w:b/>
                <w:bCs/>
                <w:color w:val="000000" w:themeColor="text1"/>
                <w:lang w:val="en-GB"/>
              </w:rPr>
              <w:t xml:space="preserve"> % of SAGE Graduates that upgrade their education after graduation</w:t>
            </w:r>
          </w:p>
          <w:p w14:paraId="36369A50" w14:textId="46D1723C" w:rsidR="76B9D12A" w:rsidRPr="0095425E" w:rsidRDefault="76B9D12A" w:rsidP="270294E6">
            <w:pPr>
              <w:rPr>
                <w:rFonts w:eastAsiaTheme="minorEastAsia"/>
                <w:b/>
                <w:bCs/>
                <w:color w:val="000000" w:themeColor="text1"/>
                <w:lang w:val="en-GB"/>
              </w:rPr>
            </w:pPr>
          </w:p>
        </w:tc>
        <w:tc>
          <w:tcPr>
            <w:tcW w:w="2487" w:type="dxa"/>
            <w:shd w:val="clear" w:color="auto" w:fill="A8D08D" w:themeFill="accent6" w:themeFillTint="99"/>
          </w:tcPr>
          <w:p w14:paraId="70CB24F0" w14:textId="5E62311D" w:rsidR="270294E6" w:rsidRPr="0095425E" w:rsidRDefault="270294E6" w:rsidP="270294E6">
            <w:pPr>
              <w:rPr>
                <w:rFonts w:eastAsiaTheme="minorEastAsia"/>
                <w:color w:val="000000" w:themeColor="text1"/>
              </w:rPr>
            </w:pPr>
            <w:r w:rsidRPr="0095425E">
              <w:rPr>
                <w:rFonts w:eastAsiaTheme="minorEastAsia"/>
                <w:b/>
                <w:bCs/>
                <w:color w:val="000000" w:themeColor="text1"/>
                <w:lang w:val="en-GB"/>
              </w:rPr>
              <w:t>% of SAGE Graduates that access additional employment training programs after graduation</w:t>
            </w:r>
          </w:p>
          <w:p w14:paraId="6DC4CA78" w14:textId="0717CA54" w:rsidR="270294E6" w:rsidRPr="0095425E" w:rsidRDefault="270294E6" w:rsidP="270294E6">
            <w:pPr>
              <w:rPr>
                <w:rFonts w:eastAsiaTheme="minorEastAsia"/>
                <w:b/>
                <w:bCs/>
                <w:color w:val="000000" w:themeColor="text1"/>
                <w:lang w:val="en-GB"/>
              </w:rPr>
            </w:pPr>
          </w:p>
        </w:tc>
      </w:tr>
      <w:tr w:rsidR="76B9D12A" w14:paraId="2C3F1102" w14:textId="77777777" w:rsidTr="270294E6">
        <w:tc>
          <w:tcPr>
            <w:tcW w:w="1872" w:type="dxa"/>
          </w:tcPr>
          <w:p w14:paraId="408DD2D6" w14:textId="024D0F83" w:rsidR="76B9D12A" w:rsidRPr="0095425E" w:rsidRDefault="270294E6" w:rsidP="270294E6">
            <w:pPr>
              <w:rPr>
                <w:rFonts w:eastAsiaTheme="minorEastAsia"/>
                <w:color w:val="000000" w:themeColor="text1"/>
              </w:rPr>
            </w:pPr>
            <w:r w:rsidRPr="0095425E">
              <w:rPr>
                <w:rFonts w:eastAsiaTheme="minorEastAsia"/>
                <w:b/>
                <w:bCs/>
                <w:color w:val="000000" w:themeColor="text1"/>
                <w:lang w:val="en-GB"/>
              </w:rPr>
              <w:t>2015 - 2019</w:t>
            </w:r>
          </w:p>
        </w:tc>
        <w:tc>
          <w:tcPr>
            <w:tcW w:w="2190" w:type="dxa"/>
          </w:tcPr>
          <w:p w14:paraId="1AA762A2" w14:textId="58AB3179" w:rsidR="76B9D12A" w:rsidRPr="0095425E" w:rsidRDefault="270294E6" w:rsidP="270294E6">
            <w:pPr>
              <w:rPr>
                <w:rFonts w:eastAsiaTheme="minorEastAsia"/>
                <w:color w:val="000000" w:themeColor="text1"/>
              </w:rPr>
            </w:pPr>
            <w:r w:rsidRPr="0095425E">
              <w:rPr>
                <w:rFonts w:eastAsiaTheme="minorEastAsia"/>
                <w:color w:val="000000" w:themeColor="text1"/>
                <w:lang w:val="en-GB"/>
              </w:rPr>
              <w:t>33%</w:t>
            </w:r>
          </w:p>
        </w:tc>
        <w:tc>
          <w:tcPr>
            <w:tcW w:w="2052" w:type="dxa"/>
          </w:tcPr>
          <w:p w14:paraId="3C221D29" w14:textId="011BC12D" w:rsidR="76B9D12A" w:rsidRPr="0095425E" w:rsidRDefault="270294E6" w:rsidP="270294E6">
            <w:pPr>
              <w:rPr>
                <w:rFonts w:eastAsiaTheme="minorEastAsia"/>
                <w:color w:val="000000" w:themeColor="text1"/>
              </w:rPr>
            </w:pPr>
            <w:r w:rsidRPr="0095425E">
              <w:rPr>
                <w:rFonts w:eastAsiaTheme="minorEastAsia"/>
                <w:color w:val="000000" w:themeColor="text1"/>
                <w:lang w:val="en-GB"/>
              </w:rPr>
              <w:t>50%</w:t>
            </w:r>
          </w:p>
          <w:p w14:paraId="0C9EC376" w14:textId="74607873" w:rsidR="76B9D12A" w:rsidRPr="0095425E" w:rsidRDefault="76B9D12A" w:rsidP="270294E6">
            <w:pPr>
              <w:rPr>
                <w:rFonts w:eastAsiaTheme="minorEastAsia"/>
                <w:color w:val="000000" w:themeColor="text1"/>
                <w:lang w:val="en-GB"/>
              </w:rPr>
            </w:pPr>
          </w:p>
        </w:tc>
        <w:tc>
          <w:tcPr>
            <w:tcW w:w="2487" w:type="dxa"/>
          </w:tcPr>
          <w:p w14:paraId="42EA8073" w14:textId="0D8CFB97" w:rsidR="270294E6" w:rsidRPr="0095425E" w:rsidRDefault="270294E6" w:rsidP="270294E6">
            <w:pPr>
              <w:rPr>
                <w:rFonts w:eastAsiaTheme="minorEastAsia"/>
                <w:color w:val="000000" w:themeColor="text1"/>
              </w:rPr>
            </w:pPr>
            <w:r w:rsidRPr="0095425E">
              <w:rPr>
                <w:rFonts w:eastAsiaTheme="minorEastAsia"/>
                <w:color w:val="000000" w:themeColor="text1"/>
                <w:lang w:val="en-GB"/>
              </w:rPr>
              <w:t>33%</w:t>
            </w:r>
          </w:p>
          <w:p w14:paraId="347C96AC" w14:textId="190A907F" w:rsidR="270294E6" w:rsidRPr="0095425E" w:rsidRDefault="270294E6" w:rsidP="270294E6">
            <w:pPr>
              <w:rPr>
                <w:rFonts w:eastAsiaTheme="minorEastAsia"/>
                <w:color w:val="000000" w:themeColor="text1"/>
                <w:lang w:val="en-GB"/>
              </w:rPr>
            </w:pPr>
          </w:p>
        </w:tc>
      </w:tr>
    </w:tbl>
    <w:p w14:paraId="15F75FF1" w14:textId="4417AC83" w:rsidR="2CBE7EEA" w:rsidRDefault="270294E6" w:rsidP="270294E6">
      <w:pPr>
        <w:spacing w:line="240" w:lineRule="auto"/>
        <w:rPr>
          <w:rFonts w:asciiTheme="minorHAnsi" w:eastAsiaTheme="minorEastAsia" w:hAnsiTheme="minorHAnsi" w:cstheme="minorBidi"/>
          <w:color w:val="000000" w:themeColor="text1"/>
          <w:sz w:val="18"/>
          <w:szCs w:val="18"/>
        </w:rPr>
      </w:pPr>
      <w:r w:rsidRPr="0095425E">
        <w:rPr>
          <w:rFonts w:asciiTheme="minorHAnsi" w:eastAsiaTheme="minorEastAsia" w:hAnsiTheme="minorHAnsi" w:cstheme="minorBidi"/>
          <w:b/>
          <w:bCs/>
          <w:i/>
          <w:iCs/>
          <w:color w:val="000000" w:themeColor="text1"/>
          <w:sz w:val="18"/>
          <w:szCs w:val="18"/>
        </w:rPr>
        <w:t>Table 13</w:t>
      </w:r>
      <w:r w:rsidRPr="0095425E">
        <w:rPr>
          <w:rFonts w:asciiTheme="minorHAnsi" w:eastAsiaTheme="minorEastAsia" w:hAnsiTheme="minorHAnsi" w:cstheme="minorBidi"/>
          <w:color w:val="000000" w:themeColor="text1"/>
          <w:sz w:val="18"/>
          <w:szCs w:val="18"/>
        </w:rPr>
        <w:t>. Findings of recent SAGE evaluation that illustrate the percentage of SAGE graduates from 2015-2019 that have found employment, upgraded their education, and have accessed additional employment training programs.</w:t>
      </w:r>
    </w:p>
    <w:p w14:paraId="5E93EA2F" w14:textId="14757C7D" w:rsidR="2CBE7EEA" w:rsidRPr="0095425E" w:rsidRDefault="270294E6" w:rsidP="00EA62D8">
      <w:pPr>
        <w:spacing w:line="240" w:lineRule="auto"/>
        <w:rPr>
          <w:rFonts w:asciiTheme="minorHAnsi" w:eastAsiaTheme="minorEastAsia" w:hAnsiTheme="minorHAnsi" w:cstheme="minorBidi"/>
          <w:color w:val="000000" w:themeColor="text1"/>
        </w:rPr>
      </w:pPr>
      <w:r w:rsidRPr="0095425E">
        <w:rPr>
          <w:rFonts w:asciiTheme="minorHAnsi" w:eastAsiaTheme="minorEastAsia" w:hAnsiTheme="minorHAnsi" w:cstheme="minorBidi"/>
          <w:color w:val="000000" w:themeColor="text1"/>
        </w:rPr>
        <w:lastRenderedPageBreak/>
        <w:t xml:space="preserve">These findings are comparable to the goals SAGE participants set for themselves upon completing the program, demonstrating that SAGE participants are indeed realizing the goals they </w:t>
      </w:r>
      <w:r w:rsidR="00A10B9D">
        <w:rPr>
          <w:rFonts w:asciiTheme="minorHAnsi" w:eastAsiaTheme="minorEastAsia" w:hAnsiTheme="minorHAnsi" w:cstheme="minorBidi"/>
          <w:color w:val="000000" w:themeColor="text1"/>
        </w:rPr>
        <w:t>make</w:t>
      </w:r>
      <w:r w:rsidRPr="0095425E">
        <w:rPr>
          <w:rFonts w:asciiTheme="minorHAnsi" w:eastAsiaTheme="minorEastAsia" w:hAnsiTheme="minorHAnsi" w:cstheme="minorBidi"/>
          <w:color w:val="000000" w:themeColor="text1"/>
        </w:rPr>
        <w:t xml:space="preserve"> for themselves during SAGE, and are even at times surpassing them (i.e., the employment rate after graduation for past participants surveyed was slightly higher than the percentage of participants that had listed gaining employment as one of their goals). </w:t>
      </w:r>
    </w:p>
    <w:p w14:paraId="6EBB1732" w14:textId="3F0D330F" w:rsidR="76B9D12A" w:rsidRPr="00A10B9D" w:rsidRDefault="270294E6" w:rsidP="00EA62D8">
      <w:pPr>
        <w:spacing w:line="240" w:lineRule="auto"/>
        <w:rPr>
          <w:rFonts w:asciiTheme="minorHAnsi" w:eastAsiaTheme="minorEastAsia" w:hAnsiTheme="minorHAnsi" w:cstheme="minorBidi"/>
          <w:color w:val="000000" w:themeColor="text1"/>
        </w:rPr>
      </w:pPr>
      <w:r w:rsidRPr="0095425E">
        <w:rPr>
          <w:rFonts w:asciiTheme="minorHAnsi" w:eastAsiaTheme="minorEastAsia" w:hAnsiTheme="minorHAnsi" w:cstheme="minorBidi"/>
          <w:color w:val="000000" w:themeColor="text1"/>
        </w:rPr>
        <w:t>Our SAGE facilitator works with every participant to develop an exit plan that is tailored to their individual needs and experience. For instance, participants that have not completed high school will often make upgrading their education their highest priority. As well, individuals that are struggling with addictions or trauma may require access to additional programming in order to continue learning skills before they are ready to seek employment. Of the participants that graduated from the SAGE program, 93% embark on their chosen next step with the support and guidance of the SAGE facilitator. Based on the documented data of the participant exit plans, the distribution of goals is as follows:</w:t>
      </w:r>
    </w:p>
    <w:p w14:paraId="3F43C15C" w14:textId="4F2A85F9" w:rsidR="76B9D12A" w:rsidRPr="0095425E" w:rsidRDefault="76B9D12A" w:rsidP="270294E6">
      <w:pPr>
        <w:spacing w:before="0" w:after="0" w:line="240" w:lineRule="auto"/>
        <w:rPr>
          <w:rFonts w:asciiTheme="minorHAnsi" w:eastAsiaTheme="minorEastAsia" w:hAnsiTheme="minorHAnsi" w:cstheme="minorBidi"/>
        </w:rPr>
      </w:pPr>
    </w:p>
    <w:tbl>
      <w:tblPr>
        <w:tblStyle w:val="TableGrid"/>
        <w:tblW w:w="0" w:type="auto"/>
        <w:tblLook w:val="04A0" w:firstRow="1" w:lastRow="0" w:firstColumn="1" w:lastColumn="0" w:noHBand="0" w:noVBand="1"/>
      </w:tblPr>
      <w:tblGrid>
        <w:gridCol w:w="805"/>
        <w:gridCol w:w="2610"/>
        <w:gridCol w:w="2790"/>
        <w:gridCol w:w="3145"/>
      </w:tblGrid>
      <w:tr w:rsidR="00332228" w:rsidRPr="00280506" w14:paraId="38B95D43" w14:textId="77777777" w:rsidTr="270294E6">
        <w:tc>
          <w:tcPr>
            <w:tcW w:w="805" w:type="dxa"/>
            <w:shd w:val="clear" w:color="auto" w:fill="A8D08D" w:themeFill="accent6" w:themeFillTint="99"/>
          </w:tcPr>
          <w:p w14:paraId="354C5FE8" w14:textId="77777777" w:rsidR="00332228" w:rsidRPr="0095425E" w:rsidRDefault="00332228" w:rsidP="270294E6">
            <w:pPr>
              <w:rPr>
                <w:rFonts w:eastAsiaTheme="minorEastAsia"/>
                <w:b/>
                <w:bCs/>
              </w:rPr>
            </w:pPr>
          </w:p>
        </w:tc>
        <w:tc>
          <w:tcPr>
            <w:tcW w:w="2610" w:type="dxa"/>
            <w:shd w:val="clear" w:color="auto" w:fill="A8D08D" w:themeFill="accent6" w:themeFillTint="99"/>
          </w:tcPr>
          <w:p w14:paraId="4E08229E" w14:textId="77777777" w:rsidR="00332228" w:rsidRPr="0095425E" w:rsidRDefault="270294E6" w:rsidP="270294E6">
            <w:pPr>
              <w:rPr>
                <w:rFonts w:eastAsiaTheme="minorEastAsia"/>
                <w:b/>
                <w:bCs/>
              </w:rPr>
            </w:pPr>
            <w:r w:rsidRPr="0095425E">
              <w:rPr>
                <w:rFonts w:eastAsiaTheme="minorEastAsia" w:cs="Corbel"/>
                <w:b/>
                <w:bCs/>
              </w:rPr>
              <w:t xml:space="preserve">% of SAGE Graduates that Seek Employment </w:t>
            </w:r>
          </w:p>
        </w:tc>
        <w:tc>
          <w:tcPr>
            <w:tcW w:w="2790" w:type="dxa"/>
            <w:shd w:val="clear" w:color="auto" w:fill="A8D08D" w:themeFill="accent6" w:themeFillTint="99"/>
          </w:tcPr>
          <w:p w14:paraId="2924F159" w14:textId="77777777" w:rsidR="00332228" w:rsidRPr="0095425E" w:rsidRDefault="270294E6" w:rsidP="270294E6">
            <w:pPr>
              <w:rPr>
                <w:rFonts w:eastAsiaTheme="minorEastAsia"/>
                <w:b/>
                <w:bCs/>
              </w:rPr>
            </w:pPr>
            <w:r w:rsidRPr="0095425E">
              <w:rPr>
                <w:rFonts w:eastAsiaTheme="minorEastAsia" w:cs="Corbel"/>
                <w:b/>
                <w:bCs/>
              </w:rPr>
              <w:t xml:space="preserve">% of SAGE Graduates that Upgrade Education </w:t>
            </w:r>
          </w:p>
        </w:tc>
        <w:tc>
          <w:tcPr>
            <w:tcW w:w="3145" w:type="dxa"/>
            <w:shd w:val="clear" w:color="auto" w:fill="A8D08D" w:themeFill="accent6" w:themeFillTint="99"/>
          </w:tcPr>
          <w:p w14:paraId="094BB708" w14:textId="77777777" w:rsidR="00332228" w:rsidRPr="0095425E" w:rsidRDefault="270294E6" w:rsidP="270294E6">
            <w:pPr>
              <w:rPr>
                <w:rFonts w:eastAsiaTheme="minorEastAsia"/>
                <w:b/>
                <w:bCs/>
              </w:rPr>
            </w:pPr>
            <w:r w:rsidRPr="0095425E">
              <w:rPr>
                <w:rFonts w:eastAsiaTheme="minorEastAsia" w:cs="Corbel"/>
                <w:b/>
                <w:bCs/>
              </w:rPr>
              <w:t xml:space="preserve">% of SAGE Graduates that Train Toward a New Skill or Trade </w:t>
            </w:r>
          </w:p>
        </w:tc>
      </w:tr>
      <w:tr w:rsidR="00332228" w:rsidRPr="00280506" w14:paraId="0922B4E1" w14:textId="77777777" w:rsidTr="270294E6">
        <w:tc>
          <w:tcPr>
            <w:tcW w:w="805" w:type="dxa"/>
            <w:shd w:val="clear" w:color="auto" w:fill="C5E0B3" w:themeFill="accent6" w:themeFillTint="66"/>
          </w:tcPr>
          <w:p w14:paraId="3A3BA563" w14:textId="77777777" w:rsidR="00332228" w:rsidRPr="0095425E" w:rsidRDefault="270294E6" w:rsidP="270294E6">
            <w:pPr>
              <w:rPr>
                <w:rFonts w:eastAsiaTheme="minorEastAsia"/>
                <w:b/>
                <w:bCs/>
              </w:rPr>
            </w:pPr>
            <w:r w:rsidRPr="0095425E">
              <w:rPr>
                <w:rFonts w:eastAsiaTheme="minorEastAsia" w:cs="Corbel"/>
                <w:b/>
                <w:bCs/>
              </w:rPr>
              <w:t>2019</w:t>
            </w:r>
          </w:p>
        </w:tc>
        <w:tc>
          <w:tcPr>
            <w:tcW w:w="2610" w:type="dxa"/>
          </w:tcPr>
          <w:p w14:paraId="1D449CD6" w14:textId="77777777" w:rsidR="00332228" w:rsidRPr="0095425E" w:rsidRDefault="270294E6" w:rsidP="270294E6">
            <w:pPr>
              <w:rPr>
                <w:rFonts w:eastAsiaTheme="minorEastAsia"/>
              </w:rPr>
            </w:pPr>
            <w:r w:rsidRPr="0095425E">
              <w:rPr>
                <w:rFonts w:eastAsiaTheme="minorEastAsia" w:cs="Corbel"/>
              </w:rPr>
              <w:t>29%</w:t>
            </w:r>
          </w:p>
        </w:tc>
        <w:tc>
          <w:tcPr>
            <w:tcW w:w="2790" w:type="dxa"/>
          </w:tcPr>
          <w:p w14:paraId="6C41775C" w14:textId="77777777" w:rsidR="00332228" w:rsidRPr="0095425E" w:rsidRDefault="270294E6" w:rsidP="270294E6">
            <w:pPr>
              <w:rPr>
                <w:rFonts w:eastAsiaTheme="minorEastAsia"/>
              </w:rPr>
            </w:pPr>
            <w:r w:rsidRPr="0095425E">
              <w:rPr>
                <w:rFonts w:eastAsiaTheme="minorEastAsia" w:cs="Corbel"/>
              </w:rPr>
              <w:t>57%</w:t>
            </w:r>
          </w:p>
        </w:tc>
        <w:tc>
          <w:tcPr>
            <w:tcW w:w="3145" w:type="dxa"/>
          </w:tcPr>
          <w:p w14:paraId="268CF86A" w14:textId="77777777" w:rsidR="00332228" w:rsidRPr="0095425E" w:rsidRDefault="270294E6" w:rsidP="270294E6">
            <w:pPr>
              <w:rPr>
                <w:rFonts w:eastAsiaTheme="minorEastAsia"/>
              </w:rPr>
            </w:pPr>
            <w:r w:rsidRPr="0095425E">
              <w:rPr>
                <w:rFonts w:eastAsiaTheme="minorEastAsia" w:cs="Corbel"/>
              </w:rPr>
              <w:t>14%</w:t>
            </w:r>
          </w:p>
        </w:tc>
      </w:tr>
      <w:tr w:rsidR="00332228" w:rsidRPr="00280506" w14:paraId="0C4422B3" w14:textId="77777777" w:rsidTr="270294E6">
        <w:tc>
          <w:tcPr>
            <w:tcW w:w="805" w:type="dxa"/>
            <w:shd w:val="clear" w:color="auto" w:fill="B4C6E7" w:themeFill="accent1" w:themeFillTint="66"/>
          </w:tcPr>
          <w:p w14:paraId="1381E253" w14:textId="77777777" w:rsidR="00332228" w:rsidRPr="0095425E" w:rsidRDefault="270294E6" w:rsidP="270294E6">
            <w:pPr>
              <w:rPr>
                <w:rFonts w:eastAsiaTheme="minorEastAsia"/>
                <w:b/>
                <w:bCs/>
              </w:rPr>
            </w:pPr>
            <w:r w:rsidRPr="0095425E">
              <w:rPr>
                <w:rFonts w:eastAsiaTheme="minorEastAsia" w:cs="Corbel"/>
                <w:b/>
                <w:bCs/>
              </w:rPr>
              <w:t xml:space="preserve">2018  </w:t>
            </w:r>
          </w:p>
        </w:tc>
        <w:tc>
          <w:tcPr>
            <w:tcW w:w="2610" w:type="dxa"/>
          </w:tcPr>
          <w:p w14:paraId="78D441AC" w14:textId="77777777" w:rsidR="00332228" w:rsidRPr="0095425E" w:rsidRDefault="270294E6" w:rsidP="270294E6">
            <w:pPr>
              <w:rPr>
                <w:rFonts w:eastAsiaTheme="minorEastAsia"/>
              </w:rPr>
            </w:pPr>
            <w:r w:rsidRPr="0095425E">
              <w:rPr>
                <w:rFonts w:eastAsiaTheme="minorEastAsia" w:cs="Corbel"/>
              </w:rPr>
              <w:t>22%</w:t>
            </w:r>
          </w:p>
        </w:tc>
        <w:tc>
          <w:tcPr>
            <w:tcW w:w="2790" w:type="dxa"/>
          </w:tcPr>
          <w:p w14:paraId="01E8542E" w14:textId="77777777" w:rsidR="00332228" w:rsidRPr="0095425E" w:rsidRDefault="270294E6" w:rsidP="270294E6">
            <w:pPr>
              <w:rPr>
                <w:rFonts w:eastAsiaTheme="minorEastAsia"/>
              </w:rPr>
            </w:pPr>
            <w:r w:rsidRPr="0095425E">
              <w:rPr>
                <w:rFonts w:eastAsiaTheme="minorEastAsia" w:cs="Corbel"/>
              </w:rPr>
              <w:t>50%</w:t>
            </w:r>
          </w:p>
        </w:tc>
        <w:tc>
          <w:tcPr>
            <w:tcW w:w="3145" w:type="dxa"/>
          </w:tcPr>
          <w:p w14:paraId="48F22361" w14:textId="77777777" w:rsidR="00332228" w:rsidRPr="0095425E" w:rsidRDefault="270294E6" w:rsidP="270294E6">
            <w:pPr>
              <w:rPr>
                <w:rFonts w:eastAsiaTheme="minorEastAsia"/>
              </w:rPr>
            </w:pPr>
            <w:r w:rsidRPr="0095425E">
              <w:rPr>
                <w:rFonts w:eastAsiaTheme="minorEastAsia" w:cs="Corbel"/>
              </w:rPr>
              <w:t>27%</w:t>
            </w:r>
          </w:p>
        </w:tc>
      </w:tr>
      <w:tr w:rsidR="00332228" w:rsidRPr="00280506" w14:paraId="01F91E1F" w14:textId="77777777" w:rsidTr="270294E6">
        <w:tc>
          <w:tcPr>
            <w:tcW w:w="805" w:type="dxa"/>
            <w:shd w:val="clear" w:color="auto" w:fill="FFE599" w:themeFill="accent4" w:themeFillTint="66"/>
          </w:tcPr>
          <w:p w14:paraId="2CF3EB12" w14:textId="77777777" w:rsidR="00332228" w:rsidRPr="0095425E" w:rsidRDefault="270294E6" w:rsidP="270294E6">
            <w:pPr>
              <w:rPr>
                <w:rFonts w:eastAsiaTheme="minorEastAsia"/>
                <w:b/>
                <w:bCs/>
              </w:rPr>
            </w:pPr>
            <w:r w:rsidRPr="0095425E">
              <w:rPr>
                <w:rFonts w:eastAsiaTheme="minorEastAsia" w:cs="Corbel"/>
                <w:b/>
                <w:bCs/>
              </w:rPr>
              <w:t>2017</w:t>
            </w:r>
          </w:p>
        </w:tc>
        <w:tc>
          <w:tcPr>
            <w:tcW w:w="2610" w:type="dxa"/>
          </w:tcPr>
          <w:p w14:paraId="248DD44D" w14:textId="77777777" w:rsidR="00332228" w:rsidRPr="0095425E" w:rsidRDefault="270294E6" w:rsidP="270294E6">
            <w:pPr>
              <w:rPr>
                <w:rFonts w:eastAsiaTheme="minorEastAsia"/>
              </w:rPr>
            </w:pPr>
            <w:r w:rsidRPr="0095425E">
              <w:rPr>
                <w:rFonts w:eastAsiaTheme="minorEastAsia" w:cs="Corbel"/>
              </w:rPr>
              <w:t>27%</w:t>
            </w:r>
          </w:p>
        </w:tc>
        <w:tc>
          <w:tcPr>
            <w:tcW w:w="2790" w:type="dxa"/>
          </w:tcPr>
          <w:p w14:paraId="701661BD" w14:textId="77777777" w:rsidR="00332228" w:rsidRPr="0095425E" w:rsidRDefault="270294E6" w:rsidP="270294E6">
            <w:pPr>
              <w:rPr>
                <w:rFonts w:eastAsiaTheme="minorEastAsia"/>
              </w:rPr>
            </w:pPr>
            <w:r w:rsidRPr="0095425E">
              <w:rPr>
                <w:rFonts w:eastAsiaTheme="minorEastAsia" w:cs="Corbel"/>
              </w:rPr>
              <w:t>63%</w:t>
            </w:r>
          </w:p>
        </w:tc>
        <w:tc>
          <w:tcPr>
            <w:tcW w:w="3145" w:type="dxa"/>
          </w:tcPr>
          <w:p w14:paraId="25B092B6" w14:textId="77777777" w:rsidR="00332228" w:rsidRPr="0095425E" w:rsidRDefault="270294E6" w:rsidP="270294E6">
            <w:pPr>
              <w:rPr>
                <w:rFonts w:eastAsiaTheme="minorEastAsia"/>
              </w:rPr>
            </w:pPr>
            <w:r w:rsidRPr="0095425E">
              <w:rPr>
                <w:rFonts w:eastAsiaTheme="minorEastAsia" w:cs="Corbel"/>
              </w:rPr>
              <w:t>0%</w:t>
            </w:r>
          </w:p>
        </w:tc>
      </w:tr>
    </w:tbl>
    <w:p w14:paraId="450B0285" w14:textId="0B02D4E1" w:rsidR="004D0A3F" w:rsidRPr="0095425E" w:rsidRDefault="270294E6" w:rsidP="270294E6">
      <w:pPr>
        <w:rPr>
          <w:rFonts w:asciiTheme="minorHAnsi" w:eastAsiaTheme="minorEastAsia" w:hAnsiTheme="minorHAnsi" w:cstheme="minorBidi"/>
          <w:color w:val="000000" w:themeColor="text1"/>
          <w:sz w:val="18"/>
          <w:szCs w:val="18"/>
        </w:rPr>
      </w:pPr>
      <w:r w:rsidRPr="0095425E">
        <w:rPr>
          <w:rFonts w:asciiTheme="minorHAnsi" w:eastAsiaTheme="minorEastAsia" w:hAnsiTheme="minorHAnsi" w:cstheme="minorBidi"/>
          <w:b/>
          <w:bCs/>
          <w:i/>
          <w:iCs/>
          <w:color w:val="000000" w:themeColor="text1"/>
          <w:sz w:val="18"/>
          <w:szCs w:val="18"/>
        </w:rPr>
        <w:t>Table 14</w:t>
      </w:r>
      <w:r w:rsidRPr="0095425E">
        <w:rPr>
          <w:rFonts w:asciiTheme="minorHAnsi" w:eastAsiaTheme="minorEastAsia" w:hAnsiTheme="minorHAnsi" w:cstheme="minorBidi"/>
          <w:b/>
          <w:bCs/>
          <w:color w:val="000000" w:themeColor="text1"/>
          <w:sz w:val="18"/>
          <w:szCs w:val="18"/>
        </w:rPr>
        <w:t>.</w:t>
      </w:r>
      <w:r w:rsidRPr="0095425E">
        <w:rPr>
          <w:rFonts w:asciiTheme="minorHAnsi" w:eastAsiaTheme="minorEastAsia" w:hAnsiTheme="minorHAnsi" w:cstheme="minorBidi"/>
          <w:color w:val="000000" w:themeColor="text1"/>
          <w:sz w:val="18"/>
          <w:szCs w:val="18"/>
        </w:rPr>
        <w:t xml:space="preserve"> Distribution of goals for SAGE participants from 2017 – 2019 upon program exit.</w:t>
      </w:r>
    </w:p>
    <w:p w14:paraId="03236D59" w14:textId="1FA625B4" w:rsidR="004D0A3F" w:rsidRPr="0095425E" w:rsidRDefault="270294E6" w:rsidP="00EA62D8">
      <w:pPr>
        <w:spacing w:before="100"/>
        <w:rPr>
          <w:rFonts w:asciiTheme="minorHAnsi" w:eastAsiaTheme="minorEastAsia" w:hAnsiTheme="minorHAnsi" w:cstheme="minorBidi"/>
          <w:color w:val="000000" w:themeColor="text1"/>
        </w:rPr>
      </w:pPr>
      <w:r w:rsidRPr="0095425E">
        <w:rPr>
          <w:rFonts w:asciiTheme="minorHAnsi" w:eastAsiaTheme="minorEastAsia" w:hAnsiTheme="minorHAnsi" w:cstheme="minorBidi"/>
          <w:color w:val="000000" w:themeColor="text1"/>
          <w:lang w:val="en-GB"/>
        </w:rPr>
        <w:t xml:space="preserve">To further underline the impact SAGE has had on promoting employment readiness in its participants, below are three success stories concerning how participation in the SAGE program was able to make employment acquisition and education upgrading a reality for its participants: </w:t>
      </w:r>
    </w:p>
    <w:p w14:paraId="71A9F22E" w14:textId="3B983C5B" w:rsidR="004D0A3F" w:rsidRPr="0095425E" w:rsidRDefault="270294E6" w:rsidP="00EA62D8">
      <w:pPr>
        <w:spacing w:before="100"/>
        <w:rPr>
          <w:rFonts w:asciiTheme="minorHAnsi" w:eastAsiaTheme="minorEastAsia" w:hAnsiTheme="minorHAnsi" w:cstheme="minorBidi"/>
          <w:color w:val="000000" w:themeColor="text1"/>
        </w:rPr>
      </w:pPr>
      <w:r w:rsidRPr="0095425E">
        <w:rPr>
          <w:rFonts w:asciiTheme="minorHAnsi" w:eastAsiaTheme="minorEastAsia" w:hAnsiTheme="minorHAnsi" w:cstheme="minorBidi"/>
          <w:color w:val="000000" w:themeColor="text1"/>
          <w:lang w:val="en-GB"/>
        </w:rPr>
        <w:t xml:space="preserve">The first testimonial comes from a past graduate of the program who participated in the previously mentioned SAGE evaluation. The SAGE graduate interviewed commented on how pivotal the program was in transforming her thinking </w:t>
      </w:r>
      <w:r w:rsidR="00A10B9D">
        <w:rPr>
          <w:rFonts w:asciiTheme="minorHAnsi" w:eastAsiaTheme="minorEastAsia" w:hAnsiTheme="minorHAnsi" w:cstheme="minorBidi"/>
          <w:color w:val="000000" w:themeColor="text1"/>
          <w:lang w:val="en-GB"/>
        </w:rPr>
        <w:t>concerning</w:t>
      </w:r>
      <w:r w:rsidRPr="0095425E">
        <w:rPr>
          <w:rFonts w:asciiTheme="minorHAnsi" w:eastAsiaTheme="minorEastAsia" w:hAnsiTheme="minorHAnsi" w:cstheme="minorBidi"/>
          <w:color w:val="000000" w:themeColor="text1"/>
          <w:lang w:val="en-GB"/>
        </w:rPr>
        <w:t xml:space="preserve"> her employability. She said her participation in the program helped her to become aware of the “transferable employment skills” she possessed. Because this individual had been facing issues with a criminal record, she had been greatly discouraged </w:t>
      </w:r>
      <w:r w:rsidR="00A10B9D">
        <w:rPr>
          <w:rFonts w:asciiTheme="minorHAnsi" w:eastAsiaTheme="minorEastAsia" w:hAnsiTheme="minorHAnsi" w:cstheme="minorBidi"/>
          <w:color w:val="000000" w:themeColor="text1"/>
          <w:lang w:val="en-GB"/>
        </w:rPr>
        <w:t>regarding</w:t>
      </w:r>
      <w:r w:rsidRPr="0095425E">
        <w:rPr>
          <w:rFonts w:asciiTheme="minorHAnsi" w:eastAsiaTheme="minorEastAsia" w:hAnsiTheme="minorHAnsi" w:cstheme="minorBidi"/>
          <w:color w:val="000000" w:themeColor="text1"/>
          <w:lang w:val="en-GB"/>
        </w:rPr>
        <w:t xml:space="preserve"> her prospects of finding employment and had not attempted try. Yet, through her participation in SAGE, she was able to, as she put it, “awaken </w:t>
      </w:r>
      <w:r w:rsidR="00A10B9D">
        <w:rPr>
          <w:rFonts w:asciiTheme="minorHAnsi" w:eastAsiaTheme="minorEastAsia" w:hAnsiTheme="minorHAnsi" w:cstheme="minorBidi"/>
          <w:color w:val="000000" w:themeColor="text1"/>
          <w:lang w:val="en-GB"/>
        </w:rPr>
        <w:t xml:space="preserve">my </w:t>
      </w:r>
      <w:r w:rsidRPr="0095425E">
        <w:rPr>
          <w:rFonts w:asciiTheme="minorHAnsi" w:eastAsiaTheme="minorEastAsia" w:hAnsiTheme="minorHAnsi" w:cstheme="minorBidi"/>
          <w:color w:val="000000" w:themeColor="text1"/>
          <w:lang w:val="en-GB"/>
        </w:rPr>
        <w:t xml:space="preserve">drive for employment,” and to see that finding employment would actually be a possibility for her.  </w:t>
      </w:r>
    </w:p>
    <w:p w14:paraId="5093F9FC" w14:textId="261817D9" w:rsidR="004D0A3F" w:rsidRPr="0095425E" w:rsidRDefault="270294E6" w:rsidP="00EA62D8">
      <w:pPr>
        <w:spacing w:after="160" w:line="259" w:lineRule="auto"/>
        <w:rPr>
          <w:rFonts w:asciiTheme="minorHAnsi" w:eastAsiaTheme="minorEastAsia" w:hAnsiTheme="minorHAnsi" w:cstheme="minorBidi"/>
          <w:color w:val="000000" w:themeColor="text1"/>
        </w:rPr>
      </w:pPr>
      <w:r w:rsidRPr="0095425E">
        <w:rPr>
          <w:rFonts w:asciiTheme="minorHAnsi" w:eastAsiaTheme="minorEastAsia" w:hAnsiTheme="minorHAnsi" w:cstheme="minorBidi"/>
          <w:color w:val="000000" w:themeColor="text1"/>
        </w:rPr>
        <w:t>The next two stories concern SAGE alumni from 2019 and are shared by our current SAGE facilitator. For reasons of confidentiality, the names of the below mentioned participants have been changed and signified by a single uppercase letter.</w:t>
      </w:r>
    </w:p>
    <w:p w14:paraId="5C691F0C" w14:textId="53170FA8" w:rsidR="004D0A3F" w:rsidRPr="0095425E" w:rsidRDefault="270294E6" w:rsidP="270294E6">
      <w:pPr>
        <w:spacing w:after="160" w:line="259" w:lineRule="auto"/>
        <w:ind w:left="720"/>
        <w:rPr>
          <w:rFonts w:asciiTheme="minorHAnsi" w:eastAsiaTheme="minorEastAsia" w:hAnsiTheme="minorHAnsi" w:cstheme="minorBidi"/>
          <w:color w:val="000000" w:themeColor="text1"/>
        </w:rPr>
      </w:pPr>
      <w:r w:rsidRPr="0095425E">
        <w:rPr>
          <w:rFonts w:asciiTheme="minorHAnsi" w:eastAsiaTheme="minorEastAsia" w:hAnsiTheme="minorHAnsi" w:cstheme="minorBidi"/>
          <w:color w:val="000000" w:themeColor="text1"/>
        </w:rPr>
        <w:t>“</w:t>
      </w:r>
      <w:r w:rsidRPr="0095425E">
        <w:rPr>
          <w:rFonts w:asciiTheme="minorHAnsi" w:eastAsiaTheme="minorEastAsia" w:hAnsiTheme="minorHAnsi" w:cstheme="minorBidi"/>
          <w:color w:val="000000" w:themeColor="text1"/>
          <w:lang w:val="en-GB"/>
        </w:rPr>
        <w:t>D was dedicated to participating in the S</w:t>
      </w:r>
      <w:r w:rsidR="00EA62D8">
        <w:rPr>
          <w:rFonts w:asciiTheme="minorHAnsi" w:eastAsiaTheme="minorEastAsia" w:hAnsiTheme="minorHAnsi" w:cstheme="minorBidi"/>
          <w:color w:val="000000" w:themeColor="text1"/>
          <w:lang w:val="en-GB"/>
        </w:rPr>
        <w:t>AGE</w:t>
      </w:r>
      <w:r w:rsidRPr="0095425E">
        <w:rPr>
          <w:rFonts w:asciiTheme="minorHAnsi" w:eastAsiaTheme="minorEastAsia" w:hAnsiTheme="minorHAnsi" w:cstheme="minorBidi"/>
          <w:color w:val="000000" w:themeColor="text1"/>
          <w:lang w:val="en-GB"/>
        </w:rPr>
        <w:t xml:space="preserve"> program from day one. She had the highest attendance record of the program and would arrive on time every day. Throughout the program, D demonstrated a willingness to try new things, to explore her opportunities, and emerged as a leader in the group. During job shadowing, she impressed the company [she was placed with] so much that she was offered a job.”</w:t>
      </w:r>
    </w:p>
    <w:p w14:paraId="6759CC78" w14:textId="7CA4455A" w:rsidR="004D0A3F" w:rsidRPr="0095425E" w:rsidRDefault="270294E6" w:rsidP="00EA62D8">
      <w:pPr>
        <w:rPr>
          <w:rFonts w:asciiTheme="minorHAnsi" w:eastAsiaTheme="minorEastAsia" w:hAnsiTheme="minorHAnsi" w:cstheme="minorBidi"/>
          <w:color w:val="000000" w:themeColor="text1"/>
        </w:rPr>
      </w:pPr>
      <w:r w:rsidRPr="0095425E">
        <w:rPr>
          <w:rFonts w:asciiTheme="minorHAnsi" w:eastAsiaTheme="minorEastAsia" w:hAnsiTheme="minorHAnsi" w:cstheme="minorBidi"/>
          <w:color w:val="000000" w:themeColor="text1"/>
        </w:rPr>
        <w:lastRenderedPageBreak/>
        <w:t xml:space="preserve">Without having enrolled and participated in SAGE, this graduate of the program may not have had the opportunity to job shadow at this local business and been afforded the chance to demonstrate the value she could offer to the company as an employee. Her participation in SAGE directly enabled her to accomplish her goal of finding employment. </w:t>
      </w:r>
    </w:p>
    <w:p w14:paraId="7AB8A3AD" w14:textId="5A503531" w:rsidR="004D0A3F" w:rsidRPr="0095425E" w:rsidRDefault="270294E6" w:rsidP="00EA62D8">
      <w:pPr>
        <w:rPr>
          <w:rFonts w:asciiTheme="minorHAnsi" w:eastAsiaTheme="minorEastAsia" w:hAnsiTheme="minorHAnsi" w:cstheme="minorBidi"/>
          <w:color w:val="000000" w:themeColor="text1"/>
        </w:rPr>
      </w:pPr>
      <w:r w:rsidRPr="0095425E">
        <w:rPr>
          <w:rFonts w:asciiTheme="minorHAnsi" w:eastAsiaTheme="minorEastAsia" w:hAnsiTheme="minorHAnsi" w:cstheme="minorBidi"/>
          <w:color w:val="000000" w:themeColor="text1"/>
        </w:rPr>
        <w:t>Much like D, V’s story below reveals the instrumental role SAGE played in helping her to first gain confidence in herself, reconnect with her culture</w:t>
      </w:r>
      <w:r w:rsidR="00A10B9D">
        <w:rPr>
          <w:rFonts w:asciiTheme="minorHAnsi" w:eastAsiaTheme="minorEastAsia" w:hAnsiTheme="minorHAnsi" w:cstheme="minorBidi"/>
          <w:color w:val="000000" w:themeColor="text1"/>
        </w:rPr>
        <w:t>,</w:t>
      </w:r>
      <w:r w:rsidRPr="0095425E">
        <w:rPr>
          <w:rFonts w:asciiTheme="minorHAnsi" w:eastAsiaTheme="minorEastAsia" w:hAnsiTheme="minorHAnsi" w:cstheme="minorBidi"/>
          <w:color w:val="000000" w:themeColor="text1"/>
        </w:rPr>
        <w:t xml:space="preserve"> and to work through her anxiety. As these underlying emotional and spiritual issues were addressed, the opportunity to visit a local College on a group trip with SAGE then assisted her in making the decision to upgrade her education and set herself on the path toward achieving her goal of becoming an addictions counsellor.  </w:t>
      </w:r>
    </w:p>
    <w:p w14:paraId="4A7A1CDD" w14:textId="4F0B6E99" w:rsidR="004D0A3F" w:rsidRPr="00C519F7" w:rsidRDefault="270294E6" w:rsidP="00C519F7">
      <w:pPr>
        <w:ind w:left="720"/>
        <w:rPr>
          <w:rFonts w:asciiTheme="minorHAnsi" w:eastAsiaTheme="minorEastAsia" w:hAnsiTheme="minorHAnsi" w:cstheme="minorBidi"/>
          <w:color w:val="000000" w:themeColor="text1"/>
          <w:lang w:val="en-GB"/>
        </w:rPr>
      </w:pPr>
      <w:r w:rsidRPr="0095425E">
        <w:rPr>
          <w:rFonts w:asciiTheme="minorHAnsi" w:eastAsiaTheme="minorEastAsia" w:hAnsiTheme="minorHAnsi" w:cstheme="minorBidi"/>
          <w:color w:val="000000" w:themeColor="text1"/>
        </w:rPr>
        <w:t>“</w:t>
      </w:r>
      <w:r w:rsidRPr="0095425E">
        <w:rPr>
          <w:rFonts w:asciiTheme="minorHAnsi" w:eastAsiaTheme="minorEastAsia" w:hAnsiTheme="minorHAnsi" w:cstheme="minorBidi"/>
          <w:color w:val="000000" w:themeColor="text1"/>
          <w:lang w:val="en-GB"/>
        </w:rPr>
        <w:t>V’s journey in the S</w:t>
      </w:r>
      <w:r w:rsidR="00C519F7">
        <w:rPr>
          <w:rFonts w:asciiTheme="minorHAnsi" w:eastAsiaTheme="minorEastAsia" w:hAnsiTheme="minorHAnsi" w:cstheme="minorBidi"/>
          <w:color w:val="000000" w:themeColor="text1"/>
          <w:lang w:val="en-GB"/>
        </w:rPr>
        <w:t>AGE P</w:t>
      </w:r>
      <w:r w:rsidRPr="0095425E">
        <w:rPr>
          <w:rFonts w:asciiTheme="minorHAnsi" w:eastAsiaTheme="minorEastAsia" w:hAnsiTheme="minorHAnsi" w:cstheme="minorBidi"/>
          <w:color w:val="000000" w:themeColor="text1"/>
          <w:lang w:val="en-GB"/>
        </w:rPr>
        <w:t>rogram has been dynamic. She was unsure whether she would be able to participate in the program because of severe anxiety issues. However, she showed great perseverance and drive by not only participating, but thriving in the program. V was hungry for cultural connection and it has been very exciting watching her take every opportunity in the S</w:t>
      </w:r>
      <w:r w:rsidR="00C519F7">
        <w:rPr>
          <w:rFonts w:asciiTheme="minorHAnsi" w:eastAsiaTheme="minorEastAsia" w:hAnsiTheme="minorHAnsi" w:cstheme="minorBidi"/>
          <w:color w:val="000000" w:themeColor="text1"/>
          <w:lang w:val="en-GB"/>
        </w:rPr>
        <w:t>AGE</w:t>
      </w:r>
      <w:r w:rsidRPr="0095425E">
        <w:rPr>
          <w:rFonts w:asciiTheme="minorHAnsi" w:eastAsiaTheme="minorEastAsia" w:hAnsiTheme="minorHAnsi" w:cstheme="minorBidi"/>
          <w:color w:val="000000" w:themeColor="text1"/>
          <w:lang w:val="en-GB"/>
        </w:rPr>
        <w:t xml:space="preserve"> program to do this. V attended </w:t>
      </w:r>
      <w:proofErr w:type="spellStart"/>
      <w:r w:rsidRPr="0095425E">
        <w:rPr>
          <w:rFonts w:asciiTheme="minorHAnsi" w:eastAsiaTheme="minorEastAsia" w:hAnsiTheme="minorHAnsi" w:cstheme="minorBidi"/>
          <w:color w:val="000000" w:themeColor="text1"/>
          <w:lang w:val="en-GB"/>
        </w:rPr>
        <w:t>sweatlodges</w:t>
      </w:r>
      <w:proofErr w:type="spellEnd"/>
      <w:r w:rsidRPr="0095425E">
        <w:rPr>
          <w:rFonts w:asciiTheme="minorHAnsi" w:eastAsiaTheme="minorEastAsia" w:hAnsiTheme="minorHAnsi" w:cstheme="minorBidi"/>
          <w:color w:val="000000" w:themeColor="text1"/>
          <w:lang w:val="en-GB"/>
        </w:rPr>
        <w:t>, healing circles, and connected to other programs offering cultural ceremonies and connection. V also realized early on a trip to Bow Valley College that she would like to become an addictions counsellor. She took this opportunity to learn what she needed to do in order to make this happen and was able to apply, complete her placement test, and enrol in the Aboriginal Upgrading Program at Bow Valley. V has shown consistent drive and desire to actively build the future she wants for herself.”</w:t>
      </w:r>
    </w:p>
    <w:p w14:paraId="42DA7A2F" w14:textId="049EBE79" w:rsidR="004D0A3F" w:rsidRDefault="270294E6" w:rsidP="00C519F7">
      <w:pPr>
        <w:rPr>
          <w:rFonts w:asciiTheme="minorHAnsi" w:eastAsiaTheme="minorEastAsia" w:hAnsiTheme="minorHAnsi" w:cstheme="minorBidi"/>
          <w:color w:val="000000" w:themeColor="text1"/>
        </w:rPr>
      </w:pPr>
      <w:r w:rsidRPr="0095425E">
        <w:rPr>
          <w:rFonts w:asciiTheme="minorHAnsi" w:eastAsiaTheme="minorEastAsia" w:hAnsiTheme="minorHAnsi" w:cstheme="minorBidi"/>
          <w:color w:val="000000" w:themeColor="text1"/>
        </w:rPr>
        <w:t>As mentioned in the above success story, SAGE focuses on building self-esteem and enhancing emotional and spiritual wellness to develop the stability and confidence required for our participants to change their lives and follow through with their goals. We measure progress in wellbeing through the Medicine Wheel Service Plan (MWSP) assessment tool, as a majority of the women participating in this program are Indigenous and Indigenous teaching, cultural and spiritual practices are a focal point of the program’s curriculum. Participants report their wellbeing on a one to five scale in each of the following four quadrants: Spiritual, Physical, Mental and Emotional wellness. The assessment is completed at intake, interim and exit of the program. This allows us to compare the growth of each individual throughout the program. The below tables show the results of the final assessment given upon exit of the program and signify the percentage of SAGE participants that achieved each outcome based on recent sessions.</w:t>
      </w:r>
    </w:p>
    <w:p w14:paraId="58FDE818" w14:textId="1FBDCD24" w:rsidR="00C519F7" w:rsidRDefault="00C519F7" w:rsidP="00C519F7">
      <w:pPr>
        <w:rPr>
          <w:rFonts w:asciiTheme="minorHAnsi" w:eastAsiaTheme="minorEastAsia" w:hAnsiTheme="minorHAnsi" w:cstheme="minorBidi"/>
          <w:color w:val="000000" w:themeColor="text1"/>
        </w:rPr>
      </w:pPr>
    </w:p>
    <w:p w14:paraId="4F73B18C" w14:textId="246F2F0A" w:rsidR="00C519F7" w:rsidRDefault="00C519F7" w:rsidP="00C519F7">
      <w:pPr>
        <w:rPr>
          <w:rFonts w:asciiTheme="minorHAnsi" w:eastAsiaTheme="minorEastAsia" w:hAnsiTheme="minorHAnsi" w:cstheme="minorBidi"/>
          <w:color w:val="000000" w:themeColor="text1"/>
        </w:rPr>
      </w:pPr>
    </w:p>
    <w:p w14:paraId="586C4AAE" w14:textId="4D79C9F4" w:rsidR="00C519F7" w:rsidRDefault="00C519F7" w:rsidP="00C519F7">
      <w:pPr>
        <w:rPr>
          <w:rFonts w:asciiTheme="minorHAnsi" w:eastAsiaTheme="minorEastAsia" w:hAnsiTheme="minorHAnsi" w:cstheme="minorBidi"/>
          <w:color w:val="000000" w:themeColor="text1"/>
        </w:rPr>
      </w:pPr>
    </w:p>
    <w:p w14:paraId="54458030" w14:textId="09539685" w:rsidR="00C519F7" w:rsidRDefault="00C519F7" w:rsidP="00C519F7">
      <w:pPr>
        <w:rPr>
          <w:rFonts w:asciiTheme="minorHAnsi" w:eastAsiaTheme="minorEastAsia" w:hAnsiTheme="minorHAnsi" w:cstheme="minorBidi"/>
          <w:color w:val="000000" w:themeColor="text1"/>
        </w:rPr>
      </w:pPr>
    </w:p>
    <w:p w14:paraId="66C22110" w14:textId="77777777" w:rsidR="00C519F7" w:rsidRPr="0095425E" w:rsidRDefault="00C519F7" w:rsidP="00C519F7">
      <w:pPr>
        <w:rPr>
          <w:rFonts w:asciiTheme="minorHAnsi" w:eastAsiaTheme="minorEastAsia" w:hAnsiTheme="minorHAnsi" w:cstheme="minorBidi"/>
          <w:color w:val="000000" w:themeColor="text1"/>
        </w:rPr>
      </w:pPr>
    </w:p>
    <w:tbl>
      <w:tblPr>
        <w:tblW w:w="9453" w:type="dxa"/>
        <w:tblLook w:val="04A0" w:firstRow="1" w:lastRow="0" w:firstColumn="1" w:lastColumn="0" w:noHBand="0" w:noVBand="1"/>
      </w:tblPr>
      <w:tblGrid>
        <w:gridCol w:w="1305"/>
        <w:gridCol w:w="1252"/>
        <w:gridCol w:w="1342"/>
        <w:gridCol w:w="1521"/>
        <w:gridCol w:w="1105"/>
        <w:gridCol w:w="1092"/>
        <w:gridCol w:w="1086"/>
        <w:gridCol w:w="751"/>
      </w:tblGrid>
      <w:tr w:rsidR="00332228" w:rsidRPr="00332228" w14:paraId="19EEAEB7" w14:textId="77777777" w:rsidTr="270294E6">
        <w:trPr>
          <w:trHeight w:val="315"/>
        </w:trPr>
        <w:tc>
          <w:tcPr>
            <w:tcW w:w="9453" w:type="dxa"/>
            <w:gridSpan w:val="8"/>
            <w:tcBorders>
              <w:top w:val="single" w:sz="8" w:space="0" w:color="auto"/>
              <w:left w:val="single" w:sz="8" w:space="0" w:color="auto"/>
              <w:bottom w:val="single" w:sz="8" w:space="0" w:color="auto"/>
              <w:right w:val="single" w:sz="8" w:space="0" w:color="000000" w:themeColor="text1"/>
            </w:tcBorders>
            <w:shd w:val="clear" w:color="auto" w:fill="A8D08D" w:themeFill="accent6" w:themeFillTint="99"/>
            <w:noWrap/>
            <w:vAlign w:val="center"/>
          </w:tcPr>
          <w:p w14:paraId="10A80C5B" w14:textId="77777777" w:rsidR="00332228" w:rsidRPr="0095425E" w:rsidRDefault="270294E6" w:rsidP="270294E6">
            <w:pPr>
              <w:jc w:val="center"/>
              <w:rPr>
                <w:rFonts w:asciiTheme="minorHAnsi" w:eastAsiaTheme="minorEastAsia" w:hAnsiTheme="minorHAnsi" w:cstheme="minorBidi"/>
                <w:b/>
                <w:bCs/>
              </w:rPr>
            </w:pPr>
            <w:r w:rsidRPr="0095425E">
              <w:rPr>
                <w:rFonts w:asciiTheme="minorHAnsi" w:eastAsiaTheme="minorEastAsia" w:hAnsiTheme="minorHAnsi" w:cstheme="minorBidi"/>
                <w:b/>
                <w:bCs/>
              </w:rPr>
              <w:lastRenderedPageBreak/>
              <w:t>March-May 2019 SAGE Final Program Feedback</w:t>
            </w:r>
          </w:p>
        </w:tc>
      </w:tr>
      <w:tr w:rsidR="00332228" w:rsidRPr="00332228" w14:paraId="553DC704" w14:textId="77777777" w:rsidTr="270294E6">
        <w:trPr>
          <w:trHeight w:val="315"/>
        </w:trPr>
        <w:tc>
          <w:tcPr>
            <w:tcW w:w="9453" w:type="dxa"/>
            <w:gridSpan w:val="8"/>
            <w:tcBorders>
              <w:top w:val="single" w:sz="8" w:space="0" w:color="auto"/>
              <w:left w:val="single" w:sz="8" w:space="0" w:color="auto"/>
              <w:bottom w:val="single" w:sz="4" w:space="0" w:color="auto"/>
              <w:right w:val="single" w:sz="8" w:space="0" w:color="000000" w:themeColor="text1"/>
            </w:tcBorders>
            <w:shd w:val="clear" w:color="auto" w:fill="FFFFFF" w:themeFill="background1"/>
            <w:noWrap/>
            <w:vAlign w:val="center"/>
            <w:hideMark/>
          </w:tcPr>
          <w:p w14:paraId="74B16A09" w14:textId="77777777" w:rsidR="00332228" w:rsidRPr="0095425E" w:rsidRDefault="270294E6" w:rsidP="270294E6">
            <w:pPr>
              <w:jc w:val="center"/>
              <w:rPr>
                <w:rFonts w:asciiTheme="minorHAnsi" w:eastAsiaTheme="minorEastAsia" w:hAnsiTheme="minorHAnsi" w:cstheme="minorBidi"/>
                <w:b/>
                <w:bCs/>
              </w:rPr>
            </w:pPr>
            <w:r w:rsidRPr="0095425E">
              <w:rPr>
                <w:rFonts w:asciiTheme="minorHAnsi" w:eastAsiaTheme="minorEastAsia" w:hAnsiTheme="minorHAnsi" w:cstheme="minorBidi"/>
                <w:b/>
                <w:bCs/>
              </w:rPr>
              <w:t>% Learners Achieving Target Learning Outcomes</w:t>
            </w:r>
          </w:p>
        </w:tc>
      </w:tr>
      <w:tr w:rsidR="00332228" w:rsidRPr="00332228" w14:paraId="3FCE32DC" w14:textId="77777777" w:rsidTr="270294E6">
        <w:trPr>
          <w:trHeight w:val="690"/>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8C616" w14:textId="77777777" w:rsidR="00332228" w:rsidRPr="0095425E" w:rsidRDefault="270294E6" w:rsidP="270294E6">
            <w:pPr>
              <w:jc w:val="center"/>
              <w:rPr>
                <w:rFonts w:asciiTheme="minorHAnsi" w:eastAsiaTheme="minorEastAsia" w:hAnsiTheme="minorHAnsi" w:cstheme="minorBidi"/>
              </w:rPr>
            </w:pPr>
            <w:r w:rsidRPr="0095425E">
              <w:rPr>
                <w:rFonts w:asciiTheme="minorHAnsi" w:eastAsiaTheme="minorEastAsia" w:hAnsiTheme="minorHAnsi" w:cstheme="minorBidi"/>
              </w:rPr>
              <w:t>Increased Personal Awareness</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40777" w14:textId="77777777" w:rsidR="00332228" w:rsidRPr="0095425E" w:rsidRDefault="270294E6" w:rsidP="270294E6">
            <w:pPr>
              <w:jc w:val="center"/>
              <w:rPr>
                <w:rFonts w:asciiTheme="minorHAnsi" w:eastAsiaTheme="minorEastAsia" w:hAnsiTheme="minorHAnsi" w:cstheme="minorBidi"/>
              </w:rPr>
            </w:pPr>
            <w:r w:rsidRPr="0095425E">
              <w:rPr>
                <w:rFonts w:asciiTheme="minorHAnsi" w:eastAsiaTheme="minorEastAsia" w:hAnsiTheme="minorHAnsi" w:cstheme="minorBidi"/>
              </w:rPr>
              <w:t>Increased Confidence</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F5964" w14:textId="77777777" w:rsidR="00332228" w:rsidRPr="0095425E" w:rsidRDefault="270294E6" w:rsidP="270294E6">
            <w:pPr>
              <w:jc w:val="center"/>
              <w:rPr>
                <w:rFonts w:asciiTheme="minorHAnsi" w:eastAsiaTheme="minorEastAsia" w:hAnsiTheme="minorHAnsi" w:cstheme="minorBidi"/>
              </w:rPr>
            </w:pPr>
            <w:r w:rsidRPr="0095425E">
              <w:rPr>
                <w:rFonts w:asciiTheme="minorHAnsi" w:eastAsiaTheme="minorEastAsia" w:hAnsiTheme="minorHAnsi" w:cstheme="minorBidi"/>
              </w:rPr>
              <w:t>Increased Cultural Competency</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5203B" w14:textId="77777777" w:rsidR="00332228" w:rsidRPr="0095425E" w:rsidRDefault="270294E6" w:rsidP="270294E6">
            <w:pPr>
              <w:jc w:val="center"/>
              <w:rPr>
                <w:rFonts w:asciiTheme="minorHAnsi" w:eastAsiaTheme="minorEastAsia" w:hAnsiTheme="minorHAnsi" w:cstheme="minorBidi"/>
              </w:rPr>
            </w:pPr>
            <w:r w:rsidRPr="0095425E">
              <w:rPr>
                <w:rFonts w:asciiTheme="minorHAnsi" w:eastAsiaTheme="minorEastAsia" w:hAnsiTheme="minorHAnsi" w:cstheme="minorBidi"/>
              </w:rPr>
              <w:t>Reduced Barriers to Employment</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2352C" w14:textId="77777777" w:rsidR="00332228" w:rsidRPr="0095425E" w:rsidRDefault="270294E6" w:rsidP="270294E6">
            <w:pPr>
              <w:rPr>
                <w:rFonts w:asciiTheme="minorHAnsi" w:eastAsiaTheme="minorEastAsia" w:hAnsiTheme="minorHAnsi" w:cstheme="minorBidi"/>
              </w:rPr>
            </w:pPr>
            <w:r w:rsidRPr="0095425E">
              <w:rPr>
                <w:rFonts w:asciiTheme="minorHAnsi" w:eastAsiaTheme="minorEastAsia" w:hAnsiTheme="minorHAnsi" w:cstheme="minorBidi"/>
              </w:rPr>
              <w:t>Safe/</w:t>
            </w:r>
          </w:p>
          <w:p w14:paraId="70FECC99" w14:textId="77777777" w:rsidR="00332228" w:rsidRPr="0095425E" w:rsidRDefault="270294E6" w:rsidP="270294E6">
            <w:pPr>
              <w:rPr>
                <w:rFonts w:asciiTheme="minorHAnsi" w:eastAsiaTheme="minorEastAsia" w:hAnsiTheme="minorHAnsi" w:cstheme="minorBidi"/>
              </w:rPr>
            </w:pPr>
            <w:r w:rsidRPr="0095425E">
              <w:rPr>
                <w:rFonts w:asciiTheme="minorHAnsi" w:eastAsiaTheme="minorEastAsia" w:hAnsiTheme="minorHAnsi" w:cstheme="minorBidi"/>
              </w:rPr>
              <w:t>Welcome</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BEDE8" w14:textId="77777777" w:rsidR="00332228" w:rsidRPr="0095425E" w:rsidRDefault="270294E6" w:rsidP="270294E6">
            <w:pPr>
              <w:rPr>
                <w:rFonts w:asciiTheme="minorHAnsi" w:eastAsiaTheme="minorEastAsia" w:hAnsiTheme="minorHAnsi" w:cstheme="minorBidi"/>
              </w:rPr>
            </w:pPr>
            <w:r w:rsidRPr="0095425E">
              <w:rPr>
                <w:rFonts w:asciiTheme="minorHAnsi" w:eastAsiaTheme="minorEastAsia" w:hAnsiTheme="minorHAnsi" w:cstheme="minorBidi"/>
              </w:rPr>
              <w:t>Progress Towards Goals</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2E5E0" w14:textId="77777777" w:rsidR="00332228" w:rsidRPr="0095425E" w:rsidRDefault="270294E6" w:rsidP="270294E6">
            <w:pPr>
              <w:rPr>
                <w:rFonts w:asciiTheme="minorHAnsi" w:eastAsiaTheme="minorEastAsia" w:hAnsiTheme="minorHAnsi" w:cstheme="minorBidi"/>
              </w:rPr>
            </w:pPr>
            <w:r w:rsidRPr="0095425E">
              <w:rPr>
                <w:rFonts w:asciiTheme="minorHAnsi" w:eastAsiaTheme="minorEastAsia" w:hAnsiTheme="minorHAnsi" w:cstheme="minorBidi"/>
              </w:rPr>
              <w:t>Achieved Learning Goals</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9A150" w14:textId="77777777" w:rsidR="00332228" w:rsidRPr="0095425E" w:rsidRDefault="270294E6" w:rsidP="270294E6">
            <w:pPr>
              <w:rPr>
                <w:rFonts w:asciiTheme="minorHAnsi" w:eastAsiaTheme="minorEastAsia" w:hAnsiTheme="minorHAnsi" w:cstheme="minorBidi"/>
              </w:rPr>
            </w:pPr>
            <w:r w:rsidRPr="0095425E">
              <w:rPr>
                <w:rFonts w:asciiTheme="minorHAnsi" w:eastAsiaTheme="minorEastAsia" w:hAnsiTheme="minorHAnsi" w:cstheme="minorBidi"/>
              </w:rPr>
              <w:t>Used New Skills</w:t>
            </w:r>
          </w:p>
        </w:tc>
      </w:tr>
      <w:tr w:rsidR="00332228" w:rsidRPr="00332228" w14:paraId="093836D1" w14:textId="77777777" w:rsidTr="270294E6">
        <w:trPr>
          <w:trHeight w:val="315"/>
        </w:trPr>
        <w:tc>
          <w:tcPr>
            <w:tcW w:w="1305"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6481EF9F" w14:textId="77777777" w:rsidR="00332228" w:rsidRPr="0095425E" w:rsidRDefault="270294E6" w:rsidP="270294E6">
            <w:pPr>
              <w:jc w:val="right"/>
              <w:rPr>
                <w:rFonts w:asciiTheme="minorHAnsi" w:eastAsiaTheme="minorEastAsia" w:hAnsiTheme="minorHAnsi" w:cstheme="minorBidi"/>
              </w:rPr>
            </w:pPr>
            <w:r w:rsidRPr="0095425E">
              <w:rPr>
                <w:rFonts w:asciiTheme="minorHAnsi" w:eastAsiaTheme="minorEastAsia" w:hAnsiTheme="minorHAnsi" w:cstheme="minorBidi"/>
              </w:rPr>
              <w:t>100%</w:t>
            </w:r>
          </w:p>
        </w:tc>
        <w:tc>
          <w:tcPr>
            <w:tcW w:w="1252"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67D28E76" w14:textId="77777777" w:rsidR="00332228" w:rsidRPr="0095425E" w:rsidRDefault="270294E6" w:rsidP="270294E6">
            <w:pPr>
              <w:jc w:val="right"/>
              <w:rPr>
                <w:rFonts w:asciiTheme="minorHAnsi" w:eastAsiaTheme="minorEastAsia" w:hAnsiTheme="minorHAnsi" w:cstheme="minorBidi"/>
              </w:rPr>
            </w:pPr>
            <w:r w:rsidRPr="0095425E">
              <w:rPr>
                <w:rFonts w:asciiTheme="minorHAnsi" w:eastAsiaTheme="minorEastAsia" w:hAnsiTheme="minorHAnsi" w:cstheme="minorBidi"/>
              </w:rPr>
              <w:t>100%</w:t>
            </w:r>
          </w:p>
        </w:tc>
        <w:tc>
          <w:tcPr>
            <w:tcW w:w="1140"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13B02DB2" w14:textId="77777777" w:rsidR="00332228" w:rsidRPr="0095425E" w:rsidRDefault="270294E6" w:rsidP="270294E6">
            <w:pPr>
              <w:jc w:val="right"/>
              <w:rPr>
                <w:rFonts w:asciiTheme="minorHAnsi" w:eastAsiaTheme="minorEastAsia" w:hAnsiTheme="minorHAnsi" w:cstheme="minorBidi"/>
              </w:rPr>
            </w:pPr>
            <w:r w:rsidRPr="0095425E">
              <w:rPr>
                <w:rFonts w:asciiTheme="minorHAnsi" w:eastAsiaTheme="minorEastAsia" w:hAnsiTheme="minorHAnsi" w:cstheme="minorBidi"/>
              </w:rPr>
              <w:t>71%</w:t>
            </w:r>
          </w:p>
        </w:tc>
        <w:tc>
          <w:tcPr>
            <w:tcW w:w="1546"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68D5BD8F" w14:textId="77777777" w:rsidR="00332228" w:rsidRPr="0095425E" w:rsidRDefault="270294E6" w:rsidP="270294E6">
            <w:pPr>
              <w:jc w:val="right"/>
              <w:rPr>
                <w:rFonts w:asciiTheme="minorHAnsi" w:eastAsiaTheme="minorEastAsia" w:hAnsiTheme="minorHAnsi" w:cstheme="minorBidi"/>
              </w:rPr>
            </w:pPr>
            <w:r w:rsidRPr="0095425E">
              <w:rPr>
                <w:rFonts w:asciiTheme="minorHAnsi" w:eastAsiaTheme="minorEastAsia" w:hAnsiTheme="minorHAnsi" w:cstheme="minorBidi"/>
              </w:rPr>
              <w:t>100%</w:t>
            </w:r>
          </w:p>
        </w:tc>
        <w:tc>
          <w:tcPr>
            <w:tcW w:w="1105"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6AD6041E" w14:textId="77777777" w:rsidR="00332228" w:rsidRPr="0095425E" w:rsidRDefault="270294E6" w:rsidP="270294E6">
            <w:pPr>
              <w:jc w:val="right"/>
              <w:rPr>
                <w:rFonts w:asciiTheme="minorHAnsi" w:eastAsiaTheme="minorEastAsia" w:hAnsiTheme="minorHAnsi" w:cstheme="minorBidi"/>
              </w:rPr>
            </w:pPr>
            <w:r w:rsidRPr="0095425E">
              <w:rPr>
                <w:rFonts w:asciiTheme="minorHAnsi" w:eastAsiaTheme="minorEastAsia" w:hAnsiTheme="minorHAnsi" w:cstheme="minorBidi"/>
              </w:rPr>
              <w:t>100%</w:t>
            </w:r>
          </w:p>
        </w:tc>
        <w:tc>
          <w:tcPr>
            <w:tcW w:w="1110"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2F68E5B1" w14:textId="77777777" w:rsidR="00332228" w:rsidRPr="0095425E" w:rsidRDefault="270294E6" w:rsidP="270294E6">
            <w:pPr>
              <w:jc w:val="right"/>
              <w:rPr>
                <w:rFonts w:asciiTheme="minorHAnsi" w:eastAsiaTheme="minorEastAsia" w:hAnsiTheme="minorHAnsi" w:cstheme="minorBidi"/>
              </w:rPr>
            </w:pPr>
            <w:r w:rsidRPr="0095425E">
              <w:rPr>
                <w:rFonts w:asciiTheme="minorHAnsi" w:eastAsiaTheme="minorEastAsia" w:hAnsiTheme="minorHAnsi" w:cstheme="minorBidi"/>
              </w:rPr>
              <w:t>100%</w:t>
            </w:r>
          </w:p>
        </w:tc>
        <w:tc>
          <w:tcPr>
            <w:tcW w:w="1086"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66407544" w14:textId="77777777" w:rsidR="00332228" w:rsidRPr="0095425E" w:rsidRDefault="270294E6" w:rsidP="270294E6">
            <w:pPr>
              <w:jc w:val="right"/>
              <w:rPr>
                <w:rFonts w:asciiTheme="minorHAnsi" w:eastAsiaTheme="minorEastAsia" w:hAnsiTheme="minorHAnsi" w:cstheme="minorBidi"/>
              </w:rPr>
            </w:pPr>
            <w:r w:rsidRPr="0095425E">
              <w:rPr>
                <w:rFonts w:asciiTheme="minorHAnsi" w:eastAsiaTheme="minorEastAsia" w:hAnsiTheme="minorHAnsi" w:cstheme="minorBidi"/>
              </w:rPr>
              <w:t>100%</w:t>
            </w:r>
          </w:p>
        </w:tc>
        <w:tc>
          <w:tcPr>
            <w:tcW w:w="909"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51DF93DC" w14:textId="77777777" w:rsidR="00332228" w:rsidRPr="0095425E" w:rsidRDefault="270294E6" w:rsidP="270294E6">
            <w:pPr>
              <w:jc w:val="right"/>
              <w:rPr>
                <w:rFonts w:asciiTheme="minorHAnsi" w:eastAsiaTheme="minorEastAsia" w:hAnsiTheme="minorHAnsi" w:cstheme="minorBidi"/>
              </w:rPr>
            </w:pPr>
            <w:r w:rsidRPr="0095425E">
              <w:rPr>
                <w:rFonts w:asciiTheme="minorHAnsi" w:eastAsiaTheme="minorEastAsia" w:hAnsiTheme="minorHAnsi" w:cstheme="minorBidi"/>
              </w:rPr>
              <w:t>83%</w:t>
            </w:r>
          </w:p>
        </w:tc>
      </w:tr>
    </w:tbl>
    <w:p w14:paraId="7BC4032F" w14:textId="79324CCD" w:rsidR="2E8B1717" w:rsidRPr="0095425E" w:rsidRDefault="270294E6" w:rsidP="270294E6">
      <w:pPr>
        <w:rPr>
          <w:rFonts w:asciiTheme="minorHAnsi" w:eastAsiaTheme="minorEastAsia" w:hAnsiTheme="minorHAnsi" w:cstheme="minorBidi"/>
          <w:color w:val="000000" w:themeColor="text1"/>
          <w:sz w:val="18"/>
          <w:szCs w:val="18"/>
        </w:rPr>
      </w:pPr>
      <w:r w:rsidRPr="0095425E">
        <w:rPr>
          <w:rFonts w:asciiTheme="minorHAnsi" w:eastAsiaTheme="minorEastAsia" w:hAnsiTheme="minorHAnsi" w:cstheme="minorBidi"/>
          <w:b/>
          <w:bCs/>
          <w:i/>
          <w:iCs/>
          <w:color w:val="000000" w:themeColor="text1"/>
          <w:sz w:val="18"/>
          <w:szCs w:val="18"/>
        </w:rPr>
        <w:t>Table 15</w:t>
      </w:r>
      <w:r w:rsidRPr="0095425E">
        <w:rPr>
          <w:rFonts w:asciiTheme="minorHAnsi" w:eastAsiaTheme="minorEastAsia" w:hAnsiTheme="minorHAnsi" w:cstheme="minorBidi"/>
          <w:b/>
          <w:bCs/>
          <w:color w:val="000000" w:themeColor="text1"/>
          <w:sz w:val="18"/>
          <w:szCs w:val="18"/>
        </w:rPr>
        <w:t>.</w:t>
      </w:r>
      <w:r w:rsidRPr="0095425E">
        <w:rPr>
          <w:rFonts w:asciiTheme="minorHAnsi" w:eastAsiaTheme="minorEastAsia" w:hAnsiTheme="minorHAnsi" w:cstheme="minorBidi"/>
          <w:color w:val="000000" w:themeColor="text1"/>
          <w:sz w:val="18"/>
          <w:szCs w:val="18"/>
        </w:rPr>
        <w:t xml:space="preserve"> SAGE Final Program Feedback Form outcomes March-May 2019 identifying the percentage of participants meeting target outcomes at graduation. A minimum rating of 4/5 was used to indicate success, due to the accompanying measurement scale which assigns a value of “Mostly Agree” with the number 4.</w:t>
      </w:r>
    </w:p>
    <w:p w14:paraId="16CDCAFF" w14:textId="13419157" w:rsidR="76B9D12A" w:rsidRPr="0095425E" w:rsidRDefault="76B9D12A" w:rsidP="270294E6">
      <w:pPr>
        <w:rPr>
          <w:rFonts w:asciiTheme="minorHAnsi" w:eastAsiaTheme="minorEastAsia" w:hAnsiTheme="minorHAnsi" w:cstheme="minorBidi"/>
          <w:i/>
          <w:iCs/>
          <w:sz w:val="18"/>
          <w:szCs w:val="18"/>
        </w:rPr>
      </w:pPr>
    </w:p>
    <w:tbl>
      <w:tblPr>
        <w:tblW w:w="9453" w:type="dxa"/>
        <w:tblLook w:val="04A0" w:firstRow="1" w:lastRow="0" w:firstColumn="1" w:lastColumn="0" w:noHBand="0" w:noVBand="1"/>
      </w:tblPr>
      <w:tblGrid>
        <w:gridCol w:w="1190"/>
        <w:gridCol w:w="1226"/>
        <w:gridCol w:w="1342"/>
        <w:gridCol w:w="1356"/>
        <w:gridCol w:w="1120"/>
        <w:gridCol w:w="995"/>
        <w:gridCol w:w="1037"/>
        <w:gridCol w:w="1187"/>
      </w:tblGrid>
      <w:tr w:rsidR="00332228" w:rsidRPr="00332228" w14:paraId="5B9B3B4D" w14:textId="77777777" w:rsidTr="270294E6">
        <w:trPr>
          <w:trHeight w:val="315"/>
        </w:trPr>
        <w:tc>
          <w:tcPr>
            <w:tcW w:w="9453" w:type="dxa"/>
            <w:gridSpan w:val="8"/>
            <w:tcBorders>
              <w:top w:val="single" w:sz="8" w:space="0" w:color="auto"/>
              <w:left w:val="single" w:sz="8" w:space="0" w:color="auto"/>
              <w:bottom w:val="single" w:sz="8" w:space="0" w:color="auto"/>
              <w:right w:val="single" w:sz="8" w:space="0" w:color="000000" w:themeColor="text1"/>
            </w:tcBorders>
            <w:shd w:val="clear" w:color="auto" w:fill="A8D08D" w:themeFill="accent6" w:themeFillTint="99"/>
            <w:noWrap/>
            <w:vAlign w:val="center"/>
          </w:tcPr>
          <w:p w14:paraId="07978A24" w14:textId="77777777" w:rsidR="00332228" w:rsidRPr="0095425E" w:rsidRDefault="270294E6" w:rsidP="270294E6">
            <w:pPr>
              <w:jc w:val="center"/>
              <w:rPr>
                <w:rFonts w:asciiTheme="minorHAnsi" w:eastAsiaTheme="minorEastAsia" w:hAnsiTheme="minorHAnsi" w:cstheme="minorBidi"/>
                <w:b/>
                <w:bCs/>
              </w:rPr>
            </w:pPr>
            <w:r w:rsidRPr="0095425E">
              <w:rPr>
                <w:rFonts w:asciiTheme="minorHAnsi" w:eastAsiaTheme="minorEastAsia" w:hAnsiTheme="minorHAnsi" w:cstheme="minorBidi"/>
                <w:b/>
                <w:bCs/>
              </w:rPr>
              <w:t>September-December 2018 SAGE Final Program Feedback</w:t>
            </w:r>
          </w:p>
        </w:tc>
      </w:tr>
      <w:tr w:rsidR="00332228" w:rsidRPr="00332228" w14:paraId="21A27F46" w14:textId="77777777" w:rsidTr="270294E6">
        <w:trPr>
          <w:trHeight w:val="315"/>
        </w:trPr>
        <w:tc>
          <w:tcPr>
            <w:tcW w:w="9453" w:type="dxa"/>
            <w:gridSpan w:val="8"/>
            <w:tcBorders>
              <w:top w:val="single" w:sz="8" w:space="0" w:color="auto"/>
              <w:left w:val="single" w:sz="8" w:space="0" w:color="auto"/>
              <w:bottom w:val="single" w:sz="4" w:space="0" w:color="auto"/>
              <w:right w:val="single" w:sz="8" w:space="0" w:color="000000" w:themeColor="text1"/>
            </w:tcBorders>
            <w:shd w:val="clear" w:color="auto" w:fill="FFFFFF" w:themeFill="background1"/>
            <w:noWrap/>
            <w:vAlign w:val="center"/>
            <w:hideMark/>
          </w:tcPr>
          <w:p w14:paraId="6D3EE9F6" w14:textId="77777777" w:rsidR="00332228" w:rsidRPr="0095425E" w:rsidRDefault="270294E6" w:rsidP="270294E6">
            <w:pPr>
              <w:jc w:val="center"/>
              <w:rPr>
                <w:rFonts w:asciiTheme="minorHAnsi" w:eastAsiaTheme="minorEastAsia" w:hAnsiTheme="minorHAnsi" w:cstheme="minorBidi"/>
                <w:b/>
                <w:bCs/>
              </w:rPr>
            </w:pPr>
            <w:r w:rsidRPr="0095425E">
              <w:rPr>
                <w:rFonts w:asciiTheme="minorHAnsi" w:eastAsiaTheme="minorEastAsia" w:hAnsiTheme="minorHAnsi" w:cstheme="minorBidi"/>
                <w:b/>
                <w:bCs/>
              </w:rPr>
              <w:t>% Learners Achieving Target Learning Outcomes</w:t>
            </w:r>
          </w:p>
        </w:tc>
      </w:tr>
      <w:tr w:rsidR="00332228" w:rsidRPr="00332228" w14:paraId="4C1348D8" w14:textId="77777777" w:rsidTr="270294E6">
        <w:trPr>
          <w:trHeight w:val="690"/>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97279" w14:textId="77777777" w:rsidR="00332228" w:rsidRPr="0095425E" w:rsidRDefault="270294E6" w:rsidP="270294E6">
            <w:pPr>
              <w:jc w:val="center"/>
              <w:rPr>
                <w:rFonts w:asciiTheme="minorHAnsi" w:eastAsiaTheme="minorEastAsia" w:hAnsiTheme="minorHAnsi" w:cstheme="minorBidi"/>
              </w:rPr>
            </w:pPr>
            <w:r w:rsidRPr="0095425E">
              <w:rPr>
                <w:rFonts w:asciiTheme="minorHAnsi" w:eastAsiaTheme="minorEastAsia" w:hAnsiTheme="minorHAnsi" w:cstheme="minorBidi"/>
              </w:rPr>
              <w:t>Increased Personal Awareness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98831" w14:textId="77777777" w:rsidR="00332228" w:rsidRPr="0095425E" w:rsidRDefault="270294E6" w:rsidP="270294E6">
            <w:pPr>
              <w:jc w:val="center"/>
              <w:rPr>
                <w:rFonts w:asciiTheme="minorHAnsi" w:eastAsiaTheme="minorEastAsia" w:hAnsiTheme="minorHAnsi" w:cstheme="minorBidi"/>
              </w:rPr>
            </w:pPr>
            <w:r w:rsidRPr="0095425E">
              <w:rPr>
                <w:rFonts w:asciiTheme="minorHAnsi" w:eastAsiaTheme="minorEastAsia" w:hAnsiTheme="minorHAnsi" w:cstheme="minorBidi"/>
              </w:rPr>
              <w:t>Increased Confidence</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A7992" w14:textId="77777777" w:rsidR="00332228" w:rsidRPr="0095425E" w:rsidRDefault="270294E6" w:rsidP="270294E6">
            <w:pPr>
              <w:jc w:val="center"/>
              <w:rPr>
                <w:rFonts w:asciiTheme="minorHAnsi" w:eastAsiaTheme="minorEastAsia" w:hAnsiTheme="minorHAnsi" w:cstheme="minorBidi"/>
              </w:rPr>
            </w:pPr>
            <w:r w:rsidRPr="0095425E">
              <w:rPr>
                <w:rFonts w:asciiTheme="minorHAnsi" w:eastAsiaTheme="minorEastAsia" w:hAnsiTheme="minorHAnsi" w:cstheme="minorBidi"/>
              </w:rPr>
              <w:t>Increased Cultural Competency</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6B19A" w14:textId="77777777" w:rsidR="00332228" w:rsidRPr="0095425E" w:rsidRDefault="270294E6" w:rsidP="270294E6">
            <w:pPr>
              <w:jc w:val="center"/>
              <w:rPr>
                <w:rFonts w:asciiTheme="minorHAnsi" w:eastAsiaTheme="minorEastAsia" w:hAnsiTheme="minorHAnsi" w:cstheme="minorBidi"/>
              </w:rPr>
            </w:pPr>
            <w:r w:rsidRPr="0095425E">
              <w:rPr>
                <w:rFonts w:asciiTheme="minorHAnsi" w:eastAsiaTheme="minorEastAsia" w:hAnsiTheme="minorHAnsi" w:cstheme="minorBidi"/>
              </w:rPr>
              <w:t>Reduced Barriers to Employment</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83970" w14:textId="77777777" w:rsidR="00332228" w:rsidRPr="0095425E" w:rsidRDefault="270294E6" w:rsidP="270294E6">
            <w:pPr>
              <w:rPr>
                <w:rFonts w:asciiTheme="minorHAnsi" w:eastAsiaTheme="minorEastAsia" w:hAnsiTheme="minorHAnsi" w:cstheme="minorBidi"/>
              </w:rPr>
            </w:pPr>
            <w:r w:rsidRPr="0095425E">
              <w:rPr>
                <w:rFonts w:asciiTheme="minorHAnsi" w:eastAsiaTheme="minorEastAsia" w:hAnsiTheme="minorHAnsi" w:cstheme="minorBidi"/>
              </w:rPr>
              <w:t>Safe/</w:t>
            </w:r>
          </w:p>
          <w:p w14:paraId="54104505" w14:textId="77777777" w:rsidR="00332228" w:rsidRPr="0095425E" w:rsidRDefault="270294E6" w:rsidP="270294E6">
            <w:pPr>
              <w:rPr>
                <w:rFonts w:asciiTheme="minorHAnsi" w:eastAsiaTheme="minorEastAsia" w:hAnsiTheme="minorHAnsi" w:cstheme="minorBidi"/>
              </w:rPr>
            </w:pPr>
            <w:r w:rsidRPr="0095425E">
              <w:rPr>
                <w:rFonts w:asciiTheme="minorHAnsi" w:eastAsiaTheme="minorEastAsia" w:hAnsiTheme="minorHAnsi" w:cstheme="minorBidi"/>
              </w:rPr>
              <w:t>Welcome</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4A7A9" w14:textId="77777777" w:rsidR="00332228" w:rsidRPr="0095425E" w:rsidRDefault="270294E6" w:rsidP="270294E6">
            <w:pPr>
              <w:rPr>
                <w:rFonts w:asciiTheme="minorHAnsi" w:eastAsiaTheme="minorEastAsia" w:hAnsiTheme="minorHAnsi" w:cstheme="minorBidi"/>
              </w:rPr>
            </w:pPr>
            <w:r w:rsidRPr="0095425E">
              <w:rPr>
                <w:rFonts w:asciiTheme="minorHAnsi" w:eastAsiaTheme="minorEastAsia" w:hAnsiTheme="minorHAnsi" w:cstheme="minorBidi"/>
              </w:rPr>
              <w:t>Progress Towards Goals</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0C5E0" w14:textId="77777777" w:rsidR="00332228" w:rsidRPr="0095425E" w:rsidRDefault="270294E6" w:rsidP="270294E6">
            <w:pPr>
              <w:rPr>
                <w:rFonts w:asciiTheme="minorHAnsi" w:eastAsiaTheme="minorEastAsia" w:hAnsiTheme="minorHAnsi" w:cstheme="minorBidi"/>
              </w:rPr>
            </w:pPr>
            <w:r w:rsidRPr="0095425E">
              <w:rPr>
                <w:rFonts w:asciiTheme="minorHAnsi" w:eastAsiaTheme="minorEastAsia" w:hAnsiTheme="minorHAnsi" w:cstheme="minorBidi"/>
              </w:rPr>
              <w:t>Achieved Learning Goals</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40728" w14:textId="77777777" w:rsidR="00332228" w:rsidRPr="0095425E" w:rsidRDefault="270294E6" w:rsidP="270294E6">
            <w:pPr>
              <w:rPr>
                <w:rFonts w:asciiTheme="minorHAnsi" w:eastAsiaTheme="minorEastAsia" w:hAnsiTheme="minorHAnsi" w:cstheme="minorBidi"/>
              </w:rPr>
            </w:pPr>
            <w:r w:rsidRPr="0095425E">
              <w:rPr>
                <w:rFonts w:asciiTheme="minorHAnsi" w:eastAsiaTheme="minorEastAsia" w:hAnsiTheme="minorHAnsi" w:cstheme="minorBidi"/>
              </w:rPr>
              <w:t>Used New Skills</w:t>
            </w:r>
          </w:p>
        </w:tc>
      </w:tr>
      <w:tr w:rsidR="00332228" w:rsidRPr="00332228" w14:paraId="34004182" w14:textId="77777777" w:rsidTr="270294E6">
        <w:trPr>
          <w:trHeight w:val="315"/>
        </w:trPr>
        <w:tc>
          <w:tcPr>
            <w:tcW w:w="1188" w:type="dxa"/>
            <w:tcBorders>
              <w:top w:val="single" w:sz="4" w:space="0" w:color="auto"/>
              <w:left w:val="single" w:sz="4" w:space="0" w:color="auto"/>
              <w:bottom w:val="single" w:sz="4" w:space="0" w:color="auto"/>
              <w:right w:val="single" w:sz="4" w:space="0" w:color="auto"/>
            </w:tcBorders>
            <w:shd w:val="clear" w:color="auto" w:fill="E2EFDA"/>
            <w:vAlign w:val="bottom"/>
            <w:hideMark/>
          </w:tcPr>
          <w:p w14:paraId="1ADE72F8" w14:textId="77777777" w:rsidR="00332228" w:rsidRPr="0095425E" w:rsidRDefault="270294E6" w:rsidP="270294E6">
            <w:pPr>
              <w:jc w:val="right"/>
              <w:rPr>
                <w:rFonts w:asciiTheme="minorHAnsi" w:eastAsiaTheme="minorEastAsia" w:hAnsiTheme="minorHAnsi" w:cstheme="minorBidi"/>
              </w:rPr>
            </w:pPr>
            <w:r w:rsidRPr="0095425E">
              <w:rPr>
                <w:rFonts w:asciiTheme="minorHAnsi" w:eastAsiaTheme="minorEastAsia" w:hAnsiTheme="minorHAnsi" w:cstheme="minorBidi"/>
              </w:rPr>
              <w:t>100%</w:t>
            </w:r>
          </w:p>
        </w:tc>
        <w:tc>
          <w:tcPr>
            <w:tcW w:w="1212" w:type="dxa"/>
            <w:tcBorders>
              <w:top w:val="single" w:sz="4" w:space="0" w:color="auto"/>
              <w:left w:val="single" w:sz="4" w:space="0" w:color="auto"/>
              <w:bottom w:val="single" w:sz="4" w:space="0" w:color="auto"/>
              <w:right w:val="single" w:sz="4" w:space="0" w:color="auto"/>
            </w:tcBorders>
            <w:shd w:val="clear" w:color="auto" w:fill="E2EFDA"/>
            <w:vAlign w:val="bottom"/>
            <w:hideMark/>
          </w:tcPr>
          <w:p w14:paraId="62ED482B" w14:textId="77777777" w:rsidR="00332228" w:rsidRPr="0095425E" w:rsidRDefault="270294E6" w:rsidP="270294E6">
            <w:pPr>
              <w:jc w:val="right"/>
              <w:rPr>
                <w:rFonts w:asciiTheme="minorHAnsi" w:eastAsiaTheme="minorEastAsia" w:hAnsiTheme="minorHAnsi" w:cstheme="minorBidi"/>
              </w:rPr>
            </w:pPr>
            <w:r w:rsidRPr="0095425E">
              <w:rPr>
                <w:rFonts w:asciiTheme="minorHAnsi" w:eastAsiaTheme="minorEastAsia" w:hAnsiTheme="minorHAnsi" w:cstheme="minorBidi"/>
              </w:rPr>
              <w:t>80%</w:t>
            </w:r>
          </w:p>
        </w:tc>
        <w:tc>
          <w:tcPr>
            <w:tcW w:w="1338" w:type="dxa"/>
            <w:tcBorders>
              <w:top w:val="single" w:sz="4" w:space="0" w:color="auto"/>
              <w:left w:val="single" w:sz="4" w:space="0" w:color="auto"/>
              <w:bottom w:val="single" w:sz="4" w:space="0" w:color="auto"/>
              <w:right w:val="single" w:sz="4" w:space="0" w:color="auto"/>
            </w:tcBorders>
            <w:shd w:val="clear" w:color="auto" w:fill="E2EFDA"/>
            <w:vAlign w:val="bottom"/>
            <w:hideMark/>
          </w:tcPr>
          <w:p w14:paraId="43F67CAD" w14:textId="77777777" w:rsidR="00332228" w:rsidRPr="0095425E" w:rsidRDefault="270294E6" w:rsidP="270294E6">
            <w:pPr>
              <w:jc w:val="right"/>
              <w:rPr>
                <w:rFonts w:asciiTheme="minorHAnsi" w:eastAsiaTheme="minorEastAsia" w:hAnsiTheme="minorHAnsi" w:cstheme="minorBidi"/>
              </w:rPr>
            </w:pPr>
            <w:r w:rsidRPr="0095425E">
              <w:rPr>
                <w:rFonts w:asciiTheme="minorHAnsi" w:eastAsiaTheme="minorEastAsia" w:hAnsiTheme="minorHAnsi" w:cstheme="minorBidi"/>
              </w:rPr>
              <w:t>100%</w:t>
            </w:r>
          </w:p>
        </w:tc>
        <w:tc>
          <w:tcPr>
            <w:tcW w:w="1350" w:type="dxa"/>
            <w:tcBorders>
              <w:top w:val="single" w:sz="4" w:space="0" w:color="auto"/>
              <w:left w:val="single" w:sz="4" w:space="0" w:color="auto"/>
              <w:bottom w:val="single" w:sz="4" w:space="0" w:color="auto"/>
              <w:right w:val="single" w:sz="4" w:space="0" w:color="auto"/>
            </w:tcBorders>
            <w:shd w:val="clear" w:color="auto" w:fill="E2EFDA"/>
            <w:vAlign w:val="bottom"/>
            <w:hideMark/>
          </w:tcPr>
          <w:p w14:paraId="6219D7A1" w14:textId="77777777" w:rsidR="00332228" w:rsidRPr="0095425E" w:rsidRDefault="270294E6" w:rsidP="270294E6">
            <w:pPr>
              <w:jc w:val="right"/>
              <w:rPr>
                <w:rFonts w:asciiTheme="minorHAnsi" w:eastAsiaTheme="minorEastAsia" w:hAnsiTheme="minorHAnsi" w:cstheme="minorBidi"/>
              </w:rPr>
            </w:pPr>
            <w:r w:rsidRPr="0095425E">
              <w:rPr>
                <w:rFonts w:asciiTheme="minorHAnsi" w:eastAsiaTheme="minorEastAsia" w:hAnsiTheme="minorHAnsi" w:cstheme="minorBidi"/>
              </w:rPr>
              <w:t>100%</w:t>
            </w:r>
          </w:p>
        </w:tc>
        <w:tc>
          <w:tcPr>
            <w:tcW w:w="1120" w:type="dxa"/>
            <w:tcBorders>
              <w:top w:val="single" w:sz="4" w:space="0" w:color="auto"/>
              <w:left w:val="single" w:sz="4" w:space="0" w:color="auto"/>
              <w:bottom w:val="single" w:sz="4" w:space="0" w:color="auto"/>
              <w:right w:val="single" w:sz="4" w:space="0" w:color="auto"/>
            </w:tcBorders>
            <w:shd w:val="clear" w:color="auto" w:fill="E2EFDA"/>
            <w:vAlign w:val="bottom"/>
            <w:hideMark/>
          </w:tcPr>
          <w:p w14:paraId="14723314" w14:textId="77777777" w:rsidR="00332228" w:rsidRPr="0095425E" w:rsidRDefault="270294E6" w:rsidP="270294E6">
            <w:pPr>
              <w:jc w:val="right"/>
              <w:rPr>
                <w:rFonts w:asciiTheme="minorHAnsi" w:eastAsiaTheme="minorEastAsia" w:hAnsiTheme="minorHAnsi" w:cstheme="minorBidi"/>
              </w:rPr>
            </w:pPr>
            <w:r w:rsidRPr="0095425E">
              <w:rPr>
                <w:rFonts w:asciiTheme="minorHAnsi" w:eastAsiaTheme="minorEastAsia" w:hAnsiTheme="minorHAnsi" w:cstheme="minorBidi"/>
              </w:rPr>
              <w:t>100%</w:t>
            </w:r>
          </w:p>
        </w:tc>
        <w:tc>
          <w:tcPr>
            <w:tcW w:w="995" w:type="dxa"/>
            <w:tcBorders>
              <w:top w:val="single" w:sz="4" w:space="0" w:color="auto"/>
              <w:left w:val="single" w:sz="4" w:space="0" w:color="auto"/>
              <w:bottom w:val="single" w:sz="4" w:space="0" w:color="auto"/>
              <w:right w:val="single" w:sz="4" w:space="0" w:color="auto"/>
            </w:tcBorders>
            <w:shd w:val="clear" w:color="auto" w:fill="E2EFDA"/>
            <w:vAlign w:val="bottom"/>
            <w:hideMark/>
          </w:tcPr>
          <w:p w14:paraId="7C1E35D7" w14:textId="77777777" w:rsidR="00332228" w:rsidRPr="0095425E" w:rsidRDefault="270294E6" w:rsidP="270294E6">
            <w:pPr>
              <w:jc w:val="right"/>
              <w:rPr>
                <w:rFonts w:asciiTheme="minorHAnsi" w:eastAsiaTheme="minorEastAsia" w:hAnsiTheme="minorHAnsi" w:cstheme="minorBidi"/>
              </w:rPr>
            </w:pPr>
            <w:r w:rsidRPr="0095425E">
              <w:rPr>
                <w:rFonts w:asciiTheme="minorHAnsi" w:eastAsiaTheme="minorEastAsia" w:hAnsiTheme="minorHAnsi" w:cstheme="minorBidi"/>
              </w:rPr>
              <w:t>100%</w:t>
            </w:r>
          </w:p>
        </w:tc>
        <w:tc>
          <w:tcPr>
            <w:tcW w:w="1030" w:type="dxa"/>
            <w:tcBorders>
              <w:top w:val="single" w:sz="4" w:space="0" w:color="auto"/>
              <w:left w:val="single" w:sz="4" w:space="0" w:color="auto"/>
              <w:bottom w:val="single" w:sz="4" w:space="0" w:color="auto"/>
              <w:right w:val="single" w:sz="4" w:space="0" w:color="auto"/>
            </w:tcBorders>
            <w:shd w:val="clear" w:color="auto" w:fill="E2EFDA"/>
            <w:vAlign w:val="bottom"/>
            <w:hideMark/>
          </w:tcPr>
          <w:p w14:paraId="2E04866C" w14:textId="77777777" w:rsidR="00332228" w:rsidRPr="0095425E" w:rsidRDefault="270294E6" w:rsidP="270294E6">
            <w:pPr>
              <w:jc w:val="right"/>
              <w:rPr>
                <w:rFonts w:asciiTheme="minorHAnsi" w:eastAsiaTheme="minorEastAsia" w:hAnsiTheme="minorHAnsi" w:cstheme="minorBidi"/>
              </w:rPr>
            </w:pPr>
            <w:r w:rsidRPr="0095425E">
              <w:rPr>
                <w:rFonts w:asciiTheme="minorHAnsi" w:eastAsiaTheme="minorEastAsia" w:hAnsiTheme="minorHAnsi" w:cstheme="minorBidi"/>
              </w:rPr>
              <w:t>100%</w:t>
            </w:r>
          </w:p>
        </w:tc>
        <w:tc>
          <w:tcPr>
            <w:tcW w:w="1220" w:type="dxa"/>
            <w:tcBorders>
              <w:top w:val="single" w:sz="4" w:space="0" w:color="auto"/>
              <w:left w:val="single" w:sz="4" w:space="0" w:color="auto"/>
              <w:bottom w:val="single" w:sz="4" w:space="0" w:color="auto"/>
              <w:right w:val="single" w:sz="4" w:space="0" w:color="auto"/>
            </w:tcBorders>
            <w:shd w:val="clear" w:color="auto" w:fill="E2EFDA"/>
            <w:vAlign w:val="bottom"/>
            <w:hideMark/>
          </w:tcPr>
          <w:p w14:paraId="7EA5A6E3" w14:textId="77777777" w:rsidR="00332228" w:rsidRPr="0095425E" w:rsidRDefault="270294E6" w:rsidP="270294E6">
            <w:pPr>
              <w:jc w:val="right"/>
              <w:rPr>
                <w:rFonts w:asciiTheme="minorHAnsi" w:eastAsiaTheme="minorEastAsia" w:hAnsiTheme="minorHAnsi" w:cstheme="minorBidi"/>
              </w:rPr>
            </w:pPr>
            <w:r w:rsidRPr="0095425E">
              <w:rPr>
                <w:rFonts w:asciiTheme="minorHAnsi" w:eastAsiaTheme="minorEastAsia" w:hAnsiTheme="minorHAnsi" w:cstheme="minorBidi"/>
              </w:rPr>
              <w:t>100%</w:t>
            </w:r>
          </w:p>
        </w:tc>
      </w:tr>
    </w:tbl>
    <w:p w14:paraId="062ACF63" w14:textId="140775B0" w:rsidR="25E48963" w:rsidRPr="0095425E" w:rsidRDefault="270294E6" w:rsidP="270294E6">
      <w:pPr>
        <w:rPr>
          <w:rFonts w:asciiTheme="minorHAnsi" w:eastAsiaTheme="minorEastAsia" w:hAnsiTheme="minorHAnsi" w:cstheme="minorBidi"/>
          <w:color w:val="000000" w:themeColor="text1"/>
          <w:sz w:val="18"/>
          <w:szCs w:val="18"/>
        </w:rPr>
      </w:pPr>
      <w:r w:rsidRPr="0095425E">
        <w:rPr>
          <w:rFonts w:asciiTheme="minorHAnsi" w:eastAsiaTheme="minorEastAsia" w:hAnsiTheme="minorHAnsi" w:cstheme="minorBidi"/>
          <w:b/>
          <w:bCs/>
          <w:i/>
          <w:iCs/>
          <w:color w:val="000000" w:themeColor="text1"/>
          <w:sz w:val="18"/>
          <w:szCs w:val="18"/>
        </w:rPr>
        <w:t>Table 16</w:t>
      </w:r>
      <w:r w:rsidRPr="0095425E">
        <w:rPr>
          <w:rFonts w:asciiTheme="minorHAnsi" w:eastAsiaTheme="minorEastAsia" w:hAnsiTheme="minorHAnsi" w:cstheme="minorBidi"/>
          <w:b/>
          <w:bCs/>
          <w:color w:val="000000" w:themeColor="text1"/>
          <w:sz w:val="18"/>
          <w:szCs w:val="18"/>
        </w:rPr>
        <w:t>.</w:t>
      </w:r>
      <w:r w:rsidRPr="0095425E">
        <w:rPr>
          <w:rFonts w:asciiTheme="minorHAnsi" w:eastAsiaTheme="minorEastAsia" w:hAnsiTheme="minorHAnsi" w:cstheme="minorBidi"/>
          <w:color w:val="000000" w:themeColor="text1"/>
          <w:sz w:val="18"/>
          <w:szCs w:val="18"/>
        </w:rPr>
        <w:t xml:space="preserve"> SAGE Program Feedback outcomes September-December 2018 identifying the percentage of participants meeting target outcomes at graduation. A minimum rating of 4/5 was used to indicate success, due to the accompanying measurement scale which assigns a value of “Mostly Agree” with the number 4.</w:t>
      </w:r>
    </w:p>
    <w:p w14:paraId="5EA93A1B" w14:textId="57DA6A67" w:rsidR="25E48963" w:rsidRPr="0095425E" w:rsidRDefault="270294E6" w:rsidP="00C519F7">
      <w:pPr>
        <w:rPr>
          <w:rFonts w:asciiTheme="minorHAnsi" w:eastAsiaTheme="minorEastAsia" w:hAnsiTheme="minorHAnsi" w:cstheme="minorBidi"/>
          <w:color w:val="000000" w:themeColor="text1"/>
        </w:rPr>
      </w:pPr>
      <w:r w:rsidRPr="0095425E">
        <w:rPr>
          <w:rFonts w:asciiTheme="minorHAnsi" w:eastAsiaTheme="minorEastAsia" w:hAnsiTheme="minorHAnsi" w:cstheme="minorBidi"/>
          <w:color w:val="000000" w:themeColor="text1"/>
        </w:rPr>
        <w:t xml:space="preserve">The contrasting outcomes between sessions can be attributed to the different starting points of participants. The </w:t>
      </w:r>
      <w:r w:rsidR="00C519F7">
        <w:rPr>
          <w:rFonts w:asciiTheme="minorHAnsi" w:eastAsiaTheme="minorEastAsia" w:hAnsiTheme="minorHAnsi" w:cstheme="minorBidi"/>
          <w:color w:val="000000" w:themeColor="text1"/>
        </w:rPr>
        <w:t>F</w:t>
      </w:r>
      <w:r w:rsidRPr="0095425E">
        <w:rPr>
          <w:rFonts w:asciiTheme="minorHAnsi" w:eastAsiaTheme="minorEastAsia" w:hAnsiTheme="minorHAnsi" w:cstheme="minorBidi"/>
          <w:color w:val="000000" w:themeColor="text1"/>
        </w:rPr>
        <w:t xml:space="preserve">all 2018 session had more individuals coming from First Nation communities that already had a high level of cultural competency. The participants that attended in spring 2019 had higher levels of skills obtained from prior programming, which may have reduced the number of individuals identifying that they used new skills. Across both sessions, 100% of participants identified that SAGE helped them to increase personal awareness, progress towards their goals, achieve their learning goals, reduce barriers to employment, and provided them with a safe and welcoming environment. </w:t>
      </w:r>
    </w:p>
    <w:p w14:paraId="77293DB3" w14:textId="77F47AA5" w:rsidR="00C519F7" w:rsidRDefault="270294E6" w:rsidP="00C519F7">
      <w:pPr>
        <w:rPr>
          <w:rFonts w:asciiTheme="minorHAnsi" w:eastAsiaTheme="minorEastAsia" w:hAnsiTheme="minorHAnsi" w:cstheme="minorBidi"/>
          <w:color w:val="000000" w:themeColor="text1"/>
        </w:rPr>
      </w:pPr>
      <w:r w:rsidRPr="0095425E">
        <w:rPr>
          <w:rFonts w:asciiTheme="minorHAnsi" w:eastAsiaTheme="minorEastAsia" w:hAnsiTheme="minorHAnsi" w:cstheme="minorBidi"/>
          <w:color w:val="000000" w:themeColor="text1"/>
        </w:rPr>
        <w:t xml:space="preserve">In the recent evaluation conducted of the SAGE program, a SAGE alumnus commented that beyond the comprehensive curriculum put forward by the program, her interaction and close </w:t>
      </w:r>
      <w:r w:rsidR="00C519F7">
        <w:rPr>
          <w:rFonts w:asciiTheme="minorHAnsi" w:eastAsiaTheme="minorEastAsia" w:hAnsiTheme="minorHAnsi" w:cstheme="minorBidi"/>
          <w:color w:val="000000" w:themeColor="text1"/>
        </w:rPr>
        <w:t xml:space="preserve">working </w:t>
      </w:r>
      <w:r w:rsidRPr="0095425E">
        <w:rPr>
          <w:rFonts w:asciiTheme="minorHAnsi" w:eastAsiaTheme="minorEastAsia" w:hAnsiTheme="minorHAnsi" w:cstheme="minorBidi"/>
          <w:color w:val="000000" w:themeColor="text1"/>
        </w:rPr>
        <w:t xml:space="preserve">relationship </w:t>
      </w:r>
      <w:r w:rsidR="00E10A92" w:rsidRPr="00E10A92">
        <w:rPr>
          <w:rFonts w:asciiTheme="minorHAnsi" w:eastAsiaTheme="minorEastAsia" w:hAnsiTheme="minorHAnsi" w:cstheme="minorBidi"/>
          <w:color w:val="000000" w:themeColor="text1"/>
        </w:rPr>
        <w:t>with EFry</w:t>
      </w:r>
      <w:r w:rsidRPr="0095425E">
        <w:rPr>
          <w:rFonts w:asciiTheme="minorHAnsi" w:eastAsiaTheme="minorEastAsia" w:hAnsiTheme="minorHAnsi" w:cstheme="minorBidi"/>
          <w:color w:val="000000" w:themeColor="text1"/>
        </w:rPr>
        <w:t xml:space="preserve"> staff made a transformative impact on her life. </w:t>
      </w:r>
    </w:p>
    <w:p w14:paraId="33FA432E" w14:textId="7130C602" w:rsidR="25E48963" w:rsidRPr="0095425E" w:rsidRDefault="270294E6" w:rsidP="00C519F7">
      <w:pPr>
        <w:rPr>
          <w:rFonts w:asciiTheme="minorHAnsi" w:eastAsiaTheme="minorEastAsia" w:hAnsiTheme="minorHAnsi" w:cstheme="minorBidi"/>
          <w:color w:val="000000" w:themeColor="text1"/>
        </w:rPr>
      </w:pPr>
      <w:r w:rsidRPr="0095425E">
        <w:rPr>
          <w:rFonts w:asciiTheme="minorHAnsi" w:eastAsiaTheme="minorEastAsia" w:hAnsiTheme="minorHAnsi" w:cstheme="minorBidi"/>
          <w:color w:val="000000" w:themeColor="text1"/>
        </w:rPr>
        <w:lastRenderedPageBreak/>
        <w:t>She remarked:</w:t>
      </w:r>
    </w:p>
    <w:p w14:paraId="0E21E6A7" w14:textId="29AB566E" w:rsidR="25E48963" w:rsidRPr="0095425E" w:rsidRDefault="270294E6" w:rsidP="00C519F7">
      <w:pPr>
        <w:spacing w:before="100"/>
        <w:ind w:left="720"/>
        <w:rPr>
          <w:rFonts w:asciiTheme="minorHAnsi" w:eastAsiaTheme="minorEastAsia" w:hAnsiTheme="minorHAnsi" w:cstheme="minorBidi"/>
          <w:color w:val="000000" w:themeColor="text1"/>
        </w:rPr>
      </w:pPr>
      <w:r w:rsidRPr="0095425E">
        <w:rPr>
          <w:rFonts w:asciiTheme="minorHAnsi" w:eastAsiaTheme="minorEastAsia" w:hAnsiTheme="minorHAnsi" w:cstheme="minorBidi"/>
          <w:color w:val="000000" w:themeColor="text1"/>
          <w:lang w:val="en-GB"/>
        </w:rPr>
        <w:t>" SAGE changed my life. Honestly the SAGE program helped me to open up and network more than I ever have been able to do. Completing the SAGE program gave me a sense of pride and sense of emotional wellbeing that I did not have before and it helped me to be integrated.”</w:t>
      </w:r>
    </w:p>
    <w:p w14:paraId="195C8E31" w14:textId="592E5F82" w:rsidR="25E48963" w:rsidRPr="0095425E" w:rsidRDefault="270294E6" w:rsidP="00C519F7">
      <w:pPr>
        <w:spacing w:before="0" w:line="240" w:lineRule="auto"/>
        <w:rPr>
          <w:rFonts w:asciiTheme="minorHAnsi" w:eastAsiaTheme="minorEastAsia" w:hAnsiTheme="minorHAnsi" w:cstheme="minorBidi"/>
          <w:color w:val="000000" w:themeColor="text1"/>
          <w:lang w:val="en-GB"/>
        </w:rPr>
      </w:pPr>
      <w:r w:rsidRPr="0095425E">
        <w:rPr>
          <w:rFonts w:asciiTheme="minorHAnsi" w:eastAsiaTheme="minorEastAsia" w:hAnsiTheme="minorHAnsi" w:cstheme="minorBidi"/>
          <w:color w:val="000000" w:themeColor="text1"/>
          <w:lang w:val="en-GB"/>
        </w:rPr>
        <w:t>As the findings in this section demonstrate, SAGE helps a significant portion of its participants that have the goal of finding employment or of upgrading their education to do exactly that. It empowers these women to cultivate the competencies and skillsets essential to finding gainful employment and to furthering their education.  It also works to promote the emotional, spiritual and cultural well-being necessary to create the underlying stability and confidence each participant needs in order to succeed in their goals.</w:t>
      </w:r>
    </w:p>
    <w:p w14:paraId="411D96DA" w14:textId="77777777" w:rsidR="00783C13" w:rsidRPr="0095425E" w:rsidRDefault="00783C13" w:rsidP="270294E6">
      <w:pPr>
        <w:spacing w:before="0" w:after="0" w:line="240" w:lineRule="auto"/>
        <w:rPr>
          <w:rFonts w:asciiTheme="minorHAnsi" w:eastAsiaTheme="minorEastAsia" w:hAnsiTheme="minorHAnsi" w:cstheme="minorBidi"/>
        </w:rPr>
      </w:pPr>
    </w:p>
    <w:p w14:paraId="20499B15" w14:textId="77777777" w:rsidR="00783C13" w:rsidRPr="0095425E" w:rsidRDefault="00783C13" w:rsidP="270294E6">
      <w:pPr>
        <w:rPr>
          <w:rFonts w:asciiTheme="minorHAnsi" w:eastAsiaTheme="minorEastAsia" w:hAnsiTheme="minorHAnsi" w:cstheme="minorBidi"/>
        </w:rPr>
      </w:pPr>
    </w:p>
    <w:p w14:paraId="42CF25B5" w14:textId="77777777" w:rsidR="00870D7F" w:rsidRPr="0095425E" w:rsidRDefault="00870D7F" w:rsidP="270294E6">
      <w:pPr>
        <w:spacing w:before="0" w:after="0" w:line="276" w:lineRule="auto"/>
        <w:rPr>
          <w:rFonts w:asciiTheme="minorHAnsi" w:eastAsiaTheme="minorEastAsia" w:hAnsiTheme="minorHAnsi" w:cstheme="minorBidi"/>
          <w:b/>
          <w:bCs/>
        </w:rPr>
      </w:pPr>
    </w:p>
    <w:p w14:paraId="1FE6699F" w14:textId="77777777" w:rsidR="00870D7F" w:rsidRPr="0095425E" w:rsidRDefault="00870D7F" w:rsidP="270294E6">
      <w:pPr>
        <w:spacing w:before="0" w:after="0" w:line="276" w:lineRule="auto"/>
        <w:rPr>
          <w:rFonts w:asciiTheme="minorHAnsi" w:eastAsiaTheme="minorEastAsia" w:hAnsiTheme="minorHAnsi" w:cstheme="minorBidi"/>
          <w:b/>
          <w:bCs/>
        </w:rPr>
      </w:pPr>
    </w:p>
    <w:p w14:paraId="656EBC92" w14:textId="77777777" w:rsidR="00870D7F" w:rsidRPr="0095425E" w:rsidRDefault="00870D7F" w:rsidP="270294E6">
      <w:pPr>
        <w:spacing w:before="0" w:after="0" w:line="276" w:lineRule="auto"/>
        <w:rPr>
          <w:rFonts w:asciiTheme="minorHAnsi" w:eastAsiaTheme="minorEastAsia" w:hAnsiTheme="minorHAnsi" w:cstheme="minorBidi"/>
          <w:b/>
          <w:bCs/>
        </w:rPr>
      </w:pPr>
    </w:p>
    <w:p w14:paraId="644515A3" w14:textId="77777777" w:rsidR="00870D7F" w:rsidRPr="0095425E" w:rsidRDefault="00870D7F" w:rsidP="270294E6">
      <w:pPr>
        <w:spacing w:before="0" w:after="0" w:line="240" w:lineRule="auto"/>
        <w:rPr>
          <w:rFonts w:asciiTheme="minorHAnsi" w:eastAsiaTheme="minorEastAsia" w:hAnsiTheme="minorHAnsi" w:cstheme="minorBidi"/>
        </w:rPr>
      </w:pPr>
    </w:p>
    <w:p w14:paraId="495BFDEF" w14:textId="77777777" w:rsidR="00870D7F" w:rsidRPr="0095425E" w:rsidRDefault="00870D7F" w:rsidP="270294E6">
      <w:pPr>
        <w:spacing w:before="0" w:after="0" w:line="240" w:lineRule="auto"/>
        <w:rPr>
          <w:rFonts w:asciiTheme="minorHAnsi" w:eastAsiaTheme="minorEastAsia" w:hAnsiTheme="minorHAnsi" w:cstheme="minorBidi"/>
        </w:rPr>
      </w:pPr>
    </w:p>
    <w:p w14:paraId="69298CFE" w14:textId="77777777" w:rsidR="00870D7F" w:rsidRPr="0095425E" w:rsidRDefault="00870D7F" w:rsidP="270294E6">
      <w:pPr>
        <w:widowControl w:val="0"/>
        <w:spacing w:before="0" w:after="0" w:line="240" w:lineRule="auto"/>
        <w:ind w:firstLine="720"/>
        <w:rPr>
          <w:rFonts w:asciiTheme="minorHAnsi" w:eastAsiaTheme="minorEastAsia" w:hAnsiTheme="minorHAnsi" w:cstheme="minorBidi"/>
        </w:rPr>
      </w:pPr>
    </w:p>
    <w:p w14:paraId="7A12DDF0" w14:textId="77777777" w:rsidR="00870D7F" w:rsidRPr="0095425E" w:rsidRDefault="00870D7F" w:rsidP="270294E6">
      <w:pPr>
        <w:spacing w:before="0" w:after="0" w:line="276" w:lineRule="auto"/>
        <w:ind w:firstLine="720"/>
        <w:rPr>
          <w:rFonts w:asciiTheme="minorHAnsi" w:eastAsiaTheme="minorEastAsia" w:hAnsiTheme="minorHAnsi" w:cstheme="minorBidi"/>
        </w:rPr>
      </w:pPr>
    </w:p>
    <w:p w14:paraId="40D92F15" w14:textId="77777777" w:rsidR="00870D7F" w:rsidRPr="0095425E" w:rsidRDefault="00870D7F" w:rsidP="270294E6">
      <w:pPr>
        <w:rPr>
          <w:rFonts w:asciiTheme="minorHAnsi" w:eastAsiaTheme="minorEastAsia" w:hAnsiTheme="minorHAnsi" w:cstheme="minorBidi"/>
          <w:color w:val="333333"/>
        </w:rPr>
      </w:pPr>
    </w:p>
    <w:sectPr w:rsidR="00870D7F" w:rsidRPr="0095425E">
      <w:footerReference w:type="default" r:id="rId12"/>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679FA" w14:textId="77777777" w:rsidR="00B866FF" w:rsidRDefault="00B866FF">
      <w:pPr>
        <w:spacing w:before="0" w:after="0" w:line="240" w:lineRule="auto"/>
      </w:pPr>
      <w:r>
        <w:separator/>
      </w:r>
    </w:p>
  </w:endnote>
  <w:endnote w:type="continuationSeparator" w:id="0">
    <w:p w14:paraId="2B2EB790" w14:textId="77777777" w:rsidR="00B866FF" w:rsidRDefault="00B866F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1361569"/>
      <w:docPartObj>
        <w:docPartGallery w:val="Page Numbers (Bottom of Page)"/>
        <w:docPartUnique/>
      </w:docPartObj>
    </w:sdtPr>
    <w:sdtEndPr>
      <w:rPr>
        <w:rFonts w:asciiTheme="minorHAnsi" w:hAnsiTheme="minorHAnsi" w:cstheme="minorHAnsi"/>
        <w:color w:val="7F7F7F" w:themeColor="background1" w:themeShade="7F"/>
        <w:spacing w:val="60"/>
      </w:rPr>
    </w:sdtEndPr>
    <w:sdtContent>
      <w:p w14:paraId="2FF2B06D" w14:textId="6B533BAD" w:rsidR="006D5266" w:rsidRPr="007925B5" w:rsidRDefault="006D5266">
        <w:pPr>
          <w:pStyle w:val="Footer"/>
          <w:pBdr>
            <w:top w:val="single" w:sz="4" w:space="1" w:color="D9D9D9" w:themeColor="background1" w:themeShade="D9"/>
          </w:pBdr>
          <w:jc w:val="right"/>
          <w:rPr>
            <w:rFonts w:asciiTheme="minorHAnsi" w:hAnsiTheme="minorHAnsi" w:cstheme="minorHAnsi"/>
          </w:rPr>
        </w:pPr>
        <w:r w:rsidRPr="007925B5">
          <w:rPr>
            <w:rFonts w:asciiTheme="minorHAnsi" w:hAnsiTheme="minorHAnsi" w:cstheme="minorHAnsi"/>
          </w:rPr>
          <w:fldChar w:fldCharType="begin"/>
        </w:r>
        <w:r w:rsidRPr="007925B5">
          <w:rPr>
            <w:rFonts w:asciiTheme="minorHAnsi" w:hAnsiTheme="minorHAnsi" w:cstheme="minorHAnsi"/>
          </w:rPr>
          <w:instrText xml:space="preserve"> PAGE   \* MERGEFORMAT </w:instrText>
        </w:r>
        <w:r w:rsidRPr="007925B5">
          <w:rPr>
            <w:rFonts w:asciiTheme="minorHAnsi" w:hAnsiTheme="minorHAnsi" w:cstheme="minorHAnsi"/>
          </w:rPr>
          <w:fldChar w:fldCharType="separate"/>
        </w:r>
        <w:r w:rsidRPr="007925B5">
          <w:rPr>
            <w:rFonts w:asciiTheme="minorHAnsi" w:hAnsiTheme="minorHAnsi" w:cstheme="minorHAnsi"/>
            <w:noProof/>
          </w:rPr>
          <w:t>2</w:t>
        </w:r>
        <w:r w:rsidRPr="007925B5">
          <w:rPr>
            <w:rFonts w:asciiTheme="minorHAnsi" w:hAnsiTheme="minorHAnsi" w:cstheme="minorHAnsi"/>
            <w:noProof/>
          </w:rPr>
          <w:fldChar w:fldCharType="end"/>
        </w:r>
        <w:r w:rsidRPr="007925B5">
          <w:rPr>
            <w:rFonts w:asciiTheme="minorHAnsi" w:hAnsiTheme="minorHAnsi" w:cstheme="minorHAnsi"/>
          </w:rPr>
          <w:t xml:space="preserve"> | </w:t>
        </w:r>
        <w:r w:rsidRPr="007925B5">
          <w:rPr>
            <w:rFonts w:asciiTheme="minorHAnsi" w:hAnsiTheme="minorHAnsi" w:cstheme="minorHAnsi"/>
            <w:color w:val="7F7F7F" w:themeColor="background1" w:themeShade="7F"/>
            <w:spacing w:val="60"/>
          </w:rPr>
          <w:t>Page</w:t>
        </w:r>
      </w:p>
    </w:sdtContent>
  </w:sdt>
  <w:p w14:paraId="6CE01401" w14:textId="77777777" w:rsidR="006D5266" w:rsidRDefault="006D5266">
    <w:pPr>
      <w:spacing w:before="0"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8A011" w14:textId="77777777" w:rsidR="00B866FF" w:rsidRDefault="00B866FF">
      <w:pPr>
        <w:spacing w:before="0" w:after="0" w:line="240" w:lineRule="auto"/>
      </w:pPr>
      <w:r>
        <w:separator/>
      </w:r>
    </w:p>
  </w:footnote>
  <w:footnote w:type="continuationSeparator" w:id="0">
    <w:p w14:paraId="12BF9142" w14:textId="77777777" w:rsidR="00B866FF" w:rsidRDefault="00B866FF">
      <w:pPr>
        <w:spacing w:before="0" w:after="0" w:line="240" w:lineRule="auto"/>
      </w:pPr>
      <w:r>
        <w:continuationSeparator/>
      </w:r>
    </w:p>
  </w:footnote>
  <w:footnote w:id="1">
    <w:p w14:paraId="7B8D6CAF" w14:textId="35F6084A" w:rsidR="006D5266" w:rsidRPr="00EB2D7F" w:rsidRDefault="006D5266" w:rsidP="00EB2D7F">
      <w:pPr>
        <w:pStyle w:val="FootnoteText"/>
        <w:rPr>
          <w:rFonts w:asciiTheme="minorHAnsi" w:hAnsiTheme="minorHAnsi"/>
        </w:rPr>
      </w:pPr>
      <w:r w:rsidRPr="00EB2D7F">
        <w:rPr>
          <w:rStyle w:val="FootnoteReference"/>
          <w:rFonts w:asciiTheme="minorHAnsi" w:hAnsiTheme="minorHAnsi"/>
        </w:rPr>
        <w:footnoteRef/>
      </w:r>
      <w:r w:rsidRPr="00EB2D7F">
        <w:rPr>
          <w:rFonts w:asciiTheme="minorHAnsi" w:hAnsiTheme="minorHAnsi"/>
        </w:rPr>
        <w:t xml:space="preserve"> Statistics Canada. Table  11-10-0241-01</w:t>
      </w:r>
      <w:r>
        <w:rPr>
          <w:rFonts w:asciiTheme="minorHAnsi" w:hAnsiTheme="minorHAnsi"/>
        </w:rPr>
        <w:t>.</w:t>
      </w:r>
      <w:r w:rsidRPr="00EB2D7F">
        <w:rPr>
          <w:rFonts w:asciiTheme="minorHAnsi" w:hAnsiTheme="minorHAnsi"/>
        </w:rPr>
        <w:t xml:space="preserve">   Low income cut-offs (LICOs) before and after tax by community size and family size, in current dollars</w:t>
      </w:r>
      <w:r>
        <w:rPr>
          <w:rFonts w:asciiTheme="minorHAnsi" w:hAnsi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0D432E"/>
    <w:multiLevelType w:val="hybridMultilevel"/>
    <w:tmpl w:val="01601F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1215E35"/>
    <w:multiLevelType w:val="hybridMultilevel"/>
    <w:tmpl w:val="A0E044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D7F"/>
    <w:rsid w:val="0000071E"/>
    <w:rsid w:val="0000414C"/>
    <w:rsid w:val="00010FB9"/>
    <w:rsid w:val="00036D8D"/>
    <w:rsid w:val="00041BEB"/>
    <w:rsid w:val="0007121A"/>
    <w:rsid w:val="0007492B"/>
    <w:rsid w:val="000A456D"/>
    <w:rsid w:val="000A5B09"/>
    <w:rsid w:val="000B7193"/>
    <w:rsid w:val="000F724F"/>
    <w:rsid w:val="00101131"/>
    <w:rsid w:val="00110398"/>
    <w:rsid w:val="00126F19"/>
    <w:rsid w:val="00131EF2"/>
    <w:rsid w:val="0013204C"/>
    <w:rsid w:val="0013357C"/>
    <w:rsid w:val="00153FC6"/>
    <w:rsid w:val="00163BE7"/>
    <w:rsid w:val="00175434"/>
    <w:rsid w:val="00196EBF"/>
    <w:rsid w:val="001A5149"/>
    <w:rsid w:val="001B748D"/>
    <w:rsid w:val="001C5333"/>
    <w:rsid w:val="001D1115"/>
    <w:rsid w:val="001E2C87"/>
    <w:rsid w:val="0024175C"/>
    <w:rsid w:val="002655D1"/>
    <w:rsid w:val="00280506"/>
    <w:rsid w:val="002C7966"/>
    <w:rsid w:val="002E0B8B"/>
    <w:rsid w:val="002F029C"/>
    <w:rsid w:val="002F7054"/>
    <w:rsid w:val="00303FBE"/>
    <w:rsid w:val="00316CD6"/>
    <w:rsid w:val="00325975"/>
    <w:rsid w:val="00332228"/>
    <w:rsid w:val="003439FD"/>
    <w:rsid w:val="0034C33A"/>
    <w:rsid w:val="00382162"/>
    <w:rsid w:val="003903A2"/>
    <w:rsid w:val="003A0398"/>
    <w:rsid w:val="003B6377"/>
    <w:rsid w:val="003C6CC5"/>
    <w:rsid w:val="003E7921"/>
    <w:rsid w:val="0044443B"/>
    <w:rsid w:val="00452F7C"/>
    <w:rsid w:val="004628FD"/>
    <w:rsid w:val="004630ED"/>
    <w:rsid w:val="004C3366"/>
    <w:rsid w:val="004D0A3F"/>
    <w:rsid w:val="004E7FCF"/>
    <w:rsid w:val="00511BAC"/>
    <w:rsid w:val="00516067"/>
    <w:rsid w:val="00517BAF"/>
    <w:rsid w:val="00520974"/>
    <w:rsid w:val="00530A43"/>
    <w:rsid w:val="005538C5"/>
    <w:rsid w:val="00584061"/>
    <w:rsid w:val="005A5D00"/>
    <w:rsid w:val="005C1D84"/>
    <w:rsid w:val="005D1037"/>
    <w:rsid w:val="005D3868"/>
    <w:rsid w:val="005D471A"/>
    <w:rsid w:val="005D6EEA"/>
    <w:rsid w:val="005E5F04"/>
    <w:rsid w:val="005F4C78"/>
    <w:rsid w:val="00607982"/>
    <w:rsid w:val="00623858"/>
    <w:rsid w:val="00656C16"/>
    <w:rsid w:val="0066672D"/>
    <w:rsid w:val="00680BAB"/>
    <w:rsid w:val="0069643E"/>
    <w:rsid w:val="006A3E04"/>
    <w:rsid w:val="006B5B89"/>
    <w:rsid w:val="006B7AFB"/>
    <w:rsid w:val="006C1120"/>
    <w:rsid w:val="006D33A1"/>
    <w:rsid w:val="006D5266"/>
    <w:rsid w:val="006D5EAD"/>
    <w:rsid w:val="006E7D30"/>
    <w:rsid w:val="00701A17"/>
    <w:rsid w:val="00724CA7"/>
    <w:rsid w:val="00732FDC"/>
    <w:rsid w:val="00765A96"/>
    <w:rsid w:val="00783C13"/>
    <w:rsid w:val="00785706"/>
    <w:rsid w:val="007925B5"/>
    <w:rsid w:val="007A70EF"/>
    <w:rsid w:val="007F3E33"/>
    <w:rsid w:val="00803575"/>
    <w:rsid w:val="00870D7F"/>
    <w:rsid w:val="008923B8"/>
    <w:rsid w:val="008B5EFB"/>
    <w:rsid w:val="0091424C"/>
    <w:rsid w:val="00937AFA"/>
    <w:rsid w:val="0095425E"/>
    <w:rsid w:val="009575DB"/>
    <w:rsid w:val="00965442"/>
    <w:rsid w:val="009718FA"/>
    <w:rsid w:val="00976623"/>
    <w:rsid w:val="009A0FE1"/>
    <w:rsid w:val="009B067A"/>
    <w:rsid w:val="009B2187"/>
    <w:rsid w:val="009C686A"/>
    <w:rsid w:val="009C7716"/>
    <w:rsid w:val="009D274D"/>
    <w:rsid w:val="00A04AAC"/>
    <w:rsid w:val="00A071BB"/>
    <w:rsid w:val="00A0797D"/>
    <w:rsid w:val="00A10B9D"/>
    <w:rsid w:val="00A14F40"/>
    <w:rsid w:val="00A6176E"/>
    <w:rsid w:val="00A709D9"/>
    <w:rsid w:val="00A751C3"/>
    <w:rsid w:val="00A85428"/>
    <w:rsid w:val="00A90D12"/>
    <w:rsid w:val="00AA17DF"/>
    <w:rsid w:val="00AA344E"/>
    <w:rsid w:val="00AC00F3"/>
    <w:rsid w:val="00AD6421"/>
    <w:rsid w:val="00B03FAD"/>
    <w:rsid w:val="00B10596"/>
    <w:rsid w:val="00B24C64"/>
    <w:rsid w:val="00B27567"/>
    <w:rsid w:val="00B343C9"/>
    <w:rsid w:val="00B63CBD"/>
    <w:rsid w:val="00B83626"/>
    <w:rsid w:val="00B866FF"/>
    <w:rsid w:val="00BA370D"/>
    <w:rsid w:val="00BD580B"/>
    <w:rsid w:val="00BD6AC8"/>
    <w:rsid w:val="00BE0838"/>
    <w:rsid w:val="00BE6C6B"/>
    <w:rsid w:val="00BE7408"/>
    <w:rsid w:val="00BF54A0"/>
    <w:rsid w:val="00C02603"/>
    <w:rsid w:val="00C31740"/>
    <w:rsid w:val="00C35C7A"/>
    <w:rsid w:val="00C40469"/>
    <w:rsid w:val="00C519F7"/>
    <w:rsid w:val="00C572BB"/>
    <w:rsid w:val="00C619BC"/>
    <w:rsid w:val="00CD326E"/>
    <w:rsid w:val="00D05786"/>
    <w:rsid w:val="00D33536"/>
    <w:rsid w:val="00D34A79"/>
    <w:rsid w:val="00D413AD"/>
    <w:rsid w:val="00D65D9A"/>
    <w:rsid w:val="00D70900"/>
    <w:rsid w:val="00D745EE"/>
    <w:rsid w:val="00D97546"/>
    <w:rsid w:val="00D97F2F"/>
    <w:rsid w:val="00DA2386"/>
    <w:rsid w:val="00DB109F"/>
    <w:rsid w:val="00DC099E"/>
    <w:rsid w:val="00DE6088"/>
    <w:rsid w:val="00E10A92"/>
    <w:rsid w:val="00E151C2"/>
    <w:rsid w:val="00E27024"/>
    <w:rsid w:val="00E51745"/>
    <w:rsid w:val="00E6134C"/>
    <w:rsid w:val="00E728FF"/>
    <w:rsid w:val="00E75127"/>
    <w:rsid w:val="00EA010B"/>
    <w:rsid w:val="00EA62D8"/>
    <w:rsid w:val="00EB2D7F"/>
    <w:rsid w:val="00EC4D60"/>
    <w:rsid w:val="00EF64A4"/>
    <w:rsid w:val="00F024FA"/>
    <w:rsid w:val="00F05253"/>
    <w:rsid w:val="00F12B66"/>
    <w:rsid w:val="00F408BD"/>
    <w:rsid w:val="00F82109"/>
    <w:rsid w:val="00F8600A"/>
    <w:rsid w:val="00F9457D"/>
    <w:rsid w:val="00FA323F"/>
    <w:rsid w:val="00FB07DF"/>
    <w:rsid w:val="00FC07A8"/>
    <w:rsid w:val="00FC39CF"/>
    <w:rsid w:val="00FF52AB"/>
    <w:rsid w:val="01401C71"/>
    <w:rsid w:val="014787FB"/>
    <w:rsid w:val="018E621A"/>
    <w:rsid w:val="01C70991"/>
    <w:rsid w:val="01D996A6"/>
    <w:rsid w:val="02366A5C"/>
    <w:rsid w:val="0252FA61"/>
    <w:rsid w:val="026A5B8A"/>
    <w:rsid w:val="027C23F1"/>
    <w:rsid w:val="02D8BF6A"/>
    <w:rsid w:val="030A6801"/>
    <w:rsid w:val="03366B93"/>
    <w:rsid w:val="03842660"/>
    <w:rsid w:val="038479B3"/>
    <w:rsid w:val="0391953D"/>
    <w:rsid w:val="03EE81E4"/>
    <w:rsid w:val="03F5DEAB"/>
    <w:rsid w:val="0411EDF7"/>
    <w:rsid w:val="041916E0"/>
    <w:rsid w:val="0456C413"/>
    <w:rsid w:val="0497927A"/>
    <w:rsid w:val="04C325E0"/>
    <w:rsid w:val="04ED25FD"/>
    <w:rsid w:val="051BC302"/>
    <w:rsid w:val="054D2FC5"/>
    <w:rsid w:val="05EF5C57"/>
    <w:rsid w:val="05F1C123"/>
    <w:rsid w:val="0624A6A4"/>
    <w:rsid w:val="0638B4B0"/>
    <w:rsid w:val="064AFD43"/>
    <w:rsid w:val="06717379"/>
    <w:rsid w:val="067ABFD3"/>
    <w:rsid w:val="067D997C"/>
    <w:rsid w:val="06E11232"/>
    <w:rsid w:val="06ED1204"/>
    <w:rsid w:val="07516BDF"/>
    <w:rsid w:val="0764A9F7"/>
    <w:rsid w:val="078BA856"/>
    <w:rsid w:val="07FD97DE"/>
    <w:rsid w:val="0822806E"/>
    <w:rsid w:val="08369BC8"/>
    <w:rsid w:val="085BAFB4"/>
    <w:rsid w:val="0891115C"/>
    <w:rsid w:val="08A7EA10"/>
    <w:rsid w:val="08B73791"/>
    <w:rsid w:val="08DA76E4"/>
    <w:rsid w:val="09165C18"/>
    <w:rsid w:val="092FDAC9"/>
    <w:rsid w:val="0940402E"/>
    <w:rsid w:val="097F8A1E"/>
    <w:rsid w:val="0A18858B"/>
    <w:rsid w:val="0A5F55C3"/>
    <w:rsid w:val="0A8F0F5B"/>
    <w:rsid w:val="0B210367"/>
    <w:rsid w:val="0B852F94"/>
    <w:rsid w:val="0C167367"/>
    <w:rsid w:val="0C44B242"/>
    <w:rsid w:val="0C53E512"/>
    <w:rsid w:val="0C65D9A1"/>
    <w:rsid w:val="0C8E2954"/>
    <w:rsid w:val="0CABC1E8"/>
    <w:rsid w:val="0D0DFB7B"/>
    <w:rsid w:val="0D11F200"/>
    <w:rsid w:val="0D2514E4"/>
    <w:rsid w:val="0D252F18"/>
    <w:rsid w:val="0D29F058"/>
    <w:rsid w:val="0D6AF008"/>
    <w:rsid w:val="0DAD3771"/>
    <w:rsid w:val="0DDFBC1C"/>
    <w:rsid w:val="0DF574F0"/>
    <w:rsid w:val="0DFA709A"/>
    <w:rsid w:val="0F298AFA"/>
    <w:rsid w:val="0F5C37A1"/>
    <w:rsid w:val="0FA6975A"/>
    <w:rsid w:val="0FCF0674"/>
    <w:rsid w:val="0FFECA2A"/>
    <w:rsid w:val="1070D208"/>
    <w:rsid w:val="10DACEF7"/>
    <w:rsid w:val="10E2EF29"/>
    <w:rsid w:val="1106BE6B"/>
    <w:rsid w:val="11546DC4"/>
    <w:rsid w:val="116D3FB3"/>
    <w:rsid w:val="11B977BE"/>
    <w:rsid w:val="11C9D8B3"/>
    <w:rsid w:val="11E14866"/>
    <w:rsid w:val="11F00C88"/>
    <w:rsid w:val="11FD7909"/>
    <w:rsid w:val="12187CDC"/>
    <w:rsid w:val="122B1D79"/>
    <w:rsid w:val="125E048E"/>
    <w:rsid w:val="128D45A8"/>
    <w:rsid w:val="12FEC301"/>
    <w:rsid w:val="130F1FB8"/>
    <w:rsid w:val="13235F7E"/>
    <w:rsid w:val="135A4B84"/>
    <w:rsid w:val="13831070"/>
    <w:rsid w:val="13C2F880"/>
    <w:rsid w:val="13C79BB7"/>
    <w:rsid w:val="13CEC99B"/>
    <w:rsid w:val="141D566C"/>
    <w:rsid w:val="143DF2BD"/>
    <w:rsid w:val="14EF22B9"/>
    <w:rsid w:val="1557843C"/>
    <w:rsid w:val="158EAC0B"/>
    <w:rsid w:val="158FECAB"/>
    <w:rsid w:val="15A7A421"/>
    <w:rsid w:val="15A84605"/>
    <w:rsid w:val="15C3D437"/>
    <w:rsid w:val="15F0D7DA"/>
    <w:rsid w:val="160468F1"/>
    <w:rsid w:val="1630D774"/>
    <w:rsid w:val="16509DB6"/>
    <w:rsid w:val="1651F01B"/>
    <w:rsid w:val="1686E0C7"/>
    <w:rsid w:val="16AE014F"/>
    <w:rsid w:val="16D4D552"/>
    <w:rsid w:val="17783728"/>
    <w:rsid w:val="17CEB604"/>
    <w:rsid w:val="181C9A59"/>
    <w:rsid w:val="18552EFC"/>
    <w:rsid w:val="185D598F"/>
    <w:rsid w:val="18821236"/>
    <w:rsid w:val="18839017"/>
    <w:rsid w:val="1898A68E"/>
    <w:rsid w:val="18F55BE2"/>
    <w:rsid w:val="18F8AC7F"/>
    <w:rsid w:val="19577B41"/>
    <w:rsid w:val="19604DEF"/>
    <w:rsid w:val="19AD70D1"/>
    <w:rsid w:val="19AFE1FB"/>
    <w:rsid w:val="19F6B333"/>
    <w:rsid w:val="1A01AD79"/>
    <w:rsid w:val="1A18EF9A"/>
    <w:rsid w:val="1A24037D"/>
    <w:rsid w:val="1A2E859E"/>
    <w:rsid w:val="1A6FCA71"/>
    <w:rsid w:val="1A7D596F"/>
    <w:rsid w:val="1AAAE634"/>
    <w:rsid w:val="1ABACDAB"/>
    <w:rsid w:val="1AFBB6AC"/>
    <w:rsid w:val="1B6EA7B7"/>
    <w:rsid w:val="1B78A881"/>
    <w:rsid w:val="1B9D7E6D"/>
    <w:rsid w:val="1BFA07D8"/>
    <w:rsid w:val="1CD3E866"/>
    <w:rsid w:val="1CD574A7"/>
    <w:rsid w:val="1CF1C9BB"/>
    <w:rsid w:val="1D3E56A4"/>
    <w:rsid w:val="1D4B9729"/>
    <w:rsid w:val="1DE8D95A"/>
    <w:rsid w:val="1E3B5D8E"/>
    <w:rsid w:val="1E3DF637"/>
    <w:rsid w:val="1E709BB8"/>
    <w:rsid w:val="1ECE50B3"/>
    <w:rsid w:val="1ED99937"/>
    <w:rsid w:val="1EE42AC1"/>
    <w:rsid w:val="1EE54A5D"/>
    <w:rsid w:val="1EF82DA7"/>
    <w:rsid w:val="1F0509FB"/>
    <w:rsid w:val="1F3767D2"/>
    <w:rsid w:val="1F4B5244"/>
    <w:rsid w:val="1F82C3A0"/>
    <w:rsid w:val="1F82DA0B"/>
    <w:rsid w:val="1FBE7BE7"/>
    <w:rsid w:val="1FC8B039"/>
    <w:rsid w:val="1FDF04C7"/>
    <w:rsid w:val="205D2A5B"/>
    <w:rsid w:val="208B92E2"/>
    <w:rsid w:val="20926B90"/>
    <w:rsid w:val="209B48EB"/>
    <w:rsid w:val="20F46A00"/>
    <w:rsid w:val="211DE884"/>
    <w:rsid w:val="21288088"/>
    <w:rsid w:val="21781FFA"/>
    <w:rsid w:val="219291E2"/>
    <w:rsid w:val="2199BC1A"/>
    <w:rsid w:val="21AB4D46"/>
    <w:rsid w:val="21BA45A0"/>
    <w:rsid w:val="21FAF640"/>
    <w:rsid w:val="220B8031"/>
    <w:rsid w:val="222529B8"/>
    <w:rsid w:val="229A07B5"/>
    <w:rsid w:val="22D662E4"/>
    <w:rsid w:val="22EB0367"/>
    <w:rsid w:val="22F8E7B9"/>
    <w:rsid w:val="23094734"/>
    <w:rsid w:val="230C071A"/>
    <w:rsid w:val="231847A1"/>
    <w:rsid w:val="23438284"/>
    <w:rsid w:val="236BB5FD"/>
    <w:rsid w:val="23A6A590"/>
    <w:rsid w:val="23CEEE8F"/>
    <w:rsid w:val="24233D66"/>
    <w:rsid w:val="24325C5E"/>
    <w:rsid w:val="24A1FF78"/>
    <w:rsid w:val="24CFF2CB"/>
    <w:rsid w:val="24D8B922"/>
    <w:rsid w:val="2522B571"/>
    <w:rsid w:val="253CC0D8"/>
    <w:rsid w:val="2547A0E3"/>
    <w:rsid w:val="2553079E"/>
    <w:rsid w:val="257BE1D3"/>
    <w:rsid w:val="25C87FED"/>
    <w:rsid w:val="25DB9945"/>
    <w:rsid w:val="25E0B469"/>
    <w:rsid w:val="25E48963"/>
    <w:rsid w:val="25EF2C72"/>
    <w:rsid w:val="25F5D768"/>
    <w:rsid w:val="26039A6B"/>
    <w:rsid w:val="2640F2CA"/>
    <w:rsid w:val="26530E20"/>
    <w:rsid w:val="270294E6"/>
    <w:rsid w:val="2726A5B2"/>
    <w:rsid w:val="273E6EF5"/>
    <w:rsid w:val="274451F6"/>
    <w:rsid w:val="27D6414B"/>
    <w:rsid w:val="284D987C"/>
    <w:rsid w:val="28923972"/>
    <w:rsid w:val="289B8914"/>
    <w:rsid w:val="28D4705A"/>
    <w:rsid w:val="294A8C1A"/>
    <w:rsid w:val="29B6D4B9"/>
    <w:rsid w:val="29CCD396"/>
    <w:rsid w:val="29E2413E"/>
    <w:rsid w:val="2A22083A"/>
    <w:rsid w:val="2A4ADF58"/>
    <w:rsid w:val="2A561FF3"/>
    <w:rsid w:val="2A65812B"/>
    <w:rsid w:val="2A7C00DE"/>
    <w:rsid w:val="2AA01E2C"/>
    <w:rsid w:val="2B67ADE6"/>
    <w:rsid w:val="2B7CF1A9"/>
    <w:rsid w:val="2BEA9B8E"/>
    <w:rsid w:val="2C1C42CF"/>
    <w:rsid w:val="2C5ACDA1"/>
    <w:rsid w:val="2CBE7EEA"/>
    <w:rsid w:val="2CD64B26"/>
    <w:rsid w:val="2CEEE81B"/>
    <w:rsid w:val="2D531BC7"/>
    <w:rsid w:val="2D6A1AC1"/>
    <w:rsid w:val="2D820261"/>
    <w:rsid w:val="2D9A8E50"/>
    <w:rsid w:val="2DB22523"/>
    <w:rsid w:val="2DC2CA89"/>
    <w:rsid w:val="2DC4019C"/>
    <w:rsid w:val="2DDE979F"/>
    <w:rsid w:val="2DEBE082"/>
    <w:rsid w:val="2E033B9A"/>
    <w:rsid w:val="2E701C2F"/>
    <w:rsid w:val="2E790228"/>
    <w:rsid w:val="2E8B1717"/>
    <w:rsid w:val="2EA6DF7A"/>
    <w:rsid w:val="2F5E40C2"/>
    <w:rsid w:val="2F7F40A7"/>
    <w:rsid w:val="2F8685F6"/>
    <w:rsid w:val="2FA2B068"/>
    <w:rsid w:val="2FD3D7ED"/>
    <w:rsid w:val="305AA29F"/>
    <w:rsid w:val="30860A45"/>
    <w:rsid w:val="30C25668"/>
    <w:rsid w:val="30CC870C"/>
    <w:rsid w:val="314C17D2"/>
    <w:rsid w:val="3170F205"/>
    <w:rsid w:val="31BAE7B2"/>
    <w:rsid w:val="31DF1786"/>
    <w:rsid w:val="320902A6"/>
    <w:rsid w:val="322A0DB6"/>
    <w:rsid w:val="33000680"/>
    <w:rsid w:val="3313E255"/>
    <w:rsid w:val="3329DC08"/>
    <w:rsid w:val="332C2A7B"/>
    <w:rsid w:val="3333502F"/>
    <w:rsid w:val="335A7BE6"/>
    <w:rsid w:val="336BB8CC"/>
    <w:rsid w:val="33B81FA8"/>
    <w:rsid w:val="33CD06D2"/>
    <w:rsid w:val="345A3B40"/>
    <w:rsid w:val="34D86742"/>
    <w:rsid w:val="35F15714"/>
    <w:rsid w:val="35F706B1"/>
    <w:rsid w:val="36060F11"/>
    <w:rsid w:val="36346EEE"/>
    <w:rsid w:val="366B8FC1"/>
    <w:rsid w:val="366DAEBC"/>
    <w:rsid w:val="367C58CE"/>
    <w:rsid w:val="367D30EA"/>
    <w:rsid w:val="368EB019"/>
    <w:rsid w:val="36DEE36C"/>
    <w:rsid w:val="3703DE8B"/>
    <w:rsid w:val="3742D76D"/>
    <w:rsid w:val="378D38F7"/>
    <w:rsid w:val="37E3AE8E"/>
    <w:rsid w:val="380567E4"/>
    <w:rsid w:val="3814AA7D"/>
    <w:rsid w:val="3826164D"/>
    <w:rsid w:val="38505489"/>
    <w:rsid w:val="38561979"/>
    <w:rsid w:val="38643E1A"/>
    <w:rsid w:val="3869D7D1"/>
    <w:rsid w:val="3890E959"/>
    <w:rsid w:val="38961925"/>
    <w:rsid w:val="38E848AD"/>
    <w:rsid w:val="390A4936"/>
    <w:rsid w:val="390F39C5"/>
    <w:rsid w:val="3948DFFD"/>
    <w:rsid w:val="3A0203D4"/>
    <w:rsid w:val="3A08A29B"/>
    <w:rsid w:val="3A3F2707"/>
    <w:rsid w:val="3A400558"/>
    <w:rsid w:val="3AA501C9"/>
    <w:rsid w:val="3ABB16A5"/>
    <w:rsid w:val="3AC31973"/>
    <w:rsid w:val="3B234371"/>
    <w:rsid w:val="3BE4A2F3"/>
    <w:rsid w:val="3C0F27CF"/>
    <w:rsid w:val="3C15584C"/>
    <w:rsid w:val="3C71E457"/>
    <w:rsid w:val="3C92EE22"/>
    <w:rsid w:val="3CA5DFD9"/>
    <w:rsid w:val="3CD8E75D"/>
    <w:rsid w:val="3CEA2C85"/>
    <w:rsid w:val="3D2190E1"/>
    <w:rsid w:val="3D2A8B99"/>
    <w:rsid w:val="3D2E4DF4"/>
    <w:rsid w:val="3DD69EFE"/>
    <w:rsid w:val="3DEC8FBB"/>
    <w:rsid w:val="3E01D875"/>
    <w:rsid w:val="3E350F36"/>
    <w:rsid w:val="3E391CA7"/>
    <w:rsid w:val="3E546789"/>
    <w:rsid w:val="3EAC9EC2"/>
    <w:rsid w:val="3EEBE316"/>
    <w:rsid w:val="3EF0B502"/>
    <w:rsid w:val="3F25EFD9"/>
    <w:rsid w:val="3F5358D9"/>
    <w:rsid w:val="3FD47636"/>
    <w:rsid w:val="3FE1923D"/>
    <w:rsid w:val="3FEF695A"/>
    <w:rsid w:val="406C2C94"/>
    <w:rsid w:val="406FE358"/>
    <w:rsid w:val="40A11B8C"/>
    <w:rsid w:val="40D82343"/>
    <w:rsid w:val="4151D45E"/>
    <w:rsid w:val="41C84DC8"/>
    <w:rsid w:val="41CA533A"/>
    <w:rsid w:val="422A4E06"/>
    <w:rsid w:val="4230ED28"/>
    <w:rsid w:val="42A8085A"/>
    <w:rsid w:val="42B0A0BB"/>
    <w:rsid w:val="42E69D6B"/>
    <w:rsid w:val="432328DB"/>
    <w:rsid w:val="434C522B"/>
    <w:rsid w:val="4355818C"/>
    <w:rsid w:val="43598ADC"/>
    <w:rsid w:val="43C2A7A4"/>
    <w:rsid w:val="44275203"/>
    <w:rsid w:val="44394158"/>
    <w:rsid w:val="445BBA20"/>
    <w:rsid w:val="44C3837A"/>
    <w:rsid w:val="44F13DE4"/>
    <w:rsid w:val="4553B97A"/>
    <w:rsid w:val="45604BF3"/>
    <w:rsid w:val="4592CE6D"/>
    <w:rsid w:val="45B33195"/>
    <w:rsid w:val="45DDBA9C"/>
    <w:rsid w:val="46019CFF"/>
    <w:rsid w:val="46833935"/>
    <w:rsid w:val="46B345FD"/>
    <w:rsid w:val="46FC5547"/>
    <w:rsid w:val="4736DBC3"/>
    <w:rsid w:val="47654ABE"/>
    <w:rsid w:val="47FA2C40"/>
    <w:rsid w:val="4863A9CB"/>
    <w:rsid w:val="489D85E7"/>
    <w:rsid w:val="48A565B0"/>
    <w:rsid w:val="48AD03B5"/>
    <w:rsid w:val="4925E0E1"/>
    <w:rsid w:val="49416D3A"/>
    <w:rsid w:val="494F5622"/>
    <w:rsid w:val="4979FBE8"/>
    <w:rsid w:val="49C0D6C5"/>
    <w:rsid w:val="49EE3CCA"/>
    <w:rsid w:val="49F3E519"/>
    <w:rsid w:val="4A0EEB14"/>
    <w:rsid w:val="4A596FFB"/>
    <w:rsid w:val="4A9E430B"/>
    <w:rsid w:val="4AA0018E"/>
    <w:rsid w:val="4AA0330D"/>
    <w:rsid w:val="4AC30FE6"/>
    <w:rsid w:val="4AE7EF76"/>
    <w:rsid w:val="4B2A3078"/>
    <w:rsid w:val="4B389D7B"/>
    <w:rsid w:val="4B4FA95B"/>
    <w:rsid w:val="4B56DA03"/>
    <w:rsid w:val="4BF2E083"/>
    <w:rsid w:val="4C4A125B"/>
    <w:rsid w:val="4C745CE5"/>
    <w:rsid w:val="4CCDE250"/>
    <w:rsid w:val="4CD45309"/>
    <w:rsid w:val="4CFAD6F9"/>
    <w:rsid w:val="4D22F859"/>
    <w:rsid w:val="4D727802"/>
    <w:rsid w:val="4DCAF2D7"/>
    <w:rsid w:val="4DD4E26A"/>
    <w:rsid w:val="4E514971"/>
    <w:rsid w:val="4E5792A8"/>
    <w:rsid w:val="4E7AA6EA"/>
    <w:rsid w:val="4E84B993"/>
    <w:rsid w:val="4E84C7E6"/>
    <w:rsid w:val="4EA67D88"/>
    <w:rsid w:val="4EAF14D6"/>
    <w:rsid w:val="4ECA6A58"/>
    <w:rsid w:val="4F20E338"/>
    <w:rsid w:val="4F2A498E"/>
    <w:rsid w:val="4F2B95BD"/>
    <w:rsid w:val="4F47BAB7"/>
    <w:rsid w:val="4F4E85A4"/>
    <w:rsid w:val="4F5B69C6"/>
    <w:rsid w:val="4F66418F"/>
    <w:rsid w:val="4F72F5CE"/>
    <w:rsid w:val="4F7F7349"/>
    <w:rsid w:val="4F8A260D"/>
    <w:rsid w:val="4FA8928C"/>
    <w:rsid w:val="4FF6DE6C"/>
    <w:rsid w:val="50126E08"/>
    <w:rsid w:val="50714569"/>
    <w:rsid w:val="50883E03"/>
    <w:rsid w:val="50B1F96E"/>
    <w:rsid w:val="50B5CF90"/>
    <w:rsid w:val="50E0449E"/>
    <w:rsid w:val="50FF781A"/>
    <w:rsid w:val="512693C5"/>
    <w:rsid w:val="512895D4"/>
    <w:rsid w:val="5133684E"/>
    <w:rsid w:val="515CF774"/>
    <w:rsid w:val="5175467D"/>
    <w:rsid w:val="51855752"/>
    <w:rsid w:val="51D8C025"/>
    <w:rsid w:val="52016EBE"/>
    <w:rsid w:val="523534BB"/>
    <w:rsid w:val="523A1C89"/>
    <w:rsid w:val="52892EB1"/>
    <w:rsid w:val="52B130AE"/>
    <w:rsid w:val="530CB08F"/>
    <w:rsid w:val="5311C93D"/>
    <w:rsid w:val="53518B3B"/>
    <w:rsid w:val="53629D33"/>
    <w:rsid w:val="53831A58"/>
    <w:rsid w:val="53B53B73"/>
    <w:rsid w:val="53C6E82C"/>
    <w:rsid w:val="5437FA0B"/>
    <w:rsid w:val="54418D10"/>
    <w:rsid w:val="544269CC"/>
    <w:rsid w:val="5491DA71"/>
    <w:rsid w:val="54AD6648"/>
    <w:rsid w:val="54DCF91D"/>
    <w:rsid w:val="5502E514"/>
    <w:rsid w:val="550C2B64"/>
    <w:rsid w:val="5519C170"/>
    <w:rsid w:val="553C1D61"/>
    <w:rsid w:val="554804A0"/>
    <w:rsid w:val="555D2C92"/>
    <w:rsid w:val="558C4F18"/>
    <w:rsid w:val="55AA8921"/>
    <w:rsid w:val="55C45C4E"/>
    <w:rsid w:val="55FCED18"/>
    <w:rsid w:val="55FDB001"/>
    <w:rsid w:val="5613D280"/>
    <w:rsid w:val="561FA8BB"/>
    <w:rsid w:val="562E5941"/>
    <w:rsid w:val="5650F368"/>
    <w:rsid w:val="5652F3C7"/>
    <w:rsid w:val="56590EE1"/>
    <w:rsid w:val="566F4DA6"/>
    <w:rsid w:val="5679137C"/>
    <w:rsid w:val="567A8750"/>
    <w:rsid w:val="567D6A40"/>
    <w:rsid w:val="56E06F39"/>
    <w:rsid w:val="570FCDEB"/>
    <w:rsid w:val="577D2F4A"/>
    <w:rsid w:val="57BAFDE6"/>
    <w:rsid w:val="57DFEDFF"/>
    <w:rsid w:val="57F110EC"/>
    <w:rsid w:val="580E73B3"/>
    <w:rsid w:val="581E64BC"/>
    <w:rsid w:val="58B41923"/>
    <w:rsid w:val="58BFE665"/>
    <w:rsid w:val="58E49C3F"/>
    <w:rsid w:val="58FC3B49"/>
    <w:rsid w:val="59329BEA"/>
    <w:rsid w:val="59AB0760"/>
    <w:rsid w:val="5A025608"/>
    <w:rsid w:val="5A4E4543"/>
    <w:rsid w:val="5A6B7BCA"/>
    <w:rsid w:val="5A6D44D5"/>
    <w:rsid w:val="5AA0F149"/>
    <w:rsid w:val="5AA91C1F"/>
    <w:rsid w:val="5AC9A71B"/>
    <w:rsid w:val="5ACE86C0"/>
    <w:rsid w:val="5AE6BE1C"/>
    <w:rsid w:val="5AFB6155"/>
    <w:rsid w:val="5B37F0D7"/>
    <w:rsid w:val="5B7F1A41"/>
    <w:rsid w:val="5B816326"/>
    <w:rsid w:val="5BD13F06"/>
    <w:rsid w:val="5C0CA584"/>
    <w:rsid w:val="5C35A8BF"/>
    <w:rsid w:val="5C977B2E"/>
    <w:rsid w:val="5CB0CAD9"/>
    <w:rsid w:val="5CC96340"/>
    <w:rsid w:val="5D34492C"/>
    <w:rsid w:val="5D37E954"/>
    <w:rsid w:val="5D436823"/>
    <w:rsid w:val="5D53F996"/>
    <w:rsid w:val="5D61C67F"/>
    <w:rsid w:val="5E3D4305"/>
    <w:rsid w:val="5E5AD4D8"/>
    <w:rsid w:val="5F3C0664"/>
    <w:rsid w:val="5F6C5139"/>
    <w:rsid w:val="5FA8C05E"/>
    <w:rsid w:val="5FD4A9BE"/>
    <w:rsid w:val="60279432"/>
    <w:rsid w:val="602C55FB"/>
    <w:rsid w:val="6082B0B7"/>
    <w:rsid w:val="60A3B452"/>
    <w:rsid w:val="60BF9C3A"/>
    <w:rsid w:val="611F9289"/>
    <w:rsid w:val="612F72E8"/>
    <w:rsid w:val="61C22203"/>
    <w:rsid w:val="61EFC0E2"/>
    <w:rsid w:val="62557617"/>
    <w:rsid w:val="626D76FD"/>
    <w:rsid w:val="628A3F11"/>
    <w:rsid w:val="62D61C95"/>
    <w:rsid w:val="632836DF"/>
    <w:rsid w:val="63553C88"/>
    <w:rsid w:val="636237B2"/>
    <w:rsid w:val="63B84A68"/>
    <w:rsid w:val="6419510B"/>
    <w:rsid w:val="64DE355F"/>
    <w:rsid w:val="64E1AA83"/>
    <w:rsid w:val="655D48CB"/>
    <w:rsid w:val="655E4F15"/>
    <w:rsid w:val="6579E29C"/>
    <w:rsid w:val="6616F4D7"/>
    <w:rsid w:val="667F6B98"/>
    <w:rsid w:val="66B68456"/>
    <w:rsid w:val="66B98A4B"/>
    <w:rsid w:val="670CFC85"/>
    <w:rsid w:val="677C169E"/>
    <w:rsid w:val="678ED1F2"/>
    <w:rsid w:val="67BBA29A"/>
    <w:rsid w:val="680DA53D"/>
    <w:rsid w:val="688E8F04"/>
    <w:rsid w:val="68F9F2DE"/>
    <w:rsid w:val="69D37482"/>
    <w:rsid w:val="69DCC953"/>
    <w:rsid w:val="6A001692"/>
    <w:rsid w:val="6A0A8E5A"/>
    <w:rsid w:val="6A2B354F"/>
    <w:rsid w:val="6A7BAC1D"/>
    <w:rsid w:val="6AAA9AEA"/>
    <w:rsid w:val="6AED1D4D"/>
    <w:rsid w:val="6B09F471"/>
    <w:rsid w:val="6B168364"/>
    <w:rsid w:val="6B1B2604"/>
    <w:rsid w:val="6B1EDEF9"/>
    <w:rsid w:val="6BB35324"/>
    <w:rsid w:val="6BE1A1F3"/>
    <w:rsid w:val="6D3C34B0"/>
    <w:rsid w:val="6D4E40E6"/>
    <w:rsid w:val="6D76C94A"/>
    <w:rsid w:val="6D7EA208"/>
    <w:rsid w:val="6D80C69C"/>
    <w:rsid w:val="6D9322C5"/>
    <w:rsid w:val="6DBA9BFA"/>
    <w:rsid w:val="6DCC2147"/>
    <w:rsid w:val="6DDB348A"/>
    <w:rsid w:val="6DE9E33B"/>
    <w:rsid w:val="6E042508"/>
    <w:rsid w:val="6E05D337"/>
    <w:rsid w:val="6E0C25CC"/>
    <w:rsid w:val="6E179087"/>
    <w:rsid w:val="6E65ACD6"/>
    <w:rsid w:val="6E66E53E"/>
    <w:rsid w:val="705462EF"/>
    <w:rsid w:val="707268BD"/>
    <w:rsid w:val="7105F5D9"/>
    <w:rsid w:val="7106E26C"/>
    <w:rsid w:val="71305A61"/>
    <w:rsid w:val="71450357"/>
    <w:rsid w:val="715B02F8"/>
    <w:rsid w:val="717B61E3"/>
    <w:rsid w:val="71DDFA82"/>
    <w:rsid w:val="7230E048"/>
    <w:rsid w:val="725AB92C"/>
    <w:rsid w:val="7267A420"/>
    <w:rsid w:val="726E5267"/>
    <w:rsid w:val="72734F51"/>
    <w:rsid w:val="7296D749"/>
    <w:rsid w:val="7373AA59"/>
    <w:rsid w:val="7394B6BF"/>
    <w:rsid w:val="74291621"/>
    <w:rsid w:val="74B8B2A0"/>
    <w:rsid w:val="74E6FDE8"/>
    <w:rsid w:val="75556E71"/>
    <w:rsid w:val="7584974F"/>
    <w:rsid w:val="7590BD0B"/>
    <w:rsid w:val="75BEA8EE"/>
    <w:rsid w:val="7601C883"/>
    <w:rsid w:val="761E6525"/>
    <w:rsid w:val="767B56EF"/>
    <w:rsid w:val="7698D7FA"/>
    <w:rsid w:val="76B9D12A"/>
    <w:rsid w:val="76BEFD4E"/>
    <w:rsid w:val="76C52533"/>
    <w:rsid w:val="772A1744"/>
    <w:rsid w:val="77322523"/>
    <w:rsid w:val="775E57D8"/>
    <w:rsid w:val="77684DF4"/>
    <w:rsid w:val="7781D19F"/>
    <w:rsid w:val="77CD7420"/>
    <w:rsid w:val="7816071D"/>
    <w:rsid w:val="7852BEFB"/>
    <w:rsid w:val="78E29064"/>
    <w:rsid w:val="794BADAD"/>
    <w:rsid w:val="79CCC7D1"/>
    <w:rsid w:val="79D26227"/>
    <w:rsid w:val="79ED7E73"/>
    <w:rsid w:val="79EE1105"/>
    <w:rsid w:val="7A2980E2"/>
    <w:rsid w:val="7A70C476"/>
    <w:rsid w:val="7A74B32C"/>
    <w:rsid w:val="7AA8A9D5"/>
    <w:rsid w:val="7AF64C95"/>
    <w:rsid w:val="7B35C00B"/>
    <w:rsid w:val="7B498900"/>
    <w:rsid w:val="7B557F36"/>
    <w:rsid w:val="7B76D7D4"/>
    <w:rsid w:val="7B862997"/>
    <w:rsid w:val="7C75AFCF"/>
    <w:rsid w:val="7C788FF2"/>
    <w:rsid w:val="7C7930CD"/>
    <w:rsid w:val="7C842F12"/>
    <w:rsid w:val="7CB73D5A"/>
    <w:rsid w:val="7CED2C5A"/>
    <w:rsid w:val="7D49A305"/>
    <w:rsid w:val="7D6E135B"/>
    <w:rsid w:val="7D6E14E0"/>
    <w:rsid w:val="7DB30D3C"/>
    <w:rsid w:val="7DB737BF"/>
    <w:rsid w:val="7E9A12FA"/>
    <w:rsid w:val="7E9E40DE"/>
    <w:rsid w:val="7EDE5CF5"/>
    <w:rsid w:val="7EF3006F"/>
    <w:rsid w:val="7F063F6E"/>
    <w:rsid w:val="7F087C8C"/>
    <w:rsid w:val="7F61135F"/>
    <w:rsid w:val="7F810326"/>
    <w:rsid w:val="7F981B09"/>
    <w:rsid w:val="7FAE18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847ED"/>
  <w15:docId w15:val="{794D7C1B-69A1-4A2B-8778-C7C443FEF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rbel" w:eastAsia="Corbel" w:hAnsi="Corbel" w:cs="Corbel"/>
        <w:color w:val="000000"/>
        <w:sz w:val="22"/>
        <w:szCs w:val="22"/>
        <w:lang w:val="en-US" w:eastAsia="en-CA" w:bidi="ar-SA"/>
      </w:rPr>
    </w:rPrDefault>
    <w:pPrDefault>
      <w:pPr>
        <w:pBdr>
          <w:top w:val="nil"/>
          <w:left w:val="nil"/>
          <w:bottom w:val="nil"/>
          <w:right w:val="nil"/>
          <w:between w:val="nil"/>
        </w:pBd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1740"/>
  </w:style>
  <w:style w:type="paragraph" w:styleId="Heading1">
    <w:name w:val="heading 1"/>
    <w:basedOn w:val="Normal"/>
    <w:next w:val="Normal"/>
    <w:link w:val="Heading1Char"/>
    <w:pPr>
      <w:pBdr>
        <w:top w:val="single" w:sz="24" w:space="0" w:color="0673A5"/>
        <w:left w:val="single" w:sz="24" w:space="0" w:color="0673A5"/>
        <w:bottom w:val="single" w:sz="24" w:space="0" w:color="0673A5"/>
        <w:right w:val="single" w:sz="24" w:space="0" w:color="0673A5"/>
      </w:pBdr>
      <w:shd w:val="clear" w:color="auto" w:fill="0673A5"/>
      <w:spacing w:after="0"/>
      <w:outlineLvl w:val="0"/>
    </w:pPr>
    <w:rPr>
      <w:smallCaps/>
      <w:color w:val="FFFFFF"/>
    </w:rPr>
  </w:style>
  <w:style w:type="paragraph" w:styleId="Heading2">
    <w:name w:val="heading 2"/>
    <w:basedOn w:val="Normal"/>
    <w:next w:val="Normal"/>
    <w:link w:val="Heading2Char"/>
    <w:pPr>
      <w:pBdr>
        <w:top w:val="single" w:sz="24" w:space="0" w:color="C9ECFC"/>
        <w:left w:val="single" w:sz="24" w:space="0" w:color="C9ECFC"/>
        <w:bottom w:val="single" w:sz="24" w:space="0" w:color="C9ECFC"/>
        <w:right w:val="single" w:sz="24" w:space="0" w:color="C9ECFC"/>
      </w:pBdr>
      <w:shd w:val="clear" w:color="auto" w:fill="C9ECFC"/>
      <w:spacing w:after="0"/>
      <w:outlineLvl w:val="1"/>
    </w:pPr>
    <w:rPr>
      <w:smallCaps/>
    </w:rPr>
  </w:style>
  <w:style w:type="paragraph" w:styleId="Heading3">
    <w:name w:val="heading 3"/>
    <w:basedOn w:val="Normal"/>
    <w:next w:val="Normal"/>
    <w:pPr>
      <w:pBdr>
        <w:top w:val="single" w:sz="6" w:space="2" w:color="099BDD"/>
      </w:pBdr>
      <w:spacing w:before="300" w:after="0"/>
      <w:outlineLvl w:val="2"/>
    </w:pPr>
    <w:rPr>
      <w:smallCaps/>
      <w:color w:val="044D6E"/>
    </w:rPr>
  </w:style>
  <w:style w:type="paragraph" w:styleId="Heading4">
    <w:name w:val="heading 4"/>
    <w:basedOn w:val="Normal"/>
    <w:next w:val="Normal"/>
    <w:pPr>
      <w:pBdr>
        <w:top w:val="dotted" w:sz="6" w:space="2" w:color="099BDD"/>
      </w:pBdr>
      <w:spacing w:before="200" w:after="0"/>
      <w:outlineLvl w:val="3"/>
    </w:pPr>
    <w:rPr>
      <w:smallCaps/>
      <w:color w:val="0673A5"/>
    </w:rPr>
  </w:style>
  <w:style w:type="paragraph" w:styleId="Heading5">
    <w:name w:val="heading 5"/>
    <w:basedOn w:val="Normal"/>
    <w:next w:val="Normal"/>
    <w:pPr>
      <w:pBdr>
        <w:bottom w:val="single" w:sz="6" w:space="1" w:color="099BDD"/>
      </w:pBdr>
      <w:spacing w:before="200" w:after="0"/>
      <w:outlineLvl w:val="4"/>
    </w:pPr>
    <w:rPr>
      <w:smallCaps/>
      <w:color w:val="0673A5"/>
    </w:rPr>
  </w:style>
  <w:style w:type="paragraph" w:styleId="Heading6">
    <w:name w:val="heading 6"/>
    <w:basedOn w:val="Normal"/>
    <w:next w:val="Normal"/>
    <w:pPr>
      <w:pBdr>
        <w:bottom w:val="dotted" w:sz="6" w:space="1" w:color="099BDD"/>
      </w:pBdr>
      <w:spacing w:before="200" w:after="0"/>
      <w:outlineLvl w:val="5"/>
    </w:pPr>
    <w:rPr>
      <w:smallCaps/>
      <w:color w:val="0673A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spacing w:before="0" w:after="0"/>
    </w:pPr>
    <w:rPr>
      <w:smallCaps/>
      <w:color w:val="0673A5"/>
      <w:sz w:val="52"/>
      <w:szCs w:val="52"/>
    </w:rPr>
  </w:style>
  <w:style w:type="paragraph" w:styleId="Subtitle">
    <w:name w:val="Subtitle"/>
    <w:basedOn w:val="Normal"/>
    <w:next w:val="Normal"/>
    <w:pPr>
      <w:spacing w:after="160"/>
    </w:pPr>
    <w:rPr>
      <w:color w:val="404040"/>
    </w:rPr>
  </w:style>
  <w:style w:type="paragraph" w:styleId="NoSpacing">
    <w:name w:val="No Spacing"/>
    <w:link w:val="NoSpacingChar"/>
    <w:uiPriority w:val="1"/>
    <w:qFormat/>
    <w:rsid w:val="002F7054"/>
    <w:pPr>
      <w:spacing w:before="0" w:after="0" w:line="240" w:lineRule="auto"/>
    </w:pPr>
  </w:style>
  <w:style w:type="character" w:customStyle="1" w:styleId="Heading1Char">
    <w:name w:val="Heading 1 Char"/>
    <w:basedOn w:val="DefaultParagraphFont"/>
    <w:link w:val="Heading1"/>
    <w:rsid w:val="00C31740"/>
    <w:rPr>
      <w:smallCaps/>
      <w:color w:val="FFFFFF"/>
      <w:shd w:val="clear" w:color="auto" w:fill="0673A5"/>
    </w:rPr>
  </w:style>
  <w:style w:type="character" w:customStyle="1" w:styleId="Heading2Char">
    <w:name w:val="Heading 2 Char"/>
    <w:basedOn w:val="DefaultParagraphFont"/>
    <w:link w:val="Heading2"/>
    <w:rsid w:val="00C31740"/>
    <w:rPr>
      <w:smallCaps/>
      <w:shd w:val="clear" w:color="auto" w:fill="C9ECFC"/>
    </w:rPr>
  </w:style>
  <w:style w:type="character" w:customStyle="1" w:styleId="TitleChar">
    <w:name w:val="Title Char"/>
    <w:basedOn w:val="DefaultParagraphFont"/>
    <w:link w:val="Title"/>
    <w:rsid w:val="00C31740"/>
    <w:rPr>
      <w:smallCaps/>
      <w:color w:val="0673A5"/>
      <w:sz w:val="52"/>
      <w:szCs w:val="52"/>
    </w:rPr>
  </w:style>
  <w:style w:type="paragraph" w:styleId="ListParagraph">
    <w:name w:val="List Paragraph"/>
    <w:basedOn w:val="Normal"/>
    <w:uiPriority w:val="34"/>
    <w:qFormat/>
    <w:rsid w:val="00BF54A0"/>
    <w:pPr>
      <w:ind w:left="720"/>
      <w:contextualSpacing/>
    </w:pPr>
  </w:style>
  <w:style w:type="character" w:styleId="CommentReference">
    <w:name w:val="annotation reference"/>
    <w:basedOn w:val="DefaultParagraphFont"/>
    <w:uiPriority w:val="99"/>
    <w:semiHidden/>
    <w:unhideWhenUsed/>
    <w:rsid w:val="00B63CBD"/>
    <w:rPr>
      <w:sz w:val="16"/>
      <w:szCs w:val="16"/>
    </w:rPr>
  </w:style>
  <w:style w:type="paragraph" w:styleId="CommentText">
    <w:name w:val="annotation text"/>
    <w:basedOn w:val="Normal"/>
    <w:link w:val="CommentTextChar"/>
    <w:uiPriority w:val="99"/>
    <w:semiHidden/>
    <w:unhideWhenUsed/>
    <w:rsid w:val="00B63CBD"/>
    <w:pPr>
      <w:spacing w:line="240" w:lineRule="auto"/>
    </w:pPr>
    <w:rPr>
      <w:sz w:val="20"/>
      <w:szCs w:val="20"/>
    </w:rPr>
  </w:style>
  <w:style w:type="character" w:customStyle="1" w:styleId="CommentTextChar">
    <w:name w:val="Comment Text Char"/>
    <w:basedOn w:val="DefaultParagraphFont"/>
    <w:link w:val="CommentText"/>
    <w:uiPriority w:val="99"/>
    <w:semiHidden/>
    <w:rsid w:val="00B63CBD"/>
    <w:rPr>
      <w:sz w:val="20"/>
      <w:szCs w:val="20"/>
    </w:rPr>
  </w:style>
  <w:style w:type="paragraph" w:styleId="CommentSubject">
    <w:name w:val="annotation subject"/>
    <w:basedOn w:val="CommentText"/>
    <w:next w:val="CommentText"/>
    <w:link w:val="CommentSubjectChar"/>
    <w:uiPriority w:val="99"/>
    <w:semiHidden/>
    <w:unhideWhenUsed/>
    <w:rsid w:val="00B63CBD"/>
    <w:rPr>
      <w:b/>
      <w:bCs/>
    </w:rPr>
  </w:style>
  <w:style w:type="character" w:customStyle="1" w:styleId="CommentSubjectChar">
    <w:name w:val="Comment Subject Char"/>
    <w:basedOn w:val="CommentTextChar"/>
    <w:link w:val="CommentSubject"/>
    <w:uiPriority w:val="99"/>
    <w:semiHidden/>
    <w:rsid w:val="00B63CBD"/>
    <w:rPr>
      <w:b/>
      <w:bCs/>
      <w:sz w:val="20"/>
      <w:szCs w:val="20"/>
    </w:rPr>
  </w:style>
  <w:style w:type="paragraph" w:styleId="BalloonText">
    <w:name w:val="Balloon Text"/>
    <w:basedOn w:val="Normal"/>
    <w:link w:val="BalloonTextChar"/>
    <w:uiPriority w:val="99"/>
    <w:semiHidden/>
    <w:unhideWhenUsed/>
    <w:rsid w:val="00B63CB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CBD"/>
    <w:rPr>
      <w:rFonts w:ascii="Segoe UI" w:hAnsi="Segoe UI" w:cs="Segoe UI"/>
      <w:sz w:val="18"/>
      <w:szCs w:val="18"/>
    </w:rPr>
  </w:style>
  <w:style w:type="table" w:styleId="TableGrid">
    <w:name w:val="Table Grid"/>
    <w:basedOn w:val="TableNormal"/>
    <w:uiPriority w:val="39"/>
    <w:rsid w:val="00332228"/>
    <w:pPr>
      <w:pBdr>
        <w:top w:val="none" w:sz="0" w:space="0" w:color="auto"/>
        <w:left w:val="none" w:sz="0" w:space="0" w:color="auto"/>
        <w:bottom w:val="none" w:sz="0" w:space="0" w:color="auto"/>
        <w:right w:val="none" w:sz="0" w:space="0" w:color="auto"/>
        <w:between w:val="none" w:sz="0" w:space="0" w:color="auto"/>
      </w:pBdr>
      <w:spacing w:before="0" w:after="0" w:line="240" w:lineRule="auto"/>
    </w:pPr>
    <w:rPr>
      <w:rFonts w:asciiTheme="minorHAnsi" w:eastAsiaTheme="minorHAnsi" w:hAnsiTheme="minorHAnsi" w:cstheme="minorBidi"/>
      <w:color w:val="auto"/>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C7716"/>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C7716"/>
    <w:rPr>
      <w:sz w:val="20"/>
      <w:szCs w:val="20"/>
    </w:rPr>
  </w:style>
  <w:style w:type="character" w:styleId="FootnoteReference">
    <w:name w:val="footnote reference"/>
    <w:basedOn w:val="DefaultParagraphFont"/>
    <w:uiPriority w:val="99"/>
    <w:semiHidden/>
    <w:unhideWhenUsed/>
    <w:rsid w:val="009C7716"/>
    <w:rPr>
      <w:vertAlign w:val="superscript"/>
    </w:rPr>
  </w:style>
  <w:style w:type="paragraph" w:styleId="Revision">
    <w:name w:val="Revision"/>
    <w:hidden/>
    <w:uiPriority w:val="99"/>
    <w:semiHidden/>
    <w:rsid w:val="00A0797D"/>
    <w:pPr>
      <w:pBdr>
        <w:top w:val="none" w:sz="0" w:space="0" w:color="auto"/>
        <w:left w:val="none" w:sz="0" w:space="0" w:color="auto"/>
        <w:bottom w:val="none" w:sz="0" w:space="0" w:color="auto"/>
        <w:right w:val="none" w:sz="0" w:space="0" w:color="auto"/>
        <w:between w:val="none" w:sz="0" w:space="0" w:color="auto"/>
      </w:pBdr>
      <w:spacing w:before="0" w:after="0" w:line="240" w:lineRule="auto"/>
    </w:pPr>
  </w:style>
  <w:style w:type="paragraph" w:customStyle="1" w:styleId="Graphic">
    <w:name w:val="Graphic"/>
    <w:basedOn w:val="Normal"/>
    <w:uiPriority w:val="5"/>
    <w:qFormat/>
    <w:rsid w:val="008B5EFB"/>
    <w:pPr>
      <w:pBdr>
        <w:top w:val="none" w:sz="0" w:space="0" w:color="auto"/>
        <w:left w:val="none" w:sz="0" w:space="0" w:color="auto"/>
        <w:bottom w:val="none" w:sz="0" w:space="0" w:color="auto"/>
        <w:right w:val="none" w:sz="0" w:space="0" w:color="auto"/>
        <w:between w:val="none" w:sz="0" w:space="0" w:color="auto"/>
      </w:pBdr>
      <w:spacing w:before="0" w:after="0" w:line="240" w:lineRule="auto"/>
      <w:ind w:right="14"/>
      <w:jc w:val="right"/>
    </w:pPr>
    <w:rPr>
      <w:rFonts w:ascii="Times New Roman" w:eastAsia="Times New Roman" w:hAnsi="Times New Roman" w:cs="Times New Roman"/>
      <w:noProof/>
      <w:color w:val="auto"/>
      <w:sz w:val="24"/>
      <w:szCs w:val="24"/>
      <w:lang w:val="en-CA"/>
    </w:rPr>
  </w:style>
  <w:style w:type="paragraph" w:customStyle="1" w:styleId="ContactInfo">
    <w:name w:val="Contact Info"/>
    <w:basedOn w:val="Normal"/>
    <w:uiPriority w:val="1"/>
    <w:qFormat/>
    <w:rsid w:val="008B5EFB"/>
    <w:pPr>
      <w:pBdr>
        <w:top w:val="none" w:sz="0" w:space="0" w:color="auto"/>
        <w:left w:val="none" w:sz="0" w:space="0" w:color="auto"/>
        <w:bottom w:val="none" w:sz="0" w:space="0" w:color="auto"/>
        <w:right w:val="none" w:sz="0" w:space="0" w:color="auto"/>
        <w:between w:val="none" w:sz="0" w:space="0" w:color="auto"/>
      </w:pBdr>
      <w:spacing w:before="0" w:after="0" w:line="240" w:lineRule="auto"/>
    </w:pPr>
    <w:rPr>
      <w:rFonts w:ascii="Times New Roman" w:eastAsia="Times New Roman" w:hAnsi="Times New Roman" w:cs="Times New Roman"/>
      <w:b/>
      <w:color w:val="ED7D31" w:themeColor="accent2"/>
      <w:sz w:val="24"/>
      <w:szCs w:val="24"/>
      <w:lang w:val="en-CA"/>
    </w:rPr>
  </w:style>
  <w:style w:type="paragraph" w:styleId="Header">
    <w:name w:val="header"/>
    <w:basedOn w:val="Normal"/>
    <w:link w:val="HeaderChar"/>
    <w:uiPriority w:val="99"/>
    <w:unhideWhenUsed/>
    <w:rsid w:val="0095425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5425E"/>
  </w:style>
  <w:style w:type="paragraph" w:styleId="Footer">
    <w:name w:val="footer"/>
    <w:basedOn w:val="Normal"/>
    <w:link w:val="FooterChar"/>
    <w:uiPriority w:val="99"/>
    <w:unhideWhenUsed/>
    <w:rsid w:val="0095425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5425E"/>
  </w:style>
  <w:style w:type="character" w:customStyle="1" w:styleId="NoSpacingChar">
    <w:name w:val="No Spacing Char"/>
    <w:basedOn w:val="DefaultParagraphFont"/>
    <w:link w:val="NoSpacing"/>
    <w:uiPriority w:val="1"/>
    <w:rsid w:val="005D1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2E32D2C84373429AF7F41A7AF16235" ma:contentTypeVersion="12" ma:contentTypeDescription="Create a new document." ma:contentTypeScope="" ma:versionID="78b7fe38f22954d4d8e59376f41a8b40">
  <xsd:schema xmlns:xsd="http://www.w3.org/2001/XMLSchema" xmlns:xs="http://www.w3.org/2001/XMLSchema" xmlns:p="http://schemas.microsoft.com/office/2006/metadata/properties" xmlns:ns2="cf499ffa-9454-4961-9793-a22c8ba17e53" xmlns:ns3="00a0be20-82d7-4a48-b11d-f44f0f10bf80" targetNamespace="http://schemas.microsoft.com/office/2006/metadata/properties" ma:root="true" ma:fieldsID="0922d371dbb60e394d41ffdbe345c8c6" ns2:_="" ns3:_="">
    <xsd:import namespace="cf499ffa-9454-4961-9793-a22c8ba17e53"/>
    <xsd:import namespace="00a0be20-82d7-4a48-b11d-f44f0f10bf80"/>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99ffa-9454-4961-9793-a22c8ba17e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0be20-82d7-4a48-b11d-f44f0f10bf8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42787-79E8-4754-A77E-3B18ED84F422}">
  <ds:schemaRefs>
    <ds:schemaRef ds:uri="http://schemas.microsoft.com/sharepoint/v3/contenttype/forms"/>
  </ds:schemaRefs>
</ds:datastoreItem>
</file>

<file path=customXml/itemProps2.xml><?xml version="1.0" encoding="utf-8"?>
<ds:datastoreItem xmlns:ds="http://schemas.openxmlformats.org/officeDocument/2006/customXml" ds:itemID="{B3B732CD-71D7-4098-B034-835EB421FC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6A88DA-CE01-4137-A270-073909671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99ffa-9454-4961-9793-a22c8ba17e53"/>
    <ds:schemaRef ds:uri="00a0be20-82d7-4a48-b11d-f44f0f10bf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E168B0-9C02-4C1F-B5EE-D4505EA2E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5861</Words>
  <Characters>33411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calla savary</dc:creator>
  <cp:lastModifiedBy>Katelyn Lucas</cp:lastModifiedBy>
  <cp:revision>2</cp:revision>
  <cp:lastPrinted>2020-03-03T22:34:00Z</cp:lastPrinted>
  <dcterms:created xsi:type="dcterms:W3CDTF">2020-06-23T03:43:00Z</dcterms:created>
  <dcterms:modified xsi:type="dcterms:W3CDTF">2020-06-23T03:43:00Z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0x010100862E32D2C84373429AF7F41A7AF16235</vt:lpwstr>
  </property>
</Properties>
</file>